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line="230"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4, 2010</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0-23827</w:t>
            </w:r>
          </w:p>
        </w:tc>
        <w:tc>
          <w:tcPr>
            <w:tcW w:w="3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02-0513618</w:t>
            </w:r>
          </w:p>
        </w:tc>
      </w:tr>
      <w:tr>
        <w:trPr>
          <w:trHeight w:val="215"/>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5"/>
              </w:rPr>
              <w:t>diction of incorporation)</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center"/>
              <w:ind w:right="410"/>
              <w:spacing w:after="0"/>
              <w:rPr>
                <w:sz w:val="20"/>
                <w:szCs w:val="20"/>
                <w:color w:val="auto"/>
              </w:rPr>
            </w:pPr>
            <w:r>
              <w:rPr>
                <w:rFonts w:ascii="Arial" w:cs="Arial" w:eastAsia="Arial" w:hAnsi="Arial"/>
                <w:sz w:val="18"/>
                <w:szCs w:val="18"/>
                <w:color w:val="auto"/>
                <w:w w:val="93"/>
              </w:rPr>
              <w:t>Rt. 101A, 730 Milford Road</w:t>
            </w:r>
          </w:p>
        </w:tc>
        <w:tc>
          <w:tcPr>
            <w:tcW w:w="5200" w:type="dxa"/>
            <w:vAlign w:val="bottom"/>
          </w:tcPr>
          <w:p>
            <w:pPr>
              <w:jc w:val="right"/>
              <w:ind w:right="2530"/>
              <w:spacing w:after="0"/>
              <w:rPr>
                <w:sz w:val="20"/>
                <w:szCs w:val="20"/>
                <w:color w:val="auto"/>
              </w:rPr>
            </w:pPr>
            <w:r>
              <w:rPr>
                <w:rFonts w:ascii="Arial" w:cs="Arial" w:eastAsia="Arial" w:hAnsi="Arial"/>
                <w:sz w:val="18"/>
                <w:szCs w:val="18"/>
                <w:color w:val="auto"/>
              </w:rPr>
              <w:t>03054</w:t>
            </w:r>
          </w:p>
        </w:tc>
      </w:tr>
      <w:tr>
        <w:trPr>
          <w:trHeight w:val="237"/>
        </w:trPr>
        <w:tc>
          <w:tcPr>
            <w:tcW w:w="6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Merrimack, NH</w:t>
            </w:r>
          </w:p>
        </w:tc>
        <w:tc>
          <w:tcPr>
            <w:tcW w:w="5200" w:type="dxa"/>
            <w:vAlign w:val="bottom"/>
            <w:tcBorders>
              <w:bottom w:val="single" w:sz="8" w:color="auto"/>
            </w:tcBorders>
          </w:tcPr>
          <w:p>
            <w:pPr>
              <w:spacing w:after="0"/>
              <w:rPr>
                <w:sz w:val="20"/>
                <w:szCs w:val="20"/>
                <w:color w:val="auto"/>
              </w:rPr>
            </w:pPr>
          </w:p>
        </w:tc>
      </w:tr>
      <w:tr>
        <w:trPr>
          <w:trHeight w:val="230"/>
        </w:trPr>
        <w:tc>
          <w:tcPr>
            <w:tcW w:w="62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0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February 4, 2010, PC Connection, Inc. announced its financial results for the quarter and year ended December 31, 2009. The full text of the press release issued in connection with the announcement is furnished as Exhibit 99.1 to this Current Report on Form 8-K.</w:t>
      </w:r>
    </w:p>
    <w:p>
      <w:pPr>
        <w:spacing w:after="0" w:line="130"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160" w:right="3640"/>
        <w:spacing w:after="0" w:line="639" w:lineRule="auto"/>
        <w:rPr>
          <w:rFonts w:ascii="Arial" w:cs="Arial" w:eastAsia="Arial" w:hAnsi="Arial"/>
          <w:sz w:val="18"/>
          <w:szCs w:val="18"/>
          <w:color w:val="auto"/>
        </w:rPr>
      </w:pPr>
      <w:r>
        <w:rPr>
          <w:rFonts w:ascii="Arial" w:cs="Arial" w:eastAsia="Arial" w:hAnsi="Arial"/>
          <w:sz w:val="17"/>
          <w:szCs w:val="17"/>
          <w:color w:val="auto"/>
        </w:rPr>
        <w:t>The following exhibit relating to Item 2.02 shall be deemed to be furnished, and not filed: 99.1 Press Release issued by PC Connection, Inc. on February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11" w:right="3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4, 2010</w:t>
      </w:r>
      <w:r>
        <w:rPr>
          <w:sz w:val="20"/>
          <w:szCs w:val="20"/>
          <w:color w:val="auto"/>
        </w:rPr>
        <w:tab/>
      </w:r>
      <w:r>
        <w:rPr>
          <w:rFonts w:ascii="Arial" w:cs="Arial" w:eastAsia="Arial" w:hAnsi="Arial"/>
          <w:sz w:val="17"/>
          <w:szCs w:val="17"/>
          <w:color w:val="auto"/>
        </w:rPr>
        <w:t>PC CONNECTION,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Treasurer, and</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40" w:type="dxa"/>
            <w:vAlign w:val="bottom"/>
          </w:tcPr>
          <w:p>
            <w:pPr>
              <w:ind w:left="1780"/>
              <w:spacing w:after="0"/>
              <w:rPr>
                <w:sz w:val="20"/>
                <w:szCs w:val="20"/>
                <w:color w:val="auto"/>
              </w:rPr>
            </w:pPr>
            <w:r>
              <w:rPr>
                <w:rFonts w:ascii="Arial" w:cs="Arial" w:eastAsia="Arial" w:hAnsi="Arial"/>
                <w:sz w:val="22"/>
                <w:szCs w:val="22"/>
                <w:color w:val="auto"/>
              </w:rPr>
              <w:t>EXHIBIT INDEX</w:t>
            </w:r>
          </w:p>
        </w:tc>
      </w:tr>
      <w:tr>
        <w:trPr>
          <w:trHeight w:val="395"/>
        </w:trPr>
        <w:tc>
          <w:tcPr>
            <w:tcW w:w="15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420" w:type="dxa"/>
            <w:vAlign w:val="bottom"/>
            <w:gridSpan w:val="3"/>
          </w:tcPr>
          <w:p>
            <w:pPr>
              <w:ind w:left="7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5420" w:type="dxa"/>
            <w:vAlign w:val="bottom"/>
            <w:gridSpan w:val="3"/>
          </w:tcPr>
          <w:p>
            <w:pPr>
              <w:ind w:left="740"/>
              <w:spacing w:after="0"/>
              <w:rPr>
                <w:sz w:val="20"/>
                <w:szCs w:val="20"/>
                <w:color w:val="auto"/>
              </w:rPr>
            </w:pPr>
            <w:r>
              <w:rPr>
                <w:rFonts w:ascii="Arial" w:cs="Arial" w:eastAsia="Arial" w:hAnsi="Arial"/>
                <w:sz w:val="18"/>
                <w:szCs w:val="18"/>
                <w:color w:val="auto"/>
                <w:w w:val="88"/>
              </w:rPr>
              <w:t>Press release issued by PC Connection, Inc. on February 4, 2010.</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PC Connection, Inc. Reports Fourth Quarter and Full Year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MERRIMACK, N.H.--(BUSINESS WIRE)--February 4, 2010--PC Connection, Inc. </w:t>
      </w:r>
      <w:r>
        <w:rPr>
          <w:rFonts w:ascii="Arial" w:cs="Arial" w:eastAsia="Arial" w:hAnsi="Arial"/>
          <w:sz w:val="22"/>
          <w:szCs w:val="22"/>
          <w:b w:val="1"/>
          <w:bCs w:val="1"/>
          <w:color w:val="auto"/>
        </w:rPr>
        <w:t>(NASDAQ: PCCC):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6"/>
          </w:tcPr>
          <w:p>
            <w:pPr>
              <w:spacing w:after="0"/>
              <w:rPr>
                <w:sz w:val="20"/>
                <w:szCs w:val="20"/>
                <w:color w:val="auto"/>
              </w:rPr>
            </w:pPr>
            <w:r>
              <w:rPr>
                <w:rFonts w:ascii="Arial" w:cs="Arial" w:eastAsia="Arial" w:hAnsi="Arial"/>
                <w:sz w:val="14"/>
                <w:szCs w:val="14"/>
                <w:color w:val="auto"/>
              </w:rPr>
              <w:t>FOURTH QUARTER SUMMARY:</w:t>
            </w:r>
          </w:p>
        </w:tc>
        <w:tc>
          <w:tcPr>
            <w:tcW w:w="5960" w:type="dxa"/>
            <w:vAlign w:val="bottom"/>
            <w:gridSpan w:val="7"/>
          </w:tcPr>
          <w:p>
            <w:pPr>
              <w:ind w:left="2940"/>
              <w:spacing w:after="0"/>
              <w:rPr>
                <w:sz w:val="20"/>
                <w:szCs w:val="20"/>
                <w:color w:val="auto"/>
              </w:rPr>
            </w:pPr>
            <w:r>
              <w:rPr>
                <w:rFonts w:ascii="Arial" w:cs="Arial" w:eastAsia="Arial" w:hAnsi="Arial"/>
                <w:sz w:val="14"/>
                <w:szCs w:val="14"/>
                <w:color w:val="auto"/>
              </w:rPr>
              <w:t>FULL YEAR SUMMARY:</w:t>
            </w:r>
          </w:p>
        </w:tc>
      </w:tr>
      <w:tr>
        <w:trPr>
          <w:trHeight w:val="20"/>
        </w:trPr>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31"/>
        </w:trPr>
        <w:tc>
          <w:tcPr>
            <w:tcW w:w="540" w:type="dxa"/>
            <w:vAlign w:val="bottom"/>
          </w:tcPr>
          <w:p>
            <w:pPr>
              <w:spacing w:after="0"/>
              <w:rPr>
                <w:sz w:val="24"/>
                <w:szCs w:val="24"/>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4"/>
              </w:rPr>
              <w:t xml:space="preserve">Net sales: </w:t>
            </w:r>
            <w:r>
              <w:rPr>
                <w:rFonts w:ascii="Arial" w:cs="Arial" w:eastAsia="Arial" w:hAnsi="Arial"/>
                <w:sz w:val="14"/>
                <w:szCs w:val="14"/>
                <w:u w:val="single" w:color="auto"/>
                <w:color w:val="auto"/>
                <w:w w:val="94"/>
              </w:rPr>
              <w:t>$</w:t>
            </w:r>
            <w:r>
              <w:rPr>
                <w:rFonts w:ascii="Arial" w:cs="Arial" w:eastAsia="Arial" w:hAnsi="Arial"/>
                <w:sz w:val="14"/>
                <w:szCs w:val="14"/>
                <w:color w:val="auto"/>
                <w:w w:val="94"/>
              </w:rPr>
              <w:t>463.1 million, up 5% y/y</w:t>
            </w:r>
          </w:p>
        </w:tc>
        <w:tc>
          <w:tcPr>
            <w:tcW w:w="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w w:val="94"/>
              </w:rPr>
              <w:t xml:space="preserve">Net sales: </w:t>
            </w:r>
            <w:r>
              <w:rPr>
                <w:rFonts w:ascii="Arial" w:cs="Arial" w:eastAsia="Arial" w:hAnsi="Arial"/>
                <w:sz w:val="14"/>
                <w:szCs w:val="14"/>
                <w:u w:val="single" w:color="auto"/>
                <w:color w:val="auto"/>
                <w:w w:val="94"/>
              </w:rPr>
              <w:t>$</w:t>
            </w:r>
            <w:r>
              <w:rPr>
                <w:rFonts w:ascii="Arial" w:cs="Arial" w:eastAsia="Arial" w:hAnsi="Arial"/>
                <w:sz w:val="14"/>
                <w:szCs w:val="14"/>
                <w:color w:val="auto"/>
                <w:w w:val="94"/>
              </w:rPr>
              <w:t>1,569.7 million, down 10% y/y</w:t>
            </w:r>
          </w:p>
        </w:tc>
      </w:tr>
      <w:tr>
        <w:trPr>
          <w:trHeight w:val="304"/>
        </w:trPr>
        <w:tc>
          <w:tcPr>
            <w:tcW w:w="54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Arial" w:cs="Arial" w:eastAsia="Arial" w:hAnsi="Arial"/>
                <w:sz w:val="14"/>
                <w:szCs w:val="14"/>
                <w:color w:val="auto"/>
              </w:rPr>
              <w:t>Gross margin: 11.3%</w:t>
            </w:r>
          </w:p>
        </w:tc>
        <w:tc>
          <w:tcPr>
            <w:tcW w:w="2940" w:type="dxa"/>
            <w:vAlign w:val="bottom"/>
          </w:tcPr>
          <w:p>
            <w:pPr>
              <w:spacing w:after="0"/>
              <w:rPr>
                <w:sz w:val="24"/>
                <w:szCs w:val="24"/>
                <w:color w:val="auto"/>
              </w:rPr>
            </w:pPr>
          </w:p>
        </w:tc>
        <w:tc>
          <w:tcPr>
            <w:tcW w:w="3020" w:type="dxa"/>
            <w:vAlign w:val="bottom"/>
            <w:gridSpan w:val="6"/>
          </w:tcPr>
          <w:p>
            <w:pPr>
              <w:ind w:left="540"/>
              <w:spacing w:after="0"/>
              <w:rPr>
                <w:sz w:val="20"/>
                <w:szCs w:val="20"/>
                <w:color w:val="auto"/>
              </w:rPr>
            </w:pPr>
            <w:r>
              <w:rPr>
                <w:rFonts w:ascii="Arial" w:cs="Arial" w:eastAsia="Arial" w:hAnsi="Arial"/>
                <w:sz w:val="14"/>
                <w:szCs w:val="14"/>
                <w:color w:val="auto"/>
              </w:rPr>
              <w:t>Gross margin: 11.8%</w:t>
            </w:r>
          </w:p>
        </w:tc>
      </w:tr>
      <w:tr>
        <w:trPr>
          <w:trHeight w:val="20"/>
        </w:trPr>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Arial" w:cs="Arial" w:eastAsia="Arial" w:hAnsi="Arial"/>
                <w:sz w:val="14"/>
                <w:szCs w:val="14"/>
                <w:color w:val="auto"/>
              </w:rPr>
              <w:t xml:space="preserve">Operating income: </w:t>
            </w:r>
            <w:r>
              <w:rPr>
                <w:rFonts w:ascii="Arial" w:cs="Arial" w:eastAsia="Arial" w:hAnsi="Arial"/>
                <w:sz w:val="14"/>
                <w:szCs w:val="14"/>
                <w:u w:val="single" w:color="auto"/>
                <w:color w:val="auto"/>
              </w:rPr>
              <w:t>$</w:t>
            </w:r>
            <w:r>
              <w:rPr>
                <w:rFonts w:ascii="Arial" w:cs="Arial" w:eastAsia="Arial" w:hAnsi="Arial"/>
                <w:sz w:val="14"/>
                <w:szCs w:val="14"/>
                <w:color w:val="auto"/>
              </w:rPr>
              <w:t>6.6 million</w:t>
            </w:r>
          </w:p>
        </w:tc>
        <w:tc>
          <w:tcPr>
            <w:tcW w:w="2940" w:type="dxa"/>
            <w:vAlign w:val="bottom"/>
          </w:tcPr>
          <w:p>
            <w:pPr>
              <w:spacing w:after="0"/>
              <w:rPr>
                <w:sz w:val="24"/>
                <w:szCs w:val="24"/>
                <w:color w:val="auto"/>
              </w:rPr>
            </w:pPr>
          </w:p>
        </w:tc>
        <w:tc>
          <w:tcPr>
            <w:tcW w:w="3020" w:type="dxa"/>
            <w:vAlign w:val="bottom"/>
            <w:gridSpan w:val="6"/>
          </w:tcPr>
          <w:p>
            <w:pPr>
              <w:ind w:left="540"/>
              <w:spacing w:after="0"/>
              <w:rPr>
                <w:sz w:val="20"/>
                <w:szCs w:val="20"/>
                <w:color w:val="auto"/>
              </w:rPr>
            </w:pPr>
            <w:r>
              <w:rPr>
                <w:rFonts w:ascii="Arial" w:cs="Arial" w:eastAsia="Arial" w:hAnsi="Arial"/>
                <w:sz w:val="14"/>
                <w:szCs w:val="14"/>
                <w:color w:val="auto"/>
              </w:rPr>
              <w:t xml:space="preserve">Operating loss: </w:t>
            </w:r>
            <w:r>
              <w:rPr>
                <w:rFonts w:ascii="Arial" w:cs="Arial" w:eastAsia="Arial" w:hAnsi="Arial"/>
                <w:sz w:val="14"/>
                <w:szCs w:val="14"/>
                <w:u w:val="single" w:color="auto"/>
                <w:color w:val="auto"/>
              </w:rPr>
              <w:t>$</w:t>
            </w:r>
            <w:r>
              <w:rPr>
                <w:rFonts w:ascii="Arial" w:cs="Arial" w:eastAsia="Arial" w:hAnsi="Arial"/>
                <w:sz w:val="14"/>
                <w:szCs w:val="14"/>
                <w:color w:val="auto"/>
              </w:rPr>
              <w:t>0.7 million</w:t>
            </w:r>
          </w:p>
        </w:tc>
      </w:tr>
      <w:tr>
        <w:trPr>
          <w:trHeight w:val="20"/>
        </w:trPr>
        <w:tc>
          <w:tcPr>
            <w:tcW w:w="540" w:type="dxa"/>
            <w:vAlign w:val="bottom"/>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w w:val="91"/>
              </w:rPr>
              <w:t xml:space="preserve">Diluted earnings per share: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0.15 per share</w:t>
            </w:r>
          </w:p>
        </w:tc>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1"/>
              </w:rPr>
              <w:t xml:space="preserve">Diluted loss per share: </w:t>
            </w:r>
            <w:r>
              <w:rPr>
                <w:rFonts w:ascii="Arial" w:cs="Arial" w:eastAsia="Arial" w:hAnsi="Arial"/>
                <w:sz w:val="14"/>
                <w:szCs w:val="14"/>
                <w:u w:val="single" w:color="auto"/>
                <w:color w:val="auto"/>
                <w:w w:val="91"/>
              </w:rPr>
              <w:t>$</w:t>
            </w:r>
            <w:r>
              <w:rPr>
                <w:rFonts w:ascii="Arial" w:cs="Arial" w:eastAsia="Arial" w:hAnsi="Arial"/>
                <w:sz w:val="14"/>
                <w:szCs w:val="14"/>
                <w:color w:val="auto"/>
                <w:w w:val="91"/>
              </w:rPr>
              <w:t>0.05 per share</w:t>
            </w: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-689610</wp:posOffset>
            </wp:positionV>
            <wp:extent cx="5143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-689610</wp:posOffset>
            </wp:positionV>
            <wp:extent cx="5143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-483870</wp:posOffset>
            </wp:positionV>
            <wp:extent cx="5143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-483870</wp:posOffset>
            </wp:positionV>
            <wp:extent cx="5143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-278130</wp:posOffset>
            </wp:positionV>
            <wp:extent cx="5143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-278130</wp:posOffset>
            </wp:positionV>
            <wp:extent cx="5143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-72390</wp:posOffset>
            </wp:positionV>
            <wp:extent cx="5143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-72390</wp:posOffset>
            </wp:positionV>
            <wp:extent cx="5143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331" w:lineRule="exact"/>
        <w:rPr>
          <w:sz w:val="20"/>
          <w:szCs w:val="20"/>
          <w:color w:val="auto"/>
        </w:rPr>
      </w:pPr>
    </w:p>
    <w:p>
      <w:pPr>
        <w:ind w:right="340"/>
        <w:spacing w:after="0" w:line="237" w:lineRule="auto"/>
        <w:rPr>
          <w:sz w:val="20"/>
          <w:szCs w:val="20"/>
          <w:color w:val="auto"/>
        </w:rPr>
      </w:pPr>
      <w:r>
        <w:rPr>
          <w:rFonts w:ascii="Arial" w:cs="Arial" w:eastAsia="Arial" w:hAnsi="Arial"/>
          <w:sz w:val="22"/>
          <w:szCs w:val="22"/>
          <w:color w:val="auto"/>
        </w:rPr>
        <w:t xml:space="preserve">PC Connection, Inc. </w:t>
      </w:r>
      <w:r>
        <w:rPr>
          <w:rFonts w:ascii="Arial" w:cs="Arial" w:eastAsia="Arial" w:hAnsi="Arial"/>
          <w:sz w:val="22"/>
          <w:szCs w:val="22"/>
          <w:b w:val="1"/>
          <w:bCs w:val="1"/>
          <w:color w:val="auto"/>
        </w:rPr>
        <w:t>(NASDAQ: PCCC)</w:t>
      </w:r>
      <w:r>
        <w:rPr>
          <w:rFonts w:ascii="Arial" w:cs="Arial" w:eastAsia="Arial" w:hAnsi="Arial"/>
          <w:sz w:val="22"/>
          <w:szCs w:val="22"/>
          <w:color w:val="auto"/>
        </w:rPr>
        <w:t>, a leading direct marketer of information technology (IT) products and services, today announced results for the quarter and year ended December 31, 2009. Net sales for the three months ended December 31, 2009 increased by $24.0 million, or 5.5%, to $463.1 million from $439.1 million for the three months ended December 31, 2008. Net income for the quarter was $4.0 million, or $0.15 per share, compared to net loss of $2.7 million, or $0.10 per share, for the corresponding prior year quarter.</w:t>
      </w:r>
    </w:p>
    <w:p>
      <w:pPr>
        <w:spacing w:after="0" w:line="189"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The three months ended December 31, 2009 included an adjustment to special charges that increased earnings and earnings per share, whereas the three months ended December 31, 2008 included a non-cash goodwill impairment charge that reduced earnings and earnings per share. Had these charges not been incurred, pro forma net income for the three months ended December 31, 2009 would have been $3.9 million, or $0.14 per share, compared to $2.7 million, or $0.10 per share for the three months ended December 31, 2008. A reconciliation between net income (loss) on a GAAP basis and pro forma net income is provided in a table below immediately following the Consolidated Statements of Operations.</w:t>
      </w:r>
    </w:p>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Net sales for the year ended December 31, 2009 decreased by $184.0 million, or 10.5%, to $1,569.7 million, from $1,753.7 million for the year ended December 31, 2008. Net loss for the year ended December 31, 2009 was $1.2 million, or $0.05 per share, compared to net income of $10.4 million, or $0.39 per share, for the year ended December 31, 2008. Both 2009 and 2008 included special charges that reduced earnings and earnings per share. Had these charges not been incurred, pro forma net income for the year ended December 31, 2009 would have been $6.8 million, or $0.25 per share, compared to $16.7 million, or $0.62 per share, for the year ended December 31, 2008. A reconciliation between net loss (income) on a GAAP basis and pro forma net income is provided in a table below immediately following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by Business Segment</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20"/>
        <w:spacing w:after="0"/>
        <w:rPr>
          <w:sz w:val="20"/>
          <w:szCs w:val="20"/>
          <w:color w:val="auto"/>
        </w:rPr>
      </w:pPr>
      <w:r>
        <w:rPr>
          <w:rFonts w:ascii="Arial" w:cs="Arial" w:eastAsia="Arial" w:hAnsi="Arial"/>
          <w:sz w:val="22"/>
          <w:szCs w:val="22"/>
          <w:color w:val="auto"/>
        </w:rPr>
        <w:t>Net sales for the small- and medium-sized business (SMB) segment decreased by 1.9% to $220.8 million compared to the fourth quarter of 2008. SMB sales however increased on a sequential basis by 21% over the third quarter, reflecting increased seasonal consumer sales and higher enterprise solution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60"/>
        <w:spacing w:after="0"/>
        <w:rPr>
          <w:sz w:val="20"/>
          <w:szCs w:val="20"/>
          <w:color w:val="auto"/>
        </w:rPr>
      </w:pPr>
      <w:r>
        <w:rPr>
          <w:rFonts w:ascii="Arial" w:cs="Arial" w:eastAsia="Arial" w:hAnsi="Arial"/>
          <w:sz w:val="22"/>
          <w:szCs w:val="22"/>
          <w:color w:val="auto"/>
        </w:rPr>
        <w:t>Net sales for MoreDirect, Inc., the Company’s Large Account segment, increased by 8.9% to $123.6 million compared to the fourth quarter of 2008. Sales increased from both new and existing customers as large account customers increased their IT spending both sequentially and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spacing w:after="0"/>
        <w:rPr>
          <w:sz w:val="20"/>
          <w:szCs w:val="20"/>
          <w:color w:val="auto"/>
        </w:rPr>
      </w:pPr>
      <w:r>
        <w:rPr>
          <w:rFonts w:ascii="Arial" w:cs="Arial" w:eastAsia="Arial" w:hAnsi="Arial"/>
          <w:sz w:val="21"/>
          <w:szCs w:val="21"/>
          <w:color w:val="auto"/>
        </w:rPr>
        <w:t>Net sales to government and education customers, the Company’s Public Sector segment, increased by 18.0%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60"/>
        <w:spacing w:after="0" w:line="234" w:lineRule="auto"/>
        <w:rPr>
          <w:sz w:val="20"/>
          <w:szCs w:val="20"/>
          <w:color w:val="auto"/>
        </w:rPr>
      </w:pPr>
      <w:r>
        <w:rPr>
          <w:rFonts w:ascii="Arial" w:cs="Arial" w:eastAsia="Arial" w:hAnsi="Arial"/>
          <w:sz w:val="22"/>
          <w:szCs w:val="22"/>
          <w:color w:val="auto"/>
        </w:rPr>
        <w:t>$118.7 million compared to the fourth quarter of 2008. Sales to the federal and state governments and education customers increased by double-digits due to increased enterprise sales and continued demand for netbooks, particularly in the K-12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Quarterly Sales by Product Mix</w:t>
      </w:r>
      <w:r>
        <w:rPr>
          <w:rFonts w:ascii="Arial" w:cs="Arial" w:eastAsia="Arial" w:hAnsi="Arial"/>
          <w:sz w:val="22"/>
          <w:szCs w:val="22"/>
          <w:i w:val="1"/>
          <w:iCs w:val="1"/>
          <w:color w:val="auto"/>
        </w:rPr>
        <w:t>:</w:t>
      </w:r>
    </w:p>
    <w:p>
      <w:pPr>
        <w:spacing w:after="0" w:line="207" w:lineRule="exact"/>
        <w:rPr>
          <w:sz w:val="20"/>
          <w:szCs w:val="20"/>
          <w:color w:val="auto"/>
        </w:rPr>
      </w:pPr>
    </w:p>
    <w:p>
      <w:pPr>
        <w:jc w:val="both"/>
        <w:ind w:left="540" w:right="280"/>
        <w:spacing w:after="0"/>
        <w:rPr>
          <w:sz w:val="20"/>
          <w:szCs w:val="20"/>
          <w:color w:val="auto"/>
        </w:rPr>
      </w:pPr>
      <w:r>
        <w:rPr>
          <w:rFonts w:ascii="Arial" w:cs="Arial" w:eastAsia="Arial" w:hAnsi="Arial"/>
          <w:sz w:val="22"/>
          <w:szCs w:val="22"/>
          <w:color w:val="auto"/>
        </w:rPr>
        <w:t>Sales of Notebooks and PDAs increased by 6% year over year and accounted for 15% of net sales in the fourth quarter of 2009 and 2008. Higher unit sales offset lower average selling prices, or ASPs, as the growth of netbook sales continued to impact ASPs.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260"/>
        <w:spacing w:after="0"/>
        <w:rPr>
          <w:sz w:val="20"/>
          <w:szCs w:val="20"/>
          <w:color w:val="auto"/>
        </w:rPr>
      </w:pPr>
      <w:r>
        <w:rPr>
          <w:rFonts w:ascii="Arial" w:cs="Arial" w:eastAsia="Arial" w:hAnsi="Arial"/>
          <w:sz w:val="22"/>
          <w:szCs w:val="22"/>
          <w:color w:val="auto"/>
        </w:rPr>
        <w:t>Software sales increased by 11% year over year in dollars and accounted for 14% of net sales in the fourth quarter of 2009 compared to 13% of net sales in the fourth quarter of 2008. Strong federal government and large account sales drove the year-over-year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180"/>
        <w:spacing w:after="0"/>
        <w:rPr>
          <w:sz w:val="20"/>
          <w:szCs w:val="20"/>
          <w:color w:val="auto"/>
        </w:rPr>
      </w:pPr>
      <w:r>
        <w:rPr>
          <w:rFonts w:ascii="Arial" w:cs="Arial" w:eastAsia="Arial" w:hAnsi="Arial"/>
          <w:sz w:val="22"/>
          <w:szCs w:val="22"/>
          <w:color w:val="auto"/>
        </w:rPr>
        <w:t>Desktop/Servers sales increased by 15% year over year and accounted for 13% of net sales in the fourth quarter of 2009 compared to 12% of net sales in the fourth quarter of 2008. Higher unit volumes accounted for this increase year over year, which we attribute to both pent-up demand and technology upgrades.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jc w:val="both"/>
        <w:ind w:left="540"/>
        <w:spacing w:after="0"/>
        <w:rPr>
          <w:sz w:val="20"/>
          <w:szCs w:val="20"/>
          <w:color w:val="auto"/>
        </w:rPr>
      </w:pPr>
      <w:r>
        <w:rPr>
          <w:rFonts w:ascii="Arial" w:cs="Arial" w:eastAsia="Arial" w:hAnsi="Arial"/>
          <w:sz w:val="22"/>
          <w:szCs w:val="22"/>
          <w:color w:val="auto"/>
        </w:rPr>
        <w:t>Memory &amp; System Enhancements sales increased by 33% year over year, accounting for 5% of net sales in the fourth quarter of 2009 compared to 4% of net sales in the corresponding prior year period. Higher sales of notebooks, desktops, and servers drove growth in this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right="60"/>
        <w:spacing w:after="0" w:line="238" w:lineRule="auto"/>
        <w:rPr>
          <w:sz w:val="20"/>
          <w:szCs w:val="20"/>
          <w:color w:val="auto"/>
        </w:rPr>
      </w:pPr>
      <w:r>
        <w:rPr>
          <w:rFonts w:ascii="Arial" w:cs="Arial" w:eastAsia="Arial" w:hAnsi="Arial"/>
          <w:sz w:val="22"/>
          <w:szCs w:val="22"/>
          <w:color w:val="auto"/>
        </w:rPr>
        <w:t>Gross profit dollars increased by $0.6 million, or 1.1%, in the fourth quarter of 2009 from the corresponding period a year ago due to increased revenues. Gross profit margin, as a percentage of net sales, declined year over year by 50 basis points to 11.3% in the fourth quarter of 2009. Higher public sector sales and continued aggressive price competition led to lower invoice product margins in the fourth quarter of 2009 compared to the prior year quarter.</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Overall annualized sales productivity increased by 22% in the fourth quarter of 2009 compared to the fourth quarter of 2008 due to double-digit productivity increases in all three sales segments. Sales productivity in the Large Account segment increased by 11% year over year due to higher enterprise revenues. Sales productivity in the Public Sector segment increased by 21% year over year due to productivity gains made in both the government and education sectors. Despite lower revenues, sales productivity in the SMB segment increased by 22% year over year. On a consolidated basis, the total number of sales representatives was 589 at December 31, 2009, compared to 712 at December 31, 2008 and 601 at September 30, 2009. The Company reduced both sales representatives and sales support headcount earlier in 2009 consistent with the previous year-over-year declines in revenues.</w:t>
      </w:r>
    </w:p>
    <w:p>
      <w:pPr>
        <w:spacing w:after="0" w:line="153" w:lineRule="exact"/>
        <w:rPr>
          <w:sz w:val="20"/>
          <w:szCs w:val="20"/>
          <w:color w:val="auto"/>
        </w:rPr>
      </w:pPr>
    </w:p>
    <w:p>
      <w:pPr>
        <w:ind w:right="660"/>
        <w:spacing w:after="0" w:line="297" w:lineRule="auto"/>
        <w:rPr>
          <w:sz w:val="20"/>
          <w:szCs w:val="20"/>
          <w:color w:val="auto"/>
        </w:rPr>
      </w:pPr>
      <w:r>
        <w:rPr>
          <w:rFonts w:ascii="Arial" w:cs="Arial" w:eastAsia="Arial" w:hAnsi="Arial"/>
          <w:sz w:val="19"/>
          <w:szCs w:val="19"/>
          <w:color w:val="auto"/>
        </w:rPr>
        <w:t>Total selling, general and administrative expenses for the quarter was largely unchanged year over year but decreased as a percentage of net sales to 9.9% for the fourth quarter of 2009 from 10.5% for the fourth quarter of 2008. The year-over-year decrease as a percentage of net sales was primarily attributable to increased sales levels in the fourth quarter of 2009.</w:t>
      </w:r>
    </w:p>
    <w:p>
      <w:pPr>
        <w:spacing w:after="0" w:line="134"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“We are encouraged by the improvement in our overall performance,” said Patricia Gallup, Chairman and Chief Executive Officer. “During the quarter, the Company grew sales and earnings, improved operating margins, and made progress in our efforts to improve the productivity of each of our three sales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ind w:right="40"/>
        <w:spacing w:after="0" w:line="287" w:lineRule="auto"/>
        <w:rPr>
          <w:sz w:val="20"/>
          <w:szCs w:val="20"/>
          <w:color w:val="auto"/>
        </w:rPr>
      </w:pPr>
      <w:r>
        <w:rPr>
          <w:rFonts w:ascii="Arial" w:cs="Arial" w:eastAsia="Arial" w:hAnsi="Arial"/>
          <w:sz w:val="19"/>
          <w:szCs w:val="19"/>
          <w:color w:val="auto"/>
        </w:rPr>
        <w:t>“Recognizing that we have a loyal following of customers who purchase from us for their personal and home office needs, in January we started a new sales company, PC Connection Express, Inc. This company will focus on the specialized product requirements of the consumer and small office/home office market.” Ms. Gallup concluded, “We will continue to monitor the changing landscape and identify opportunities that allow us to better serve the marketplace and position us well for future success."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 Connection, Inc.</w:t>
      </w:r>
    </w:p>
    <w:p>
      <w:pPr>
        <w:spacing w:after="0" w:line="212"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 xml:space="preserve">PC Connection, Inc., a Fortune 1000 company, owned three sales companies during the reporting period: PC Connection Sales Corporation, MoreDirect, Inc., and GovConnection, Inc., headquartered in Merrimack, NH, Boca Raton, FL, and Rockville, MD, respectively. All three companies can deliver custom-configured computer systems overnight. Investors and media can find more information about PC Connection, Inc. at </w:t>
      </w:r>
      <w:r>
        <w:rPr>
          <w:rFonts w:ascii="Arial" w:cs="Arial" w:eastAsia="Arial" w:hAnsi="Arial"/>
          <w:sz w:val="22"/>
          <w:szCs w:val="22"/>
          <w:u w:val="single" w:color="auto"/>
          <w:color w:val="auto"/>
        </w:rPr>
        <w:t>http://ir.pcconnection.com</w:t>
      </w:r>
      <w:r>
        <w:rPr>
          <w:rFonts w:ascii="Arial" w:cs="Arial" w:eastAsia="Arial" w:hAnsi="Arial"/>
          <w:sz w:val="22"/>
          <w:szCs w:val="22"/>
          <w:color w:val="auto"/>
        </w:rPr>
        <w:t>.</w:t>
      </w:r>
    </w:p>
    <w:p>
      <w:pPr>
        <w:spacing w:after="0" w:line="185"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 xml:space="preserve">PC Connection Sales Corporation (1-800-800-5555), the original business of PC Connection, Inc. serving the small- and medium-sized business sector (SMB), is a rapid-response provider of IT products and services. It offers more than 150,000 brand-name products through its staff of technically trained sales account managers and catalog telesales representatives, catalogs, and publications, and its website at </w:t>
      </w:r>
      <w:r>
        <w:rPr>
          <w:rFonts w:ascii="Arial" w:cs="Arial" w:eastAsia="Arial" w:hAnsi="Arial"/>
          <w:sz w:val="19"/>
          <w:szCs w:val="19"/>
          <w:u w:val="single" w:color="auto"/>
          <w:color w:val="auto"/>
        </w:rPr>
        <w:t>www.pcconnection.com</w:t>
      </w:r>
      <w:r>
        <w:rPr>
          <w:rFonts w:ascii="Arial" w:cs="Arial" w:eastAsia="Arial" w:hAnsi="Arial"/>
          <w:sz w:val="19"/>
          <w:szCs w:val="19"/>
          <w:color w:val="auto"/>
        </w:rPr>
        <w:t xml:space="preserve">. The subsidiary serves the Apple/Macintosh community through its MacConnection division (1-800-800-2222), which also publishes specialized catalogs and is online at </w:t>
      </w:r>
      <w:r>
        <w:rPr>
          <w:rFonts w:ascii="Arial" w:cs="Arial" w:eastAsia="Arial" w:hAnsi="Arial"/>
          <w:sz w:val="19"/>
          <w:szCs w:val="19"/>
          <w:u w:val="single" w:color="auto"/>
          <w:color w:val="auto"/>
        </w:rPr>
        <w:t>www.macconnection.com</w:t>
      </w:r>
      <w:r>
        <w:rPr>
          <w:rFonts w:ascii="Arial" w:cs="Arial" w:eastAsia="Arial" w:hAnsi="Arial"/>
          <w:sz w:val="19"/>
          <w:szCs w:val="19"/>
          <w:color w:val="auto"/>
        </w:rPr>
        <w: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MoreDirect, Inc. (1-561-237-3300), </w:t>
      </w:r>
      <w:r>
        <w:rPr>
          <w:rFonts w:ascii="Arial" w:cs="Arial" w:eastAsia="Arial" w:hAnsi="Arial"/>
          <w:sz w:val="22"/>
          <w:szCs w:val="22"/>
          <w:u w:val="single" w:color="auto"/>
          <w:color w:val="auto"/>
        </w:rPr>
        <w:t>www.moredirect.com</w:t>
      </w:r>
      <w:r>
        <w:rPr>
          <w:rFonts w:ascii="Arial" w:cs="Arial" w:eastAsia="Arial" w:hAnsi="Arial"/>
          <w:sz w:val="22"/>
          <w:szCs w:val="22"/>
          <w:color w:val="auto"/>
        </w:rPr>
        <w:t>,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 xml:space="preserve">GovConnection, Inc. (1-800-800-0019) is a provider of IT products and services to federal, state, and local government agencies and educational institutions through specialized account managers, catalogs, and publications, and online at </w:t>
      </w:r>
      <w:r>
        <w:rPr>
          <w:rFonts w:ascii="Arial" w:cs="Arial" w:eastAsia="Arial" w:hAnsi="Arial"/>
          <w:sz w:val="22"/>
          <w:szCs w:val="22"/>
          <w:u w:val="single" w:color="auto"/>
          <w:color w:val="auto"/>
        </w:rPr>
        <w:t>www.govconnection.com</w:t>
      </w:r>
      <w:r>
        <w:rPr>
          <w:rFonts w:ascii="Arial" w:cs="Arial" w:eastAsia="Arial" w:hAnsi="Arial"/>
          <w:sz w:val="22"/>
          <w:szCs w:val="22"/>
          <w:color w:val="auto"/>
        </w:rPr>
        <w:t>.</w:t>
      </w:r>
    </w:p>
    <w:p>
      <w:pPr>
        <w:spacing w:after="0" w:line="186"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and environment, or in the level of business investment in information technology products, competitive products and pricing, product availability and market acceptance, new products, fluctuations in operating results, the ability of the Company to manage personnel levels in response to fluctuations in revenue, and other risks that could cause actual results to differ materially from these detailed under the caption “Risk Factors” in the Company’s Quarterly Report on Form 10-Q filed with the Securities and Exchange Commission for the quarter ended September 30, 2009. More specifically, the statements in this release concerning the Company’s outlook for 2010 and other statements of a non-historical basis (including statements regarding the Company’s ability to grow revenues and increase market share)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The Company assumes no obligation to update the information in this press release or revise any forward-looking statements,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auto"/>
        </w:rPr>
        <w:t>PC Connection, Inc. -- Fourth Quarter Results -- 02/04/10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SELECTED FINANCIAL RESULTS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At or for the Three Months Ended December 31,</w:t>
            </w: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00" w:type="dxa"/>
            <w:vAlign w:val="bottom"/>
            <w:gridSpan w:val="3"/>
          </w:tcPr>
          <w:p>
            <w:pPr>
              <w:spacing w:after="0" w:line="160" w:lineRule="exact"/>
              <w:rPr>
                <w:sz w:val="20"/>
                <w:szCs w:val="20"/>
                <w:color w:val="auto"/>
              </w:rPr>
            </w:pPr>
            <w:r>
              <w:rPr>
                <w:rFonts w:ascii="Arial" w:cs="Arial" w:eastAsia="Arial" w:hAnsi="Arial"/>
                <w:sz w:val="14"/>
                <w:szCs w:val="14"/>
                <w:i w:val="1"/>
                <w:iCs w:val="1"/>
                <w:color w:val="auto"/>
                <w:w w:val="94"/>
              </w:rPr>
              <w:t>(Dollars and shares in thousands, except operating data, price/earnings ratio, and per share data)</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28"/>
              <w:spacing w:after="0" w:line="16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68"/>
              <w:spacing w:after="0" w:line="16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5"/>
              </w:rPr>
              <w:t>Net Sales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Net Sales</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39"/>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Operating Data:</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Net sales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463,121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439,113</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3"/>
          </w:tcPr>
          <w:p>
            <w:pPr>
              <w:jc w:val="right"/>
              <w:ind w:right="10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Diluted earnings (loss) per share</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0.15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(0.10)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Gross profit margin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Operating margin</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Catalogs distributed</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2,701,000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3,126,000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gridSpan w:val="2"/>
          </w:tcPr>
          <w:p>
            <w:pPr>
              <w:ind w:left="12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348,400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361,800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1,572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1,330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3"/>
          </w:tcPr>
          <w:p>
            <w:pPr>
              <w:jc w:val="right"/>
              <w:ind w:right="1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Days sales outstanding</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Product Mix:</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Notebooks &amp; PDAs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70,676</w:t>
            </w:r>
          </w:p>
        </w:tc>
        <w:tc>
          <w:tcPr>
            <w:tcW w:w="80" w:type="dxa"/>
            <w:vAlign w:val="bottom"/>
          </w:tcPr>
          <w:p>
            <w:pPr>
              <w:spacing w:after="0"/>
              <w:rPr>
                <w:sz w:val="15"/>
                <w:szCs w:val="15"/>
                <w:color w:val="auto"/>
              </w:rPr>
            </w:pPr>
          </w:p>
        </w:tc>
        <w:tc>
          <w:tcPr>
            <w:tcW w:w="700" w:type="dxa"/>
            <w:vAlign w:val="bottom"/>
            <w:gridSpan w:val="3"/>
          </w:tcPr>
          <w:p>
            <w:pPr>
              <w:jc w:val="right"/>
              <w:ind w:right="68"/>
              <w:spacing w:after="0"/>
              <w:rPr>
                <w:sz w:val="20"/>
                <w:szCs w:val="20"/>
                <w:color w:val="auto"/>
              </w:rPr>
            </w:pPr>
            <w:r>
              <w:rPr>
                <w:rFonts w:ascii="Arial" w:cs="Arial" w:eastAsia="Arial" w:hAnsi="Arial"/>
                <w:sz w:val="14"/>
                <w:szCs w:val="14"/>
                <w:color w:val="auto"/>
              </w:rPr>
              <w:t>15%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66,553</w:t>
            </w:r>
          </w:p>
        </w:tc>
        <w:tc>
          <w:tcPr>
            <w:tcW w:w="140" w:type="dxa"/>
            <w:vAlign w:val="bottom"/>
          </w:tcPr>
          <w:p>
            <w:pPr>
              <w:spacing w:after="0"/>
              <w:rPr>
                <w:sz w:val="15"/>
                <w:szCs w:val="15"/>
                <w:color w:val="auto"/>
              </w:rPr>
            </w:pPr>
          </w:p>
        </w:tc>
        <w:tc>
          <w:tcPr>
            <w:tcW w:w="780" w:type="dxa"/>
            <w:vAlign w:val="bottom"/>
            <w:gridSpan w:val="3"/>
          </w:tcPr>
          <w:p>
            <w:pPr>
              <w:jc w:val="right"/>
              <w:ind w:right="8"/>
              <w:spacing w:after="0"/>
              <w:rPr>
                <w:sz w:val="20"/>
                <w:szCs w:val="20"/>
                <w:color w:val="auto"/>
              </w:rPr>
            </w:pPr>
            <w:r>
              <w:rPr>
                <w:rFonts w:ascii="Arial" w:cs="Arial" w:eastAsia="Arial" w:hAnsi="Arial"/>
                <w:sz w:val="14"/>
                <w:szCs w:val="14"/>
                <w:color w:val="auto"/>
              </w:rPr>
              <w:t>15%</w:t>
            </w:r>
          </w:p>
        </w:tc>
        <w:tc>
          <w:tcPr>
            <w:tcW w:w="780" w:type="dxa"/>
            <w:vAlign w:val="bottom"/>
            <w:gridSpan w:val="3"/>
          </w:tcPr>
          <w:p>
            <w:pPr>
              <w:jc w:val="right"/>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Video, Imaging &amp; Sound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68,570</w:t>
            </w: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68,114</w:t>
            </w:r>
          </w:p>
        </w:tc>
        <w:tc>
          <w:tcPr>
            <w:tcW w:w="140" w:type="dxa"/>
            <w:vAlign w:val="bottom"/>
          </w:tcPr>
          <w:p>
            <w:pPr>
              <w:spacing w:after="0"/>
              <w:rPr>
                <w:sz w:val="15"/>
                <w:szCs w:val="15"/>
                <w:color w:val="auto"/>
              </w:rPr>
            </w:pPr>
          </w:p>
        </w:tc>
        <w:tc>
          <w:tcPr>
            <w:tcW w:w="780" w:type="dxa"/>
            <w:vAlign w:val="bottom"/>
            <w:gridSpan w:val="3"/>
          </w:tcPr>
          <w:p>
            <w:pPr>
              <w:jc w:val="right"/>
              <w:ind w:right="128"/>
              <w:spacing w:after="0"/>
              <w:rPr>
                <w:sz w:val="20"/>
                <w:szCs w:val="20"/>
                <w:color w:val="auto"/>
              </w:rPr>
            </w:pPr>
            <w:r>
              <w:rPr>
                <w:rFonts w:ascii="Arial" w:cs="Arial" w:eastAsia="Arial" w:hAnsi="Arial"/>
                <w:sz w:val="14"/>
                <w:szCs w:val="14"/>
                <w:color w:val="auto"/>
              </w:rPr>
              <w:t>15</w:t>
            </w:r>
          </w:p>
        </w:tc>
        <w:tc>
          <w:tcPr>
            <w:tcW w:w="780" w:type="dxa"/>
            <w:vAlign w:val="bottom"/>
            <w:gridSpan w:val="3"/>
          </w:tcPr>
          <w:p>
            <w:pPr>
              <w:jc w:val="right"/>
              <w:ind w:right="2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62,536</w:t>
            </w: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56,102</w:t>
            </w:r>
          </w:p>
        </w:tc>
        <w:tc>
          <w:tcPr>
            <w:tcW w:w="140" w:type="dxa"/>
            <w:vAlign w:val="bottom"/>
          </w:tcPr>
          <w:p>
            <w:pPr>
              <w:spacing w:after="0"/>
              <w:rPr>
                <w:sz w:val="15"/>
                <w:szCs w:val="15"/>
                <w:color w:val="auto"/>
              </w:rPr>
            </w:pPr>
          </w:p>
        </w:tc>
        <w:tc>
          <w:tcPr>
            <w:tcW w:w="780" w:type="dxa"/>
            <w:vAlign w:val="bottom"/>
            <w:gridSpan w:val="3"/>
          </w:tcPr>
          <w:p>
            <w:pPr>
              <w:jc w:val="right"/>
              <w:ind w:right="128"/>
              <w:spacing w:after="0"/>
              <w:rPr>
                <w:sz w:val="20"/>
                <w:szCs w:val="20"/>
                <w:color w:val="auto"/>
              </w:rPr>
            </w:pPr>
            <w:r>
              <w:rPr>
                <w:rFonts w:ascii="Arial" w:cs="Arial" w:eastAsia="Arial" w:hAnsi="Arial"/>
                <w:sz w:val="14"/>
                <w:szCs w:val="14"/>
                <w:color w:val="auto"/>
              </w:rPr>
              <w:t>13</w:t>
            </w:r>
          </w:p>
        </w:tc>
        <w:tc>
          <w:tcPr>
            <w:tcW w:w="780" w:type="dxa"/>
            <w:vAlign w:val="bottom"/>
            <w:gridSpan w:val="3"/>
          </w:tcPr>
          <w:p>
            <w:pPr>
              <w:jc w:val="right"/>
              <w:ind w:right="2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Desktops/Servers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62,035</w:t>
            </w: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53,736</w:t>
            </w:r>
          </w:p>
        </w:tc>
        <w:tc>
          <w:tcPr>
            <w:tcW w:w="140" w:type="dxa"/>
            <w:vAlign w:val="bottom"/>
          </w:tcPr>
          <w:p>
            <w:pPr>
              <w:spacing w:after="0"/>
              <w:rPr>
                <w:sz w:val="15"/>
                <w:szCs w:val="15"/>
                <w:color w:val="auto"/>
              </w:rPr>
            </w:pPr>
          </w:p>
        </w:tc>
        <w:tc>
          <w:tcPr>
            <w:tcW w:w="780" w:type="dxa"/>
            <w:vAlign w:val="bottom"/>
            <w:gridSpan w:val="3"/>
          </w:tcPr>
          <w:p>
            <w:pPr>
              <w:jc w:val="right"/>
              <w:ind w:right="128"/>
              <w:spacing w:after="0"/>
              <w:rPr>
                <w:sz w:val="20"/>
                <w:szCs w:val="20"/>
                <w:color w:val="auto"/>
              </w:rPr>
            </w:pPr>
            <w:r>
              <w:rPr>
                <w:rFonts w:ascii="Arial" w:cs="Arial" w:eastAsia="Arial" w:hAnsi="Arial"/>
                <w:sz w:val="14"/>
                <w:szCs w:val="14"/>
                <w:color w:val="auto"/>
              </w:rPr>
              <w:t>12</w:t>
            </w:r>
          </w:p>
        </w:tc>
        <w:tc>
          <w:tcPr>
            <w:tcW w:w="780" w:type="dxa"/>
            <w:vAlign w:val="bottom"/>
            <w:gridSpan w:val="3"/>
          </w:tcPr>
          <w:p>
            <w:pPr>
              <w:jc w:val="right"/>
              <w:ind w:right="2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Net/Com Products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52,904</w:t>
            </w: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51,126</w:t>
            </w:r>
          </w:p>
        </w:tc>
        <w:tc>
          <w:tcPr>
            <w:tcW w:w="140" w:type="dxa"/>
            <w:vAlign w:val="bottom"/>
          </w:tcPr>
          <w:p>
            <w:pPr>
              <w:spacing w:after="0"/>
              <w:rPr>
                <w:sz w:val="15"/>
                <w:szCs w:val="15"/>
                <w:color w:val="auto"/>
              </w:rPr>
            </w:pPr>
          </w:p>
        </w:tc>
        <w:tc>
          <w:tcPr>
            <w:tcW w:w="780" w:type="dxa"/>
            <w:vAlign w:val="bottom"/>
            <w:gridSpan w:val="3"/>
          </w:tcPr>
          <w:p>
            <w:pPr>
              <w:jc w:val="right"/>
              <w:ind w:right="128"/>
              <w:spacing w:after="0"/>
              <w:rPr>
                <w:sz w:val="20"/>
                <w:szCs w:val="20"/>
                <w:color w:val="auto"/>
              </w:rPr>
            </w:pPr>
            <w:r>
              <w:rPr>
                <w:rFonts w:ascii="Arial" w:cs="Arial" w:eastAsia="Arial" w:hAnsi="Arial"/>
                <w:sz w:val="14"/>
                <w:szCs w:val="14"/>
                <w:color w:val="auto"/>
              </w:rPr>
              <w:t>12</w:t>
            </w:r>
          </w:p>
        </w:tc>
        <w:tc>
          <w:tcPr>
            <w:tcW w:w="780" w:type="dxa"/>
            <w:vAlign w:val="bottom"/>
            <w:gridSpan w:val="3"/>
          </w:tcPr>
          <w:p>
            <w:pPr>
              <w:jc w:val="right"/>
              <w:ind w:right="2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Storage Devices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37,061</w:t>
            </w: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37,940</w:t>
            </w:r>
          </w:p>
        </w:tc>
        <w:tc>
          <w:tcPr>
            <w:tcW w:w="140" w:type="dxa"/>
            <w:vAlign w:val="bottom"/>
          </w:tcPr>
          <w:p>
            <w:pPr>
              <w:spacing w:after="0"/>
              <w:rPr>
                <w:sz w:val="15"/>
                <w:szCs w:val="15"/>
                <w:color w:val="auto"/>
              </w:rPr>
            </w:pPr>
          </w:p>
        </w:tc>
        <w:tc>
          <w:tcPr>
            <w:tcW w:w="780" w:type="dxa"/>
            <w:vAlign w:val="bottom"/>
            <w:gridSpan w:val="3"/>
          </w:tcPr>
          <w:p>
            <w:pPr>
              <w:jc w:val="right"/>
              <w:ind w:right="128"/>
              <w:spacing w:after="0"/>
              <w:rPr>
                <w:sz w:val="20"/>
                <w:szCs w:val="20"/>
                <w:color w:val="auto"/>
              </w:rPr>
            </w:pPr>
            <w:r>
              <w:rPr>
                <w:rFonts w:ascii="Arial" w:cs="Arial" w:eastAsia="Arial" w:hAnsi="Arial"/>
                <w:sz w:val="14"/>
                <w:szCs w:val="14"/>
                <w:color w:val="auto"/>
              </w:rPr>
              <w:t>9</w:t>
            </w:r>
          </w:p>
        </w:tc>
        <w:tc>
          <w:tcPr>
            <w:tcW w:w="780" w:type="dxa"/>
            <w:vAlign w:val="bottom"/>
            <w:gridSpan w:val="3"/>
          </w:tcPr>
          <w:p>
            <w:pPr>
              <w:jc w:val="right"/>
              <w:ind w:right="1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Printers &amp; Printer Supplies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36,403</w:t>
            </w: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36,713</w:t>
            </w:r>
          </w:p>
        </w:tc>
        <w:tc>
          <w:tcPr>
            <w:tcW w:w="140" w:type="dxa"/>
            <w:vAlign w:val="bottom"/>
          </w:tcPr>
          <w:p>
            <w:pPr>
              <w:spacing w:after="0"/>
              <w:rPr>
                <w:sz w:val="15"/>
                <w:szCs w:val="15"/>
                <w:color w:val="auto"/>
              </w:rPr>
            </w:pPr>
          </w:p>
        </w:tc>
        <w:tc>
          <w:tcPr>
            <w:tcW w:w="780" w:type="dxa"/>
            <w:vAlign w:val="bottom"/>
            <w:gridSpan w:val="3"/>
          </w:tcPr>
          <w:p>
            <w:pPr>
              <w:jc w:val="right"/>
              <w:ind w:right="128"/>
              <w:spacing w:after="0"/>
              <w:rPr>
                <w:sz w:val="20"/>
                <w:szCs w:val="20"/>
                <w:color w:val="auto"/>
              </w:rPr>
            </w:pPr>
            <w:r>
              <w:rPr>
                <w:rFonts w:ascii="Arial" w:cs="Arial" w:eastAsia="Arial" w:hAnsi="Arial"/>
                <w:sz w:val="14"/>
                <w:szCs w:val="14"/>
                <w:color w:val="auto"/>
              </w:rPr>
              <w:t>8</w:t>
            </w:r>
          </w:p>
        </w:tc>
        <w:tc>
          <w:tcPr>
            <w:tcW w:w="780" w:type="dxa"/>
            <w:vAlign w:val="bottom"/>
            <w:gridSpan w:val="3"/>
          </w:tcPr>
          <w:p>
            <w:pPr>
              <w:jc w:val="right"/>
              <w:ind w:right="1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Memory &amp; System Enhancements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22,326</w:t>
            </w: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16,741</w:t>
            </w:r>
          </w:p>
        </w:tc>
        <w:tc>
          <w:tcPr>
            <w:tcW w:w="140" w:type="dxa"/>
            <w:vAlign w:val="bottom"/>
          </w:tcPr>
          <w:p>
            <w:pPr>
              <w:spacing w:after="0"/>
              <w:rPr>
                <w:sz w:val="15"/>
                <w:szCs w:val="15"/>
                <w:color w:val="auto"/>
              </w:rPr>
            </w:pPr>
          </w:p>
        </w:tc>
        <w:tc>
          <w:tcPr>
            <w:tcW w:w="780" w:type="dxa"/>
            <w:vAlign w:val="bottom"/>
            <w:gridSpan w:val="3"/>
          </w:tcPr>
          <w:p>
            <w:pPr>
              <w:jc w:val="right"/>
              <w:ind w:right="128"/>
              <w:spacing w:after="0"/>
              <w:rPr>
                <w:sz w:val="20"/>
                <w:szCs w:val="20"/>
                <w:color w:val="auto"/>
              </w:rPr>
            </w:pPr>
            <w:r>
              <w:rPr>
                <w:rFonts w:ascii="Arial" w:cs="Arial" w:eastAsia="Arial" w:hAnsi="Arial"/>
                <w:sz w:val="14"/>
                <w:szCs w:val="14"/>
                <w:color w:val="auto"/>
              </w:rPr>
              <w:t>4</w:t>
            </w:r>
          </w:p>
        </w:tc>
        <w:tc>
          <w:tcPr>
            <w:tcW w:w="780" w:type="dxa"/>
            <w:vAlign w:val="bottom"/>
            <w:gridSpan w:val="3"/>
          </w:tcPr>
          <w:p>
            <w:pPr>
              <w:jc w:val="right"/>
              <w:ind w:right="2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Accessories/Other</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50,610</w:t>
            </w:r>
          </w:p>
        </w:tc>
        <w:tc>
          <w:tcPr>
            <w:tcW w:w="8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52,088</w:t>
            </w:r>
          </w:p>
        </w:tc>
        <w:tc>
          <w:tcPr>
            <w:tcW w:w="140" w:type="dxa"/>
            <w:vAlign w:val="bottom"/>
          </w:tcPr>
          <w:p>
            <w:pPr>
              <w:spacing w:after="0"/>
              <w:rPr>
                <w:sz w:val="15"/>
                <w:szCs w:val="15"/>
                <w:color w:val="auto"/>
              </w:rPr>
            </w:pPr>
          </w:p>
        </w:tc>
        <w:tc>
          <w:tcPr>
            <w:tcW w:w="780" w:type="dxa"/>
            <w:vAlign w:val="bottom"/>
            <w:gridSpan w:val="3"/>
          </w:tcPr>
          <w:p>
            <w:pPr>
              <w:jc w:val="right"/>
              <w:ind w:right="128"/>
              <w:spacing w:after="0"/>
              <w:rPr>
                <w:sz w:val="20"/>
                <w:szCs w:val="20"/>
                <w:color w:val="auto"/>
              </w:rPr>
            </w:pPr>
            <w:r>
              <w:rPr>
                <w:rFonts w:ascii="Arial" w:cs="Arial" w:eastAsia="Arial" w:hAnsi="Arial"/>
                <w:sz w:val="14"/>
                <w:szCs w:val="14"/>
                <w:color w:val="auto"/>
              </w:rPr>
              <w:t>12</w:t>
            </w:r>
          </w:p>
        </w:tc>
        <w:tc>
          <w:tcPr>
            <w:tcW w:w="780" w:type="dxa"/>
            <w:vAlign w:val="bottom"/>
            <w:gridSpan w:val="3"/>
          </w:tcPr>
          <w:p>
            <w:pPr>
              <w:jc w:val="right"/>
              <w:ind w:right="1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463,121</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439,113</w:t>
            </w:r>
          </w:p>
        </w:tc>
        <w:tc>
          <w:tcPr>
            <w:tcW w:w="1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gridSpan w:val="2"/>
          </w:tcPr>
          <w:p>
            <w:pPr>
              <w:jc w:val="right"/>
              <w:ind w:right="10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Net Sales of Enterprise Server and Networking Products (included in the above Product Mix):</w:t>
            </w: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920" w:type="dxa"/>
            <w:vAlign w:val="bottom"/>
            <w:gridSpan w:val="4"/>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186,767</w:t>
            </w:r>
          </w:p>
        </w:tc>
        <w:tc>
          <w:tcPr>
            <w:tcW w:w="80" w:type="dxa"/>
            <w:vAlign w:val="bottom"/>
          </w:tcPr>
          <w:p>
            <w:pPr>
              <w:spacing w:after="0"/>
              <w:rPr>
                <w:sz w:val="24"/>
                <w:szCs w:val="24"/>
                <w:color w:val="auto"/>
              </w:rPr>
            </w:pPr>
          </w:p>
        </w:tc>
        <w:tc>
          <w:tcPr>
            <w:tcW w:w="700" w:type="dxa"/>
            <w:vAlign w:val="bottom"/>
            <w:gridSpan w:val="3"/>
          </w:tcPr>
          <w:p>
            <w:pPr>
              <w:jc w:val="right"/>
              <w:ind w:right="68"/>
              <w:spacing w:after="0"/>
              <w:rPr>
                <w:sz w:val="20"/>
                <w:szCs w:val="20"/>
                <w:color w:val="auto"/>
              </w:rPr>
            </w:pPr>
            <w:r>
              <w:rPr>
                <w:rFonts w:ascii="Arial" w:cs="Arial" w:eastAsia="Arial" w:hAnsi="Arial"/>
                <w:sz w:val="14"/>
                <w:szCs w:val="14"/>
                <w:color w:val="auto"/>
              </w:rPr>
              <w:t>40%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164,140</w:t>
            </w:r>
          </w:p>
        </w:tc>
        <w:tc>
          <w:tcPr>
            <w:tcW w:w="140" w:type="dxa"/>
            <w:vAlign w:val="bottom"/>
          </w:tcPr>
          <w:p>
            <w:pPr>
              <w:spacing w:after="0"/>
              <w:rPr>
                <w:sz w:val="24"/>
                <w:szCs w:val="24"/>
                <w:color w:val="auto"/>
              </w:rPr>
            </w:pPr>
          </w:p>
        </w:tc>
        <w:tc>
          <w:tcPr>
            <w:tcW w:w="780" w:type="dxa"/>
            <w:vAlign w:val="bottom"/>
            <w:gridSpan w:val="3"/>
          </w:tcPr>
          <w:p>
            <w:pPr>
              <w:jc w:val="right"/>
              <w:ind w:right="8"/>
              <w:spacing w:after="0"/>
              <w:rPr>
                <w:sz w:val="20"/>
                <w:szCs w:val="20"/>
                <w:color w:val="auto"/>
              </w:rPr>
            </w:pPr>
            <w:r>
              <w:rPr>
                <w:rFonts w:ascii="Arial" w:cs="Arial" w:eastAsia="Arial" w:hAnsi="Arial"/>
                <w:sz w:val="14"/>
                <w:szCs w:val="14"/>
                <w:color w:val="auto"/>
              </w:rPr>
              <w:t>37%</w:t>
            </w:r>
          </w:p>
        </w:tc>
        <w:tc>
          <w:tcPr>
            <w:tcW w:w="780" w:type="dxa"/>
            <w:vAlign w:val="bottom"/>
            <w:gridSpan w:val="3"/>
          </w:tcPr>
          <w:p>
            <w:pPr>
              <w:jc w:val="right"/>
              <w:ind w:right="10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Performance Indicators:</w:t>
            </w: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7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Actual shares outstanding</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26,848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26,829</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Total book value per share</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8.76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8.77</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Tangible book value per share</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6.93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6.90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Closing price</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6.75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Market capitalization</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181,224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137,364</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80" w:type="dxa"/>
            <w:vAlign w:val="bottom"/>
            <w:gridSpan w:val="2"/>
          </w:tcPr>
          <w:p>
            <w:pPr>
              <w:ind w:left="120"/>
              <w:spacing w:after="0"/>
              <w:rPr>
                <w:sz w:val="20"/>
                <w:szCs w:val="20"/>
                <w:color w:val="auto"/>
              </w:rPr>
            </w:pPr>
            <w:r>
              <w:rPr>
                <w:rFonts w:ascii="Arial" w:cs="Arial" w:eastAsia="Arial" w:hAnsi="Arial"/>
                <w:sz w:val="14"/>
                <w:szCs w:val="14"/>
                <w:color w:val="auto"/>
              </w:rPr>
              <w:t xml:space="preserve">Pro forma trailing price/earnings ratio </w:t>
            </w:r>
            <w:r>
              <w:rPr>
                <w:rFonts w:ascii="Arial" w:cs="Arial" w:eastAsia="Arial" w:hAnsi="Arial"/>
                <w:sz w:val="23"/>
                <w:szCs w:val="23"/>
                <w:color w:val="auto"/>
                <w:vertAlign w:val="superscript"/>
              </w:rPr>
              <w:t>(3)</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80" w:type="dxa"/>
            <w:vAlign w:val="bottom"/>
            <w:gridSpan w:val="2"/>
          </w:tcPr>
          <w:p>
            <w:pPr>
              <w:ind w:left="60"/>
              <w:spacing w:after="0"/>
              <w:rPr>
                <w:sz w:val="20"/>
                <w:szCs w:val="20"/>
                <w:color w:val="auto"/>
              </w:rPr>
            </w:pPr>
            <w:r>
              <w:rPr>
                <w:rFonts w:ascii="Arial" w:cs="Arial" w:eastAsia="Arial" w:hAnsi="Arial"/>
                <w:sz w:val="14"/>
                <w:szCs w:val="14"/>
                <w:color w:val="auto"/>
              </w:rPr>
              <w:t>(1) Annualized</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60"/>
              <w:spacing w:after="0"/>
              <w:rPr>
                <w:sz w:val="20"/>
                <w:szCs w:val="20"/>
                <w:color w:val="auto"/>
              </w:rPr>
            </w:pPr>
            <w:r>
              <w:rPr>
                <w:rFonts w:ascii="Arial" w:cs="Arial" w:eastAsia="Arial" w:hAnsi="Arial"/>
                <w:sz w:val="14"/>
                <w:szCs w:val="14"/>
                <w:color w:val="auto"/>
              </w:rPr>
              <w:t>(2) Does not reflect cancellations or returns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80" w:type="dxa"/>
            <w:vAlign w:val="bottom"/>
            <w:gridSpan w:val="2"/>
          </w:tcPr>
          <w:p>
            <w:pPr>
              <w:ind w:left="60"/>
              <w:spacing w:after="0"/>
              <w:rPr>
                <w:sz w:val="20"/>
                <w:szCs w:val="20"/>
                <w:color w:val="auto"/>
              </w:rPr>
            </w:pPr>
            <w:r>
              <w:rPr>
                <w:rFonts w:ascii="Arial" w:cs="Arial" w:eastAsia="Arial" w:hAnsi="Arial"/>
                <w:sz w:val="14"/>
                <w:szCs w:val="14"/>
                <w:color w:val="auto"/>
              </w:rPr>
              <w:t>(3) Earnings per share is based on the last four quarters and excludes special charges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56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SELECTED SEGMENT INFORMATION</w:t>
            </w: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 December 31,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88"/>
              <w:spacing w:after="0" w:line="160" w:lineRule="exact"/>
              <w:rPr>
                <w:sz w:val="20"/>
                <w:szCs w:val="20"/>
                <w:color w:val="auto"/>
              </w:rPr>
            </w:pPr>
            <w:r>
              <w:rPr>
                <w:rFonts w:ascii="Arial" w:cs="Arial" w:eastAsia="Arial" w:hAnsi="Arial"/>
                <w:sz w:val="14"/>
                <w:szCs w:val="14"/>
                <w:b w:val="1"/>
                <w:bCs w:val="1"/>
                <w:color w:val="auto"/>
              </w:rPr>
              <w:t>Net</w:t>
            </w: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rPr>
              <w:t>Gross</w:t>
            </w:r>
          </w:p>
        </w:tc>
        <w:tc>
          <w:tcPr>
            <w:tcW w:w="3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600"/>
              <w:spacing w:after="0" w:line="160" w:lineRule="exact"/>
              <w:rPr>
                <w:sz w:val="20"/>
                <w:szCs w:val="20"/>
                <w:color w:val="auto"/>
              </w:rPr>
            </w:pPr>
            <w:r>
              <w:rPr>
                <w:rFonts w:ascii="Arial" w:cs="Arial" w:eastAsia="Arial" w:hAnsi="Arial"/>
                <w:sz w:val="14"/>
                <w:szCs w:val="14"/>
                <w:b w:val="1"/>
                <w:bCs w:val="1"/>
                <w:color w:val="auto"/>
              </w:rPr>
              <w:t>Net</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ind w:right="548"/>
              <w:spacing w:after="0" w:line="160"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5"/>
        </w:trPr>
        <w:tc>
          <w:tcPr>
            <w:tcW w:w="5700" w:type="dxa"/>
            <w:vAlign w:val="bottom"/>
            <w:gridSpan w:val="3"/>
          </w:tcPr>
          <w:p>
            <w:pPr>
              <w:spacing w:after="0"/>
              <w:rPr>
                <w:sz w:val="20"/>
                <w:szCs w:val="20"/>
                <w:color w:val="auto"/>
              </w:rPr>
            </w:pPr>
            <w:r>
              <w:rPr>
                <w:rFonts w:ascii="Arial" w:cs="Arial" w:eastAsia="Arial" w:hAnsi="Arial"/>
                <w:sz w:val="14"/>
                <w:szCs w:val="14"/>
                <w:i w:val="1"/>
                <w:iCs w:val="1"/>
                <w:color w:val="auto"/>
              </w:rPr>
              <w:t>(amounts in thousands)</w:t>
            </w:r>
          </w:p>
        </w:tc>
        <w:tc>
          <w:tcPr>
            <w:tcW w:w="220" w:type="dxa"/>
            <w:vAlign w:val="bottom"/>
          </w:tcPr>
          <w:p>
            <w:pPr>
              <w:spacing w:after="0"/>
              <w:rPr>
                <w:sz w:val="16"/>
                <w:szCs w:val="16"/>
                <w:color w:val="auto"/>
              </w:rPr>
            </w:pPr>
          </w:p>
        </w:tc>
        <w:tc>
          <w:tcPr>
            <w:tcW w:w="840" w:type="dxa"/>
            <w:vAlign w:val="bottom"/>
          </w:tcPr>
          <w:p>
            <w:pPr>
              <w:jc w:val="right"/>
              <w:ind w:right="348"/>
              <w:spacing w:after="0"/>
              <w:rPr>
                <w:sz w:val="20"/>
                <w:szCs w:val="20"/>
                <w:color w:val="auto"/>
              </w:rPr>
            </w:pPr>
            <w:r>
              <w:rPr>
                <w:rFonts w:ascii="Arial" w:cs="Arial" w:eastAsia="Arial" w:hAnsi="Arial"/>
                <w:sz w:val="14"/>
                <w:szCs w:val="14"/>
                <w:b w:val="1"/>
                <w:bCs w:val="1"/>
                <w:color w:val="auto"/>
              </w:rPr>
              <w:t>Sales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Margin (%)</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Sales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6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PC Connection Sales Corporation (SMB)</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220,799</w:t>
            </w: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12.6%</w:t>
            </w:r>
          </w:p>
        </w:tc>
        <w:tc>
          <w:tcPr>
            <w:tcW w:w="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225,069</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3"/>
          </w:tcPr>
          <w:p>
            <w:pPr>
              <w:jc w:val="right"/>
              <w:ind w:right="328"/>
              <w:spacing w:after="0"/>
              <w:rPr>
                <w:sz w:val="20"/>
                <w:szCs w:val="20"/>
                <w:color w:val="auto"/>
              </w:rPr>
            </w:pPr>
            <w:r>
              <w:rPr>
                <w:rFonts w:ascii="Arial" w:cs="Arial" w:eastAsia="Arial" w:hAnsi="Arial"/>
                <w:sz w:val="14"/>
                <w:szCs w:val="14"/>
                <w:color w:val="auto"/>
                <w:w w:val="90"/>
              </w:rPr>
              <w:t>13.6%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2"/>
          </w:tcPr>
          <w:p>
            <w:pPr>
              <w:ind w:left="200"/>
              <w:spacing w:after="0"/>
              <w:rPr>
                <w:sz w:val="20"/>
                <w:szCs w:val="20"/>
                <w:color w:val="auto"/>
              </w:rPr>
            </w:pPr>
            <w:r>
              <w:rPr>
                <w:rFonts w:ascii="Arial" w:cs="Arial" w:eastAsia="Arial" w:hAnsi="Arial"/>
                <w:sz w:val="14"/>
                <w:szCs w:val="14"/>
                <w:color w:val="auto"/>
              </w:rPr>
              <w:t>MoreDirect (Large Account)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123,573</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9.7%</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113,422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3"/>
          </w:tcPr>
          <w:p>
            <w:pPr>
              <w:jc w:val="right"/>
              <w:ind w:right="448"/>
              <w:spacing w:after="0"/>
              <w:rPr>
                <w:sz w:val="20"/>
                <w:szCs w:val="20"/>
                <w:color w:val="auto"/>
              </w:rPr>
            </w:pPr>
            <w:r>
              <w:rPr>
                <w:rFonts w:ascii="Arial" w:cs="Arial" w:eastAsia="Arial" w:hAnsi="Arial"/>
                <w:sz w:val="14"/>
                <w:szCs w:val="14"/>
                <w:color w:val="auto"/>
                <w:w w:val="87"/>
              </w:rPr>
              <w:t>10.4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gridSpan w:val="2"/>
          </w:tcPr>
          <w:p>
            <w:pPr>
              <w:ind w:left="200"/>
              <w:spacing w:after="0"/>
              <w:rPr>
                <w:sz w:val="20"/>
                <w:szCs w:val="20"/>
                <w:color w:val="auto"/>
              </w:rPr>
            </w:pPr>
            <w:r>
              <w:rPr>
                <w:rFonts w:ascii="Arial" w:cs="Arial" w:eastAsia="Arial" w:hAnsi="Arial"/>
                <w:sz w:val="14"/>
                <w:szCs w:val="14"/>
                <w:color w:val="auto"/>
              </w:rPr>
              <w:t>GovConnection (Public Sector)</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118,749</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100,622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3"/>
          </w:tcPr>
          <w:p>
            <w:pPr>
              <w:jc w:val="right"/>
              <w:ind w:right="44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20" w:type="dxa"/>
            <w:vAlign w:val="bottom"/>
          </w:tcPr>
          <w:p>
            <w:pPr>
              <w:ind w:left="400"/>
              <w:spacing w:after="0"/>
              <w:rPr>
                <w:sz w:val="20"/>
                <w:szCs w:val="20"/>
                <w:color w:val="auto"/>
              </w:rPr>
            </w:pPr>
            <w:r>
              <w:rPr>
                <w:rFonts w:ascii="Arial" w:cs="Arial" w:eastAsia="Arial" w:hAnsi="Arial"/>
                <w:sz w:val="14"/>
                <w:szCs w:val="14"/>
                <w:color w:val="auto"/>
              </w:rPr>
              <w:t>Total</w:t>
            </w:r>
          </w:p>
        </w:tc>
        <w:tc>
          <w:tcPr>
            <w:tcW w:w="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463,121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11.3%</w:t>
            </w:r>
          </w:p>
        </w:tc>
        <w:tc>
          <w:tcPr>
            <w:tcW w:w="480" w:type="dxa"/>
            <w:vAlign w:val="bottom"/>
            <w:gridSpan w:val="2"/>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439,113</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3"/>
          </w:tcPr>
          <w:p>
            <w:pPr>
              <w:jc w:val="right"/>
              <w:ind w:right="328"/>
              <w:spacing w:after="0"/>
              <w:rPr>
                <w:sz w:val="20"/>
                <w:szCs w:val="20"/>
                <w:color w:val="auto"/>
              </w:rPr>
            </w:pPr>
            <w:r>
              <w:rPr>
                <w:rFonts w:ascii="Arial" w:cs="Arial" w:eastAsia="Arial" w:hAnsi="Arial"/>
                <w:sz w:val="14"/>
                <w:szCs w:val="14"/>
                <w:color w:val="auto"/>
                <w:w w:val="90"/>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STATEMENTS OF OPERATIONS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Three Months Ended December 31,</w:t>
            </w: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5"/>
          </w:tcPr>
          <w:p>
            <w:pPr>
              <w:jc w:val="right"/>
              <w:ind w:right="748"/>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 of Net Sales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5080" w:type="dxa"/>
            <w:vAlign w:val="bottom"/>
            <w:gridSpan w:val="4"/>
          </w:tcPr>
          <w:p>
            <w:pPr>
              <w:spacing w:after="0"/>
              <w:rPr>
                <w:sz w:val="20"/>
                <w:szCs w:val="20"/>
                <w:color w:val="auto"/>
              </w:rPr>
            </w:pPr>
            <w:r>
              <w:rPr>
                <w:rFonts w:ascii="Arial" w:cs="Arial" w:eastAsia="Arial" w:hAnsi="Arial"/>
                <w:sz w:val="14"/>
                <w:szCs w:val="14"/>
                <w:color w:val="auto"/>
              </w:rPr>
              <w:t>Net sales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463,121</w:t>
            </w:r>
          </w:p>
        </w:tc>
        <w:tc>
          <w:tcPr>
            <w:tcW w:w="20" w:type="dxa"/>
            <w:vAlign w:val="bottom"/>
          </w:tcPr>
          <w:p>
            <w:pPr>
              <w:spacing w:after="0"/>
              <w:rPr>
                <w:sz w:val="24"/>
                <w:szCs w:val="24"/>
                <w:color w:val="auto"/>
              </w:rPr>
            </w:pPr>
          </w:p>
        </w:tc>
        <w:tc>
          <w:tcPr>
            <w:tcW w:w="1760" w:type="dxa"/>
            <w:vAlign w:val="bottom"/>
            <w:gridSpan w:val="7"/>
          </w:tcPr>
          <w:p>
            <w:pPr>
              <w:jc w:val="right"/>
              <w:ind w:right="28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4"/>
                <w:szCs w:val="24"/>
                <w:color w:val="auto"/>
              </w:rPr>
            </w:pPr>
          </w:p>
        </w:tc>
        <w:tc>
          <w:tcPr>
            <w:tcW w:w="44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439,113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448"/>
              <w:spacing w:after="0"/>
              <w:rPr>
                <w:sz w:val="20"/>
                <w:szCs w:val="20"/>
                <w:color w:val="auto"/>
              </w:rPr>
            </w:pPr>
            <w:r>
              <w:rPr>
                <w:rFonts w:ascii="Arial" w:cs="Arial" w:eastAsia="Arial" w:hAnsi="Arial"/>
                <w:sz w:val="14"/>
                <w:szCs w:val="14"/>
                <w:color w:val="auto"/>
                <w:w w:val="92"/>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080" w:type="dxa"/>
            <w:vAlign w:val="bottom"/>
            <w:gridSpan w:val="4"/>
          </w:tcPr>
          <w:p>
            <w:pPr>
              <w:spacing w:after="0"/>
              <w:rPr>
                <w:sz w:val="20"/>
                <w:szCs w:val="20"/>
                <w:color w:val="auto"/>
              </w:rPr>
            </w:pPr>
            <w:r>
              <w:rPr>
                <w:rFonts w:ascii="Arial" w:cs="Arial" w:eastAsia="Arial" w:hAnsi="Arial"/>
                <w:sz w:val="14"/>
                <w:szCs w:val="14"/>
                <w:color w:val="auto"/>
              </w:rPr>
              <w:t>Cost of sales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410,622</w:t>
            </w:r>
          </w:p>
        </w:tc>
        <w:tc>
          <w:tcPr>
            <w:tcW w:w="20" w:type="dxa"/>
            <w:vAlign w:val="bottom"/>
          </w:tcPr>
          <w:p>
            <w:pPr>
              <w:spacing w:after="0"/>
              <w:rPr>
                <w:sz w:val="15"/>
                <w:szCs w:val="15"/>
                <w:color w:val="auto"/>
              </w:rPr>
            </w:pPr>
          </w:p>
        </w:tc>
        <w:tc>
          <w:tcPr>
            <w:tcW w:w="1460" w:type="dxa"/>
            <w:vAlign w:val="bottom"/>
            <w:gridSpan w:val="6"/>
          </w:tcPr>
          <w:p>
            <w:pPr>
              <w:jc w:val="right"/>
              <w:ind w:right="100"/>
              <w:spacing w:after="0"/>
              <w:rPr>
                <w:sz w:val="20"/>
                <w:szCs w:val="20"/>
                <w:color w:val="auto"/>
              </w:rPr>
            </w:pPr>
            <w:r>
              <w:rPr>
                <w:rFonts w:ascii="Arial" w:cs="Arial" w:eastAsia="Arial" w:hAnsi="Arial"/>
                <w:sz w:val="14"/>
                <w:szCs w:val="14"/>
                <w:color w:val="auto"/>
              </w:rPr>
              <w:t>88.7</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387,176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68"/>
              <w:spacing w:after="0"/>
              <w:rPr>
                <w:sz w:val="20"/>
                <w:szCs w:val="20"/>
                <w:color w:val="auto"/>
              </w:rPr>
            </w:pPr>
            <w:r>
              <w:rPr>
                <w:rFonts w:ascii="Arial" w:cs="Arial" w:eastAsia="Arial" w:hAnsi="Arial"/>
                <w:sz w:val="14"/>
                <w:szCs w:val="14"/>
                <w:color w:val="auto"/>
              </w:rPr>
              <w:t>88.2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b w:val="1"/>
                <w:bCs w:val="1"/>
                <w:color w:val="auto"/>
              </w:rPr>
              <w:t>Gross profit</w:t>
            </w: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52,499</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11.3</w:t>
            </w: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51,937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080" w:type="dxa"/>
            <w:vAlign w:val="bottom"/>
            <w:gridSpan w:val="4"/>
          </w:tcPr>
          <w:p>
            <w:pPr>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45,984</w:t>
            </w:r>
          </w:p>
        </w:tc>
        <w:tc>
          <w:tcPr>
            <w:tcW w:w="20" w:type="dxa"/>
            <w:vAlign w:val="bottom"/>
          </w:tcPr>
          <w:p>
            <w:pPr>
              <w:spacing w:after="0"/>
              <w:rPr>
                <w:sz w:val="24"/>
                <w:szCs w:val="24"/>
                <w:color w:val="auto"/>
              </w:rPr>
            </w:pPr>
          </w:p>
        </w:tc>
        <w:tc>
          <w:tcPr>
            <w:tcW w:w="1460" w:type="dxa"/>
            <w:vAlign w:val="bottom"/>
            <w:gridSpan w:val="6"/>
          </w:tcPr>
          <w:p>
            <w:pPr>
              <w:jc w:val="right"/>
              <w:ind w:right="100"/>
              <w:spacing w:after="0"/>
              <w:rPr>
                <w:sz w:val="20"/>
                <w:szCs w:val="20"/>
                <w:color w:val="auto"/>
              </w:rPr>
            </w:pPr>
            <w:r>
              <w:rPr>
                <w:rFonts w:ascii="Arial" w:cs="Arial" w:eastAsia="Arial" w:hAnsi="Arial"/>
                <w:sz w:val="14"/>
                <w:szCs w:val="14"/>
                <w:color w:val="auto"/>
              </w:rPr>
              <w:t>9.9</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46,290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568"/>
              <w:spacing w:after="0"/>
              <w:rPr>
                <w:sz w:val="20"/>
                <w:szCs w:val="20"/>
                <w:color w:val="auto"/>
              </w:rPr>
            </w:pPr>
            <w:r>
              <w:rPr>
                <w:rFonts w:ascii="Arial" w:cs="Arial" w:eastAsia="Arial" w:hAnsi="Arial"/>
                <w:sz w:val="14"/>
                <w:szCs w:val="14"/>
                <w:color w:val="auto"/>
              </w:rPr>
              <w:t>10.5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80" w:type="dxa"/>
            <w:vAlign w:val="bottom"/>
            <w:gridSpan w:val="4"/>
          </w:tcPr>
          <w:p>
            <w:pPr>
              <w:spacing w:after="0"/>
              <w:rPr>
                <w:sz w:val="20"/>
                <w:szCs w:val="20"/>
                <w:color w:val="auto"/>
              </w:rPr>
            </w:pPr>
            <w:r>
              <w:rPr>
                <w:rFonts w:ascii="Arial" w:cs="Arial" w:eastAsia="Arial" w:hAnsi="Arial"/>
                <w:sz w:val="14"/>
                <w:szCs w:val="14"/>
                <w:color w:val="auto"/>
              </w:rPr>
              <w:t>Special charges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5"/>
                <w:szCs w:val="15"/>
                <w:color w:val="auto"/>
              </w:rPr>
            </w:pPr>
          </w:p>
        </w:tc>
        <w:tc>
          <w:tcPr>
            <w:tcW w:w="1460" w:type="dxa"/>
            <w:vAlign w:val="bottom"/>
            <w:gridSpan w:val="6"/>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80" w:type="dxa"/>
            <w:vAlign w:val="bottom"/>
            <w:gridSpan w:val="4"/>
          </w:tcPr>
          <w:p>
            <w:pPr>
              <w:spacing w:after="0"/>
              <w:rPr>
                <w:sz w:val="20"/>
                <w:szCs w:val="20"/>
                <w:color w:val="auto"/>
              </w:rPr>
            </w:pPr>
            <w:r>
              <w:rPr>
                <w:rFonts w:ascii="Arial" w:cs="Arial" w:eastAsia="Arial" w:hAnsi="Arial"/>
                <w:sz w:val="14"/>
                <w:szCs w:val="14"/>
                <w:color w:val="auto"/>
              </w:rPr>
              <w:t>Goodwill impairment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60" w:type="dxa"/>
            <w:vAlign w:val="bottom"/>
            <w:gridSpan w:val="6"/>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8,807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68"/>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b w:val="1"/>
                <w:bCs w:val="1"/>
                <w:color w:val="auto"/>
              </w:rPr>
              <w:t>Income (loss) from operations</w:t>
            </w: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6,644</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1.4</w:t>
            </w: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(3,160)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080" w:type="dxa"/>
            <w:vAlign w:val="bottom"/>
            <w:gridSpan w:val="4"/>
          </w:tcPr>
          <w:p>
            <w:pPr>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w:t>
            </w:r>
          </w:p>
        </w:tc>
        <w:tc>
          <w:tcPr>
            <w:tcW w:w="20" w:type="dxa"/>
            <w:vAlign w:val="bottom"/>
          </w:tcPr>
          <w:p>
            <w:pPr>
              <w:spacing w:after="0"/>
              <w:rPr>
                <w:sz w:val="24"/>
                <w:szCs w:val="24"/>
                <w:color w:val="auto"/>
              </w:rPr>
            </w:pPr>
          </w:p>
        </w:tc>
        <w:tc>
          <w:tcPr>
            <w:tcW w:w="1460" w:type="dxa"/>
            <w:vAlign w:val="bottom"/>
            <w:gridSpan w:val="6"/>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80" w:type="dxa"/>
            <w:vAlign w:val="bottom"/>
            <w:gridSpan w:val="4"/>
          </w:tcPr>
          <w:p>
            <w:pPr>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5"/>
                <w:szCs w:val="15"/>
                <w:color w:val="auto"/>
              </w:rPr>
            </w:pPr>
          </w:p>
        </w:tc>
        <w:tc>
          <w:tcPr>
            <w:tcW w:w="1460" w:type="dxa"/>
            <w:vAlign w:val="bottom"/>
            <w:gridSpan w:val="6"/>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80" w:type="dxa"/>
            <w:vAlign w:val="bottom"/>
            <w:gridSpan w:val="4"/>
          </w:tcPr>
          <w:p>
            <w:pPr>
              <w:spacing w:after="0"/>
              <w:rPr>
                <w:sz w:val="20"/>
                <w:szCs w:val="20"/>
                <w:color w:val="auto"/>
              </w:rPr>
            </w:pPr>
            <w:r>
              <w:rPr>
                <w:rFonts w:ascii="Arial" w:cs="Arial" w:eastAsia="Arial" w:hAnsi="Arial"/>
                <w:sz w:val="14"/>
                <w:szCs w:val="14"/>
                <w:color w:val="auto"/>
              </w:rPr>
              <w:t>Income tax (provision) benefit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(2,617)</w:t>
            </w:r>
          </w:p>
        </w:tc>
        <w:tc>
          <w:tcPr>
            <w:tcW w:w="20" w:type="dxa"/>
            <w:vAlign w:val="bottom"/>
          </w:tcPr>
          <w:p>
            <w:pPr>
              <w:spacing w:after="0"/>
              <w:rPr>
                <w:sz w:val="15"/>
                <w:szCs w:val="15"/>
                <w:color w:val="auto"/>
              </w:rPr>
            </w:pPr>
          </w:p>
        </w:tc>
        <w:tc>
          <w:tcPr>
            <w:tcW w:w="1460" w:type="dxa"/>
            <w:vAlign w:val="bottom"/>
            <w:gridSpan w:val="6"/>
          </w:tcPr>
          <w:p>
            <w:pPr>
              <w:jc w:val="right"/>
              <w:ind w:right="60"/>
              <w:spacing w:after="0"/>
              <w:rPr>
                <w:sz w:val="20"/>
                <w:szCs w:val="20"/>
                <w:color w:val="auto"/>
              </w:rPr>
            </w:pPr>
            <w:r>
              <w:rPr>
                <w:rFonts w:ascii="Arial" w:cs="Arial" w:eastAsia="Arial" w:hAnsi="Arial"/>
                <w:sz w:val="14"/>
                <w:szCs w:val="14"/>
                <w:color w:val="auto"/>
              </w:rPr>
              <w:t>(0.5)</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383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56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3,967</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top w:val="single" w:sz="8" w:color="auto"/>
              <w:bottom w:val="single" w:sz="8" w:color="auto"/>
            </w:tcBorders>
            <w:gridSpan w:val="5"/>
          </w:tcPr>
          <w:p>
            <w:pPr>
              <w:jc w:val="right"/>
              <w:ind w:right="280"/>
              <w:spacing w:after="0"/>
              <w:rPr>
                <w:sz w:val="20"/>
                <w:szCs w:val="20"/>
                <w:color w:val="auto"/>
              </w:rPr>
            </w:pPr>
            <w:r>
              <w:rPr>
                <w:rFonts w:ascii="Arial" w:cs="Arial" w:eastAsia="Arial" w:hAnsi="Arial"/>
                <w:sz w:val="14"/>
                <w:szCs w:val="14"/>
                <w:color w:val="auto"/>
              </w:rPr>
              <w:t>0.9%</w:t>
            </w: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($2,709)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spacing w:after="0"/>
              <w:rPr>
                <w:sz w:val="20"/>
                <w:szCs w:val="20"/>
                <w:color w:val="auto"/>
              </w:rPr>
            </w:pPr>
            <w:r>
              <w:rPr>
                <w:rFonts w:ascii="Arial" w:cs="Arial" w:eastAsia="Arial" w:hAnsi="Arial"/>
                <w:sz w:val="14"/>
                <w:szCs w:val="14"/>
                <w:color w:val="auto"/>
              </w:rPr>
              <w:t>Earnings (loss) per common share:</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0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(0.10)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3"/>
            <w:vMerge w:val="restart"/>
          </w:tcPr>
          <w:p>
            <w:pPr>
              <w:ind w:left="460"/>
              <w:spacing w:after="0"/>
              <w:rPr>
                <w:sz w:val="20"/>
                <w:szCs w:val="20"/>
                <w:color w:val="auto"/>
              </w:rPr>
            </w:pPr>
            <w:r>
              <w:rPr>
                <w:rFonts w:ascii="Arial" w:cs="Arial" w:eastAsia="Arial" w:hAnsi="Arial"/>
                <w:sz w:val="14"/>
                <w:szCs w:val="14"/>
                <w:color w:val="auto"/>
              </w:rPr>
              <w:t>Diluted</w:t>
            </w: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0.15</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3"/>
          </w:tcPr>
          <w:p>
            <w:pPr>
              <w:jc w:val="right"/>
              <w:ind w:right="60"/>
              <w:spacing w:after="0" w:line="156" w:lineRule="exact"/>
              <w:rPr>
                <w:sz w:val="20"/>
                <w:szCs w:val="20"/>
                <w:color w:val="auto"/>
              </w:rPr>
            </w:pPr>
            <w:r>
              <w:rPr>
                <w:rFonts w:ascii="Arial" w:cs="Arial" w:eastAsia="Arial" w:hAnsi="Arial"/>
                <w:sz w:val="14"/>
                <w:szCs w:val="14"/>
                <w:color w:val="auto"/>
              </w:rPr>
              <w:t>(0.10)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27,158</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26,808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3"/>
            <w:vMerge w:val="restart"/>
          </w:tcPr>
          <w:p>
            <w:pPr>
              <w:ind w:left="46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27,183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120"/>
              <w:spacing w:after="0" w:line="156" w:lineRule="exact"/>
              <w:rPr>
                <w:sz w:val="20"/>
                <w:szCs w:val="20"/>
                <w:color w:val="auto"/>
              </w:rPr>
            </w:pPr>
            <w:r>
              <w:rPr>
                <w:rFonts w:ascii="Arial" w:cs="Arial" w:eastAsia="Arial" w:hAnsi="Arial"/>
                <w:sz w:val="14"/>
                <w:szCs w:val="14"/>
                <w:color w:val="auto"/>
              </w:rPr>
              <w:t>26,808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0" w:type="dxa"/>
            <w:vAlign w:val="bottom"/>
            <w:gridSpan w:val="2"/>
          </w:tcPr>
          <w:p>
            <w:pPr>
              <w:spacing w:after="0"/>
              <w:rPr>
                <w:sz w:val="24"/>
                <w:szCs w:val="24"/>
                <w:color w:val="auto"/>
              </w:rPr>
            </w:pPr>
          </w:p>
        </w:tc>
        <w:tc>
          <w:tcPr>
            <w:tcW w:w="3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0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CONSOLIDATED STATEMENTS OF OPERATIONS</w:t>
            </w: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888"/>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 of Net Sales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5080" w:type="dxa"/>
            <w:vAlign w:val="bottom"/>
            <w:gridSpan w:val="4"/>
          </w:tcPr>
          <w:p>
            <w:pPr>
              <w:spacing w:after="0"/>
              <w:rPr>
                <w:sz w:val="20"/>
                <w:szCs w:val="20"/>
                <w:color w:val="auto"/>
              </w:rPr>
            </w:pPr>
            <w:r>
              <w:rPr>
                <w:rFonts w:ascii="Arial" w:cs="Arial" w:eastAsia="Arial" w:hAnsi="Arial"/>
                <w:sz w:val="14"/>
                <w:szCs w:val="14"/>
                <w:color w:val="auto"/>
              </w:rPr>
              <w:t>Net sales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1,569,656</w:t>
            </w:r>
          </w:p>
        </w:tc>
        <w:tc>
          <w:tcPr>
            <w:tcW w:w="20" w:type="dxa"/>
            <w:vAlign w:val="bottom"/>
          </w:tcPr>
          <w:p>
            <w:pPr>
              <w:spacing w:after="0"/>
              <w:rPr>
                <w:sz w:val="24"/>
                <w:szCs w:val="2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1,753,680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080" w:type="dxa"/>
            <w:vAlign w:val="bottom"/>
            <w:gridSpan w:val="4"/>
          </w:tcPr>
          <w:p>
            <w:pPr>
              <w:spacing w:after="0"/>
              <w:rPr>
                <w:sz w:val="20"/>
                <w:szCs w:val="20"/>
                <w:color w:val="auto"/>
              </w:rPr>
            </w:pPr>
            <w:r>
              <w:rPr>
                <w:rFonts w:ascii="Arial" w:cs="Arial" w:eastAsia="Arial" w:hAnsi="Arial"/>
                <w:sz w:val="14"/>
                <w:szCs w:val="14"/>
                <w:color w:val="auto"/>
              </w:rPr>
              <w:t>Cost of sales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1,384,860</w:t>
            </w:r>
          </w:p>
        </w:tc>
        <w:tc>
          <w:tcPr>
            <w:tcW w:w="20" w:type="dxa"/>
            <w:vAlign w:val="bottom"/>
          </w:tcPr>
          <w:p>
            <w:pPr>
              <w:spacing w:after="0"/>
              <w:rPr>
                <w:sz w:val="15"/>
                <w:szCs w:val="15"/>
                <w:color w:val="auto"/>
              </w:rPr>
            </w:pPr>
          </w:p>
        </w:tc>
        <w:tc>
          <w:tcPr>
            <w:tcW w:w="1320" w:type="dxa"/>
            <w:vAlign w:val="bottom"/>
            <w:gridSpan w:val="5"/>
          </w:tcPr>
          <w:p>
            <w:pPr>
              <w:jc w:val="right"/>
              <w:ind w:right="68"/>
              <w:spacing w:after="0"/>
              <w:rPr>
                <w:sz w:val="20"/>
                <w:szCs w:val="20"/>
                <w:color w:val="auto"/>
              </w:rPr>
            </w:pPr>
            <w:r>
              <w:rPr>
                <w:rFonts w:ascii="Arial" w:cs="Arial" w:eastAsia="Arial" w:hAnsi="Arial"/>
                <w:sz w:val="14"/>
                <w:szCs w:val="14"/>
                <w:color w:val="auto"/>
              </w:rPr>
              <w:t>88.2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1,538,836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87.7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b w:val="1"/>
                <w:bCs w:val="1"/>
                <w:color w:val="auto"/>
              </w:rPr>
              <w:t>Gross profit</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184,796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gridSpan w:val="4"/>
          </w:tcPr>
          <w:p>
            <w:pPr>
              <w:jc w:val="right"/>
              <w:ind w:right="68"/>
              <w:spacing w:after="0"/>
              <w:rPr>
                <w:sz w:val="20"/>
                <w:szCs w:val="20"/>
                <w:color w:val="auto"/>
              </w:rPr>
            </w:pPr>
            <w:r>
              <w:rPr>
                <w:rFonts w:ascii="Arial" w:cs="Arial" w:eastAsia="Arial" w:hAnsi="Arial"/>
                <w:sz w:val="14"/>
                <w:szCs w:val="14"/>
                <w:color w:val="auto"/>
              </w:rPr>
              <w:t>11.8</w:t>
            </w: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214,844</w:t>
            </w:r>
          </w:p>
        </w:tc>
        <w:tc>
          <w:tcPr>
            <w:tcW w:w="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080" w:type="dxa"/>
            <w:vAlign w:val="bottom"/>
            <w:gridSpan w:val="4"/>
          </w:tcPr>
          <w:p>
            <w:pPr>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172,654</w:t>
            </w:r>
          </w:p>
        </w:tc>
        <w:tc>
          <w:tcPr>
            <w:tcW w:w="20" w:type="dxa"/>
            <w:vAlign w:val="bottom"/>
          </w:tcPr>
          <w:p>
            <w:pPr>
              <w:spacing w:after="0"/>
              <w:rPr>
                <w:sz w:val="24"/>
                <w:szCs w:val="24"/>
                <w:color w:val="auto"/>
              </w:rPr>
            </w:pPr>
          </w:p>
        </w:tc>
        <w:tc>
          <w:tcPr>
            <w:tcW w:w="1320" w:type="dxa"/>
            <w:vAlign w:val="bottom"/>
            <w:gridSpan w:val="5"/>
          </w:tcPr>
          <w:p>
            <w:pPr>
              <w:jc w:val="right"/>
              <w:ind w:right="68"/>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186,728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80" w:type="dxa"/>
            <w:vAlign w:val="bottom"/>
            <w:gridSpan w:val="4"/>
          </w:tcPr>
          <w:p>
            <w:pPr>
              <w:spacing w:after="0"/>
              <w:rPr>
                <w:sz w:val="20"/>
                <w:szCs w:val="20"/>
                <w:color w:val="auto"/>
              </w:rPr>
            </w:pPr>
            <w:r>
              <w:rPr>
                <w:rFonts w:ascii="Arial" w:cs="Arial" w:eastAsia="Arial" w:hAnsi="Arial"/>
                <w:sz w:val="14"/>
                <w:szCs w:val="14"/>
                <w:color w:val="auto"/>
              </w:rPr>
              <w:t>Special charges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12,826</w:t>
            </w:r>
          </w:p>
        </w:tc>
        <w:tc>
          <w:tcPr>
            <w:tcW w:w="20" w:type="dxa"/>
            <w:vAlign w:val="bottom"/>
          </w:tcPr>
          <w:p>
            <w:pPr>
              <w:spacing w:after="0"/>
              <w:rPr>
                <w:sz w:val="15"/>
                <w:szCs w:val="15"/>
                <w:color w:val="auto"/>
              </w:rPr>
            </w:pPr>
          </w:p>
        </w:tc>
        <w:tc>
          <w:tcPr>
            <w:tcW w:w="1320" w:type="dxa"/>
            <w:vAlign w:val="bottom"/>
            <w:gridSpan w:val="5"/>
          </w:tcPr>
          <w:p>
            <w:pPr>
              <w:jc w:val="right"/>
              <w:ind w:right="68"/>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1,431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80" w:type="dxa"/>
            <w:vAlign w:val="bottom"/>
            <w:gridSpan w:val="4"/>
          </w:tcPr>
          <w:p>
            <w:pPr>
              <w:spacing w:after="0"/>
              <w:rPr>
                <w:sz w:val="20"/>
                <w:szCs w:val="20"/>
                <w:color w:val="auto"/>
              </w:rPr>
            </w:pPr>
            <w:r>
              <w:rPr>
                <w:rFonts w:ascii="Arial" w:cs="Arial" w:eastAsia="Arial" w:hAnsi="Arial"/>
                <w:sz w:val="14"/>
                <w:szCs w:val="14"/>
                <w:color w:val="auto"/>
              </w:rPr>
              <w:t>Goodwill impairment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320" w:type="dxa"/>
            <w:vAlign w:val="bottom"/>
            <w:gridSpan w:val="5"/>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8,807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b w:val="1"/>
                <w:bCs w:val="1"/>
                <w:color w:val="auto"/>
              </w:rPr>
              <w:t>(Loss) income from operations</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gridSpan w:val="4"/>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17,878</w:t>
            </w:r>
          </w:p>
        </w:tc>
        <w:tc>
          <w:tcPr>
            <w:tcW w:w="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080" w:type="dxa"/>
            <w:vAlign w:val="bottom"/>
            <w:gridSpan w:val="4"/>
          </w:tcPr>
          <w:p>
            <w:pPr>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(517)</w:t>
            </w:r>
          </w:p>
        </w:tc>
        <w:tc>
          <w:tcPr>
            <w:tcW w:w="20" w:type="dxa"/>
            <w:vAlign w:val="bottom"/>
          </w:tcPr>
          <w:p>
            <w:pPr>
              <w:spacing w:after="0"/>
              <w:rPr>
                <w:sz w:val="24"/>
                <w:szCs w:val="24"/>
                <w:color w:val="auto"/>
              </w:rPr>
            </w:pPr>
          </w:p>
        </w:tc>
        <w:tc>
          <w:tcPr>
            <w:tcW w:w="1320" w:type="dxa"/>
            <w:vAlign w:val="bottom"/>
            <w:gridSpan w:val="5"/>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(681)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80" w:type="dxa"/>
            <w:vAlign w:val="bottom"/>
            <w:gridSpan w:val="4"/>
          </w:tcPr>
          <w:p>
            <w:pPr>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524</w:t>
            </w:r>
          </w:p>
        </w:tc>
        <w:tc>
          <w:tcPr>
            <w:tcW w:w="20" w:type="dxa"/>
            <w:vAlign w:val="bottom"/>
          </w:tcPr>
          <w:p>
            <w:pPr>
              <w:spacing w:after="0"/>
              <w:rPr>
                <w:sz w:val="15"/>
                <w:szCs w:val="15"/>
                <w:color w:val="auto"/>
              </w:rPr>
            </w:pPr>
          </w:p>
        </w:tc>
        <w:tc>
          <w:tcPr>
            <w:tcW w:w="1320" w:type="dxa"/>
            <w:vAlign w:val="bottom"/>
            <w:gridSpan w:val="5"/>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811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080" w:type="dxa"/>
            <w:vAlign w:val="bottom"/>
            <w:gridSpan w:val="4"/>
          </w:tcPr>
          <w:p>
            <w:pPr>
              <w:spacing w:after="0"/>
              <w:rPr>
                <w:sz w:val="20"/>
                <w:szCs w:val="20"/>
                <w:color w:val="auto"/>
              </w:rPr>
            </w:pPr>
            <w:r>
              <w:rPr>
                <w:rFonts w:ascii="Arial" w:cs="Arial" w:eastAsia="Arial" w:hAnsi="Arial"/>
                <w:sz w:val="14"/>
                <w:szCs w:val="14"/>
                <w:color w:val="auto"/>
              </w:rPr>
              <w:t>Income tax provision</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(545)</w:t>
            </w:r>
          </w:p>
        </w:tc>
        <w:tc>
          <w:tcPr>
            <w:tcW w:w="20" w:type="dxa"/>
            <w:vAlign w:val="bottom"/>
          </w:tcPr>
          <w:p>
            <w:pPr>
              <w:spacing w:after="0"/>
              <w:rPr>
                <w:sz w:val="15"/>
                <w:szCs w:val="15"/>
                <w:color w:val="auto"/>
              </w:rPr>
            </w:pPr>
          </w:p>
        </w:tc>
        <w:tc>
          <w:tcPr>
            <w:tcW w:w="1320" w:type="dxa"/>
            <w:vAlign w:val="bottom"/>
            <w:gridSpan w:val="5"/>
          </w:tcPr>
          <w:p>
            <w:pPr>
              <w:jc w:val="right"/>
              <w:ind w:right="8"/>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(7,642)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b w:val="1"/>
                <w:bCs w:val="1"/>
                <w:color w:val="auto"/>
              </w:rPr>
              <w:t>Net (loss) income</w:t>
            </w: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bottom w:val="single" w:sz="8" w:color="auto"/>
            </w:tcBorders>
            <w:gridSpan w:val="5"/>
          </w:tcPr>
          <w:p>
            <w:pPr>
              <w:jc w:val="right"/>
              <w:ind w:right="100"/>
              <w:spacing w:after="0"/>
              <w:rPr>
                <w:sz w:val="20"/>
                <w:szCs w:val="20"/>
                <w:color w:val="auto"/>
              </w:rPr>
            </w:pPr>
            <w:r>
              <w:rPr>
                <w:rFonts w:ascii="Arial" w:cs="Arial" w:eastAsia="Arial" w:hAnsi="Arial"/>
                <w:sz w:val="14"/>
                <w:szCs w:val="14"/>
                <w:color w:val="auto"/>
              </w:rPr>
              <w:t>(0.1)%</w:t>
            </w: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10,366</w:t>
            </w: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spacing w:after="0"/>
              <w:rPr>
                <w:sz w:val="20"/>
                <w:szCs w:val="20"/>
                <w:color w:val="auto"/>
              </w:rPr>
            </w:pPr>
            <w:r>
              <w:rPr>
                <w:rFonts w:ascii="Arial" w:cs="Arial" w:eastAsia="Arial" w:hAnsi="Arial"/>
                <w:sz w:val="14"/>
                <w:szCs w:val="14"/>
                <w:color w:val="auto"/>
              </w:rPr>
              <w:t>(Loss) earnings per common share:</w:t>
            </w: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0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0.39</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3"/>
            <w:vMerge w:val="restart"/>
          </w:tcPr>
          <w:p>
            <w:pPr>
              <w:ind w:left="46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gridSpan w:val="3"/>
            <w:vMerge w:val="continue"/>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top w:val="single" w:sz="8" w:color="auto"/>
              <w:bottom w:val="single" w:sz="8" w:color="auto"/>
            </w:tcBorders>
            <w:gridSpan w:val="2"/>
          </w:tcPr>
          <w:p>
            <w:pPr>
              <w:jc w:val="right"/>
              <w:ind w:right="18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3"/>
          </w:tcPr>
          <w:p>
            <w:pPr>
              <w:jc w:val="right"/>
              <w:ind w:right="40"/>
              <w:spacing w:after="0" w:line="156" w:lineRule="exact"/>
              <w:rPr>
                <w:sz w:val="20"/>
                <w:szCs w:val="20"/>
                <w:color w:val="auto"/>
              </w:rPr>
            </w:pPr>
            <w:r>
              <w:rPr>
                <w:rFonts w:ascii="Arial" w:cs="Arial" w:eastAsia="Arial" w:hAnsi="Arial"/>
                <w:sz w:val="14"/>
                <w:szCs w:val="14"/>
                <w:color w:val="auto"/>
              </w:rPr>
              <w:t>0.39</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gridSpan w:val="3"/>
          </w:tcPr>
          <w:p>
            <w:pPr>
              <w:ind w:left="46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26,833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26,828</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3"/>
            <w:vMerge w:val="restart"/>
          </w:tcPr>
          <w:p>
            <w:pPr>
              <w:ind w:left="46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26,833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40"/>
              <w:spacing w:after="0" w:line="156" w:lineRule="exact"/>
              <w:rPr>
                <w:sz w:val="20"/>
                <w:szCs w:val="20"/>
                <w:color w:val="auto"/>
              </w:rPr>
            </w:pPr>
            <w:r>
              <w:rPr>
                <w:rFonts w:ascii="Arial" w:cs="Arial" w:eastAsia="Arial" w:hAnsi="Arial"/>
                <w:sz w:val="14"/>
                <w:szCs w:val="14"/>
                <w:color w:val="auto"/>
              </w:rPr>
              <w:t>26,896</w:t>
            </w:r>
          </w:p>
        </w:tc>
        <w:tc>
          <w:tcPr>
            <w:tcW w:w="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0" w:type="dxa"/>
            <w:vAlign w:val="bottom"/>
            <w:gridSpan w:val="2"/>
          </w:tcPr>
          <w:p>
            <w:pPr>
              <w:spacing w:after="0"/>
              <w:rPr>
                <w:sz w:val="24"/>
                <w:szCs w:val="24"/>
                <w:color w:val="auto"/>
              </w:rPr>
            </w:pPr>
          </w:p>
        </w:tc>
        <w:tc>
          <w:tcPr>
            <w:tcW w:w="3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5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 RECONCILIATION BETWEEN GAAP AND PRO FORMA RESULTS</w:t>
            </w: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40" w:type="dxa"/>
            <w:vAlign w:val="bottom"/>
            <w:gridSpan w:val="16"/>
          </w:tcPr>
          <w:p>
            <w:pPr>
              <w:spacing w:after="0" w:line="155" w:lineRule="exact"/>
              <w:rPr>
                <w:sz w:val="20"/>
                <w:szCs w:val="20"/>
                <w:color w:val="auto"/>
              </w:rPr>
            </w:pPr>
            <w:r>
              <w:rPr>
                <w:rFonts w:ascii="Arial" w:cs="Arial" w:eastAsia="Arial" w:hAnsi="Arial"/>
                <w:sz w:val="14"/>
                <w:szCs w:val="14"/>
                <w:i w:val="1"/>
                <w:iCs w:val="1"/>
                <w:color w:val="auto"/>
              </w:rPr>
              <w:t>This information is being provided so as to allow for a comparison of our operating results without special charges.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37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7"/>
          </w:tcPr>
          <w:p>
            <w:pPr>
              <w:jc w:val="right"/>
              <w:ind w:right="8"/>
              <w:spacing w:after="0" w:line="142" w:lineRule="exact"/>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3"/>
          </w:tcPr>
          <w:p>
            <w:pPr>
              <w:jc w:val="right"/>
              <w:ind w:right="588"/>
              <w:spacing w:after="0" w:line="142" w:lineRule="exact"/>
              <w:rPr>
                <w:sz w:val="20"/>
                <w:szCs w:val="20"/>
                <w:color w:val="auto"/>
              </w:rPr>
            </w:pPr>
            <w:r>
              <w:rPr>
                <w:rFonts w:ascii="Arial" w:cs="Arial" w:eastAsia="Arial" w:hAnsi="Arial"/>
                <w:sz w:val="14"/>
                <w:szCs w:val="14"/>
                <w:b w:val="1"/>
                <w:bCs w:val="1"/>
                <w:color w:val="auto"/>
              </w:rPr>
              <w:t>Years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gridSpan w:val="4"/>
          </w:tcPr>
          <w:p>
            <w:pPr>
              <w:spacing w:after="0" w:line="156" w:lineRule="exact"/>
              <w:rPr>
                <w:sz w:val="20"/>
                <w:szCs w:val="20"/>
                <w:color w:val="auto"/>
              </w:rPr>
            </w:pPr>
            <w:r>
              <w:rPr>
                <w:rFonts w:ascii="Arial" w:cs="Arial" w:eastAsia="Arial" w:hAnsi="Arial"/>
                <w:sz w:val="14"/>
                <w:szCs w:val="14"/>
                <w:i w:val="1"/>
                <w:iCs w:val="1"/>
                <w:color w:val="auto"/>
              </w:rPr>
              <w:t>(amounts in thousands)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5"/>
          </w:tcPr>
          <w:p>
            <w:pPr>
              <w:jc w:val="right"/>
              <w:ind w:right="288"/>
              <w:spacing w:after="0" w:line="156"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jc w:val="right"/>
              <w:spacing w:after="0" w:line="156"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4"/>
          </w:tcPr>
          <w:p>
            <w:pPr>
              <w:jc w:val="right"/>
              <w:ind w:right="268"/>
              <w:spacing w:after="0" w:line="156"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3"/>
                <w:szCs w:val="13"/>
                <w:color w:val="auto"/>
              </w:rPr>
            </w:pPr>
          </w:p>
        </w:tc>
        <w:tc>
          <w:tcPr>
            <w:tcW w:w="980" w:type="dxa"/>
            <w:vAlign w:val="bottom"/>
          </w:tcPr>
          <w:p>
            <w:pPr>
              <w:jc w:val="right"/>
              <w:ind w:right="268"/>
              <w:spacing w:after="0" w:line="156"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06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color w:val="auto"/>
              </w:rPr>
              <w:t>GAAP net income (loss)</w:t>
            </w: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$3,967</w:t>
            </w: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($2,709)</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($1,222)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3"/>
          </w:tcPr>
          <w:p>
            <w:pPr>
              <w:ind w:left="200"/>
              <w:spacing w:after="0"/>
              <w:rPr>
                <w:sz w:val="20"/>
                <w:szCs w:val="20"/>
                <w:color w:val="auto"/>
              </w:rPr>
            </w:pPr>
            <w:r>
              <w:rPr>
                <w:rFonts w:ascii="Arial" w:cs="Arial" w:eastAsia="Arial" w:hAnsi="Arial"/>
                <w:sz w:val="14"/>
                <w:szCs w:val="14"/>
                <w:color w:val="auto"/>
              </w:rPr>
              <w:t>Special charges (after tax):</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3"/>
          </w:tcPr>
          <w:p>
            <w:pPr>
              <w:ind w:left="400"/>
              <w:spacing w:after="0"/>
              <w:rPr>
                <w:sz w:val="20"/>
                <w:szCs w:val="20"/>
                <w:color w:val="auto"/>
              </w:rPr>
            </w:pPr>
            <w:r>
              <w:rPr>
                <w:rFonts w:ascii="Arial" w:cs="Arial" w:eastAsia="Arial" w:hAnsi="Arial"/>
                <w:sz w:val="14"/>
                <w:szCs w:val="14"/>
                <w:color w:val="auto"/>
              </w:rPr>
              <w:t>Software development write-off and related charges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5"/>
          </w:tcPr>
          <w:p>
            <w:pPr>
              <w:jc w:val="right"/>
              <w:ind w:right="120"/>
              <w:spacing w:after="0"/>
              <w:rPr>
                <w:sz w:val="20"/>
                <w:szCs w:val="20"/>
                <w:color w:val="auto"/>
              </w:rPr>
            </w:pPr>
            <w:r>
              <w:rPr>
                <w:rFonts w:ascii="Arial" w:cs="Arial" w:eastAsia="Arial" w:hAnsi="Arial"/>
                <w:sz w:val="14"/>
                <w:szCs w:val="14"/>
                <w:color w:val="auto"/>
              </w:rPr>
              <w:t>7,378</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3"/>
          </w:tcPr>
          <w:p>
            <w:pPr>
              <w:ind w:left="400"/>
              <w:spacing w:after="0"/>
              <w:rPr>
                <w:sz w:val="20"/>
                <w:szCs w:val="20"/>
                <w:color w:val="auto"/>
              </w:rPr>
            </w:pPr>
            <w:r>
              <w:rPr>
                <w:rFonts w:ascii="Arial" w:cs="Arial" w:eastAsia="Arial" w:hAnsi="Arial"/>
                <w:sz w:val="14"/>
                <w:szCs w:val="14"/>
                <w:color w:val="auto"/>
              </w:rPr>
              <w:t>Management restructuring</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gridSpan w:val="3"/>
          </w:tcPr>
          <w:p>
            <w:pPr>
              <w:ind w:left="400"/>
              <w:spacing w:after="0"/>
              <w:rPr>
                <w:sz w:val="20"/>
                <w:szCs w:val="20"/>
                <w:color w:val="auto"/>
              </w:rPr>
            </w:pPr>
            <w:r>
              <w:rPr>
                <w:rFonts w:ascii="Arial" w:cs="Arial" w:eastAsia="Arial" w:hAnsi="Arial"/>
                <w:sz w:val="14"/>
                <w:szCs w:val="14"/>
                <w:color w:val="auto"/>
              </w:rPr>
              <w:t>Goodwill impairment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5,383</w:t>
            </w:r>
          </w:p>
        </w:tc>
        <w:tc>
          <w:tcPr>
            <w:tcW w:w="200" w:type="dxa"/>
            <w:vAlign w:val="bottom"/>
          </w:tcPr>
          <w:p>
            <w:pPr>
              <w:spacing w:after="0"/>
              <w:rPr>
                <w:sz w:val="15"/>
                <w:szCs w:val="15"/>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gridSpan w:val="3"/>
          </w:tcPr>
          <w:p>
            <w:pPr>
              <w:ind w:left="200"/>
              <w:spacing w:after="0"/>
              <w:rPr>
                <w:sz w:val="20"/>
                <w:szCs w:val="20"/>
                <w:color w:val="auto"/>
              </w:rPr>
            </w:pPr>
            <w:r>
              <w:rPr>
                <w:rFonts w:ascii="Arial" w:cs="Arial" w:eastAsia="Arial" w:hAnsi="Arial"/>
                <w:sz w:val="14"/>
                <w:szCs w:val="14"/>
                <w:color w:val="auto"/>
              </w:rPr>
              <w:t>Total special charges (after tax)</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5,383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8,071</w:t>
            </w:r>
          </w:p>
        </w:tc>
        <w:tc>
          <w:tcPr>
            <w:tcW w:w="1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060" w:type="dxa"/>
            <w:vAlign w:val="bottom"/>
            <w:gridSpan w:val="3"/>
          </w:tcPr>
          <w:p>
            <w:pPr>
              <w:ind w:left="200"/>
              <w:spacing w:after="0"/>
              <w:rPr>
                <w:sz w:val="20"/>
                <w:szCs w:val="20"/>
                <w:color w:val="auto"/>
              </w:rPr>
            </w:pPr>
            <w:r>
              <w:rPr>
                <w:rFonts w:ascii="Arial" w:cs="Arial" w:eastAsia="Arial" w:hAnsi="Arial"/>
                <w:sz w:val="14"/>
                <w:szCs w:val="14"/>
                <w:color w:val="auto"/>
              </w:rPr>
              <w:t>Pro forma net income</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color w:val="auto"/>
              </w:rPr>
              <w:t>$3,889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$2,674</w:t>
            </w:r>
          </w:p>
        </w:tc>
        <w:tc>
          <w:tcPr>
            <w:tcW w:w="200" w:type="dxa"/>
            <w:vAlign w:val="bottom"/>
          </w:tcPr>
          <w:p>
            <w:pPr>
              <w:spacing w:after="0"/>
              <w:rPr>
                <w:sz w:val="24"/>
                <w:szCs w:val="24"/>
                <w:color w:val="auto"/>
              </w:rPr>
            </w:pPr>
          </w:p>
        </w:tc>
        <w:tc>
          <w:tcPr>
            <w:tcW w:w="920" w:type="dxa"/>
            <w:vAlign w:val="bottom"/>
            <w:gridSpan w:val="5"/>
          </w:tcPr>
          <w:p>
            <w:pPr>
              <w:jc w:val="right"/>
              <w:ind w:right="120"/>
              <w:spacing w:after="0"/>
              <w:rPr>
                <w:sz w:val="20"/>
                <w:szCs w:val="20"/>
                <w:color w:val="auto"/>
              </w:rPr>
            </w:pPr>
            <w:r>
              <w:rPr>
                <w:rFonts w:ascii="Arial" w:cs="Arial" w:eastAsia="Arial" w:hAnsi="Arial"/>
                <w:sz w:val="14"/>
                <w:szCs w:val="14"/>
                <w:color w:val="auto"/>
              </w:rPr>
              <w:t>$6,849</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$16,655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7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4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CONSOLIDATED BALANCE SHEETS</w:t>
            </w:r>
          </w:p>
        </w:tc>
        <w:tc>
          <w:tcPr>
            <w:tcW w:w="3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9"/>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(amounts in thousands)</w:t>
            </w: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6"/>
              </w:rPr>
              <w:t>2008</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46,297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47,003</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218,095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185,885</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67,391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60,813</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3,386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4,244</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Income taxes receivable</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81"/>
        </w:trPr>
        <w:tc>
          <w:tcPr>
            <w:tcW w:w="4240" w:type="dxa"/>
            <w:vAlign w:val="bottom"/>
            <w:gridSpan w:val="2"/>
          </w:tcPr>
          <w:p>
            <w:pPr>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2,750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current assets</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338,854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303,019</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12,420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24,483</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48,060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48,060</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1,279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181"/>
        </w:trPr>
        <w:tc>
          <w:tcPr>
            <w:tcW w:w="424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482</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94"/>
              </w:rPr>
              <w:t>401,095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8"/>
              </w:rPr>
              <w:t>378,167</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2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Current maturities of capital lease obligation to affiliate</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780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125,120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101,783</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20,441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19,993</w:t>
            </w:r>
          </w:p>
        </w:tc>
        <w:tc>
          <w:tcPr>
            <w:tcW w:w="0" w:type="dxa"/>
            <w:vAlign w:val="bottom"/>
          </w:tcPr>
          <w:p>
            <w:pPr>
              <w:spacing w:after="0"/>
              <w:rPr>
                <w:sz w:val="1"/>
                <w:szCs w:val="1"/>
                <w:color w:val="auto"/>
              </w:rPr>
            </w:pPr>
          </w:p>
        </w:tc>
      </w:tr>
      <w:tr>
        <w:trPr>
          <w:trHeight w:val="181"/>
        </w:trPr>
        <w:tc>
          <w:tcPr>
            <w:tcW w:w="4240" w:type="dxa"/>
            <w:vAlign w:val="bottom"/>
            <w:gridSpan w:val="2"/>
          </w:tcPr>
          <w:p>
            <w:pPr>
              <w:spacing w:after="0"/>
              <w:rPr>
                <w:sz w:val="20"/>
                <w:szCs w:val="20"/>
                <w:color w:val="auto"/>
              </w:rPr>
            </w:pPr>
            <w:r>
              <w:rPr>
                <w:rFonts w:ascii="Arial" w:cs="Arial" w:eastAsia="Arial" w:hAnsi="Arial"/>
                <w:sz w:val="14"/>
                <w:szCs w:val="14"/>
                <w:color w:val="auto"/>
              </w:rPr>
              <w:t>Accrued payroll</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8,843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current liabilities</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155,184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128,812</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Capital lease obligation to affiliate, less current maturities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2,830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3,610</w:t>
            </w:r>
          </w:p>
        </w:tc>
        <w:tc>
          <w:tcPr>
            <w:tcW w:w="0" w:type="dxa"/>
            <w:vAlign w:val="bottom"/>
          </w:tcPr>
          <w:p>
            <w:pPr>
              <w:spacing w:after="0"/>
              <w:rPr>
                <w:sz w:val="1"/>
                <w:szCs w:val="1"/>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3,849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181"/>
        </w:trPr>
        <w:tc>
          <w:tcPr>
            <w:tcW w:w="4240" w:type="dxa"/>
            <w:vAlign w:val="bottom"/>
            <w:gridSpan w:val="2"/>
          </w:tcPr>
          <w:p>
            <w:pPr>
              <w:spacing w:after="0"/>
              <w:rPr>
                <w:sz w:val="20"/>
                <w:szCs w:val="20"/>
                <w:color w:val="auto"/>
              </w:rPr>
            </w:pPr>
            <w:r>
              <w:rPr>
                <w:rFonts w:ascii="Arial" w:cs="Arial" w:eastAsia="Arial" w:hAnsi="Arial"/>
                <w:sz w:val="14"/>
                <w:szCs w:val="14"/>
                <w:color w:val="auto"/>
              </w:rPr>
              <w:t>Other liabilities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3,966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94"/>
              </w:rPr>
              <w:t>165,829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8"/>
              </w:rPr>
              <w:t>142,843</w:t>
            </w:r>
          </w:p>
        </w:tc>
        <w:tc>
          <w:tcPr>
            <w:tcW w:w="0" w:type="dxa"/>
            <w:vAlign w:val="bottom"/>
          </w:tcPr>
          <w:p>
            <w:pPr>
              <w:spacing w:after="0"/>
              <w:rPr>
                <w:sz w:val="1"/>
                <w:szCs w:val="1"/>
                <w:color w:val="auto"/>
              </w:rPr>
            </w:pPr>
          </w:p>
        </w:tc>
      </w:tr>
      <w:tr>
        <w:trPr>
          <w:trHeight w:val="164"/>
        </w:trPr>
        <w:tc>
          <w:tcPr>
            <w:tcW w:w="424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97,213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95,997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141,114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142,336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Treasury stock at cost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(3,335)</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Stockholders’ Equity</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94"/>
              </w:rPr>
              <w:t>235,266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8"/>
              </w:rPr>
              <w:t>235,324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740"/>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94"/>
              </w:rPr>
              <w:t>401,095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8"/>
              </w:rPr>
              <w:t>378,167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6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48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CONSOLIDATED STATEMENT OF CHANGES IN STOCKHOLDERS’ EQUITY</w:t>
            </w:r>
          </w:p>
        </w:tc>
        <w:tc>
          <w:tcPr>
            <w:tcW w:w="3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2009 (amounts in thousands)</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Common Stock</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Retained</w:t>
            </w:r>
          </w:p>
        </w:tc>
        <w:tc>
          <w:tcPr>
            <w:tcW w:w="1620" w:type="dxa"/>
            <w:vAlign w:val="bottom"/>
            <w:tcBorders>
              <w:top w:val="single" w:sz="8" w:color="auto"/>
            </w:tcBorders>
            <w:gridSpan w:val="8"/>
          </w:tcPr>
          <w:p>
            <w:pPr>
              <w:jc w:val="right"/>
              <w:ind w:right="248"/>
              <w:spacing w:after="0" w:line="142" w:lineRule="exact"/>
              <w:rPr>
                <w:sz w:val="20"/>
                <w:szCs w:val="20"/>
                <w:color w:val="auto"/>
              </w:rPr>
            </w:pPr>
            <w:r>
              <w:rPr>
                <w:rFonts w:ascii="Arial" w:cs="Arial" w:eastAsia="Arial" w:hAnsi="Arial"/>
                <w:sz w:val="14"/>
                <w:szCs w:val="14"/>
                <w:b w:val="1"/>
                <w:bCs w:val="1"/>
                <w:color w:val="auto"/>
              </w:rPr>
              <w:t>Treasury Shares</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Paid-In Capital</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Balance – January 1, 2009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27,326</w:t>
            </w:r>
          </w:p>
        </w:tc>
        <w:tc>
          <w:tcPr>
            <w:tcW w:w="80" w:type="dxa"/>
            <w:vAlign w:val="bottom"/>
          </w:tcPr>
          <w:p>
            <w:pPr>
              <w:spacing w:after="0"/>
              <w:rPr>
                <w:sz w:val="24"/>
                <w:szCs w:val="24"/>
                <w:color w:val="auto"/>
              </w:rPr>
            </w:pP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273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95,997</w:t>
            </w:r>
          </w:p>
        </w:tc>
        <w:tc>
          <w:tcPr>
            <w:tcW w:w="2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142,336</w:t>
            </w: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(492)</w:t>
            </w:r>
          </w:p>
        </w:tc>
        <w:tc>
          <w:tcPr>
            <w:tcW w:w="2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(3,282)</w:t>
            </w:r>
          </w:p>
        </w:tc>
        <w:tc>
          <w:tcPr>
            <w:tcW w:w="4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235,324</w:t>
            </w: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1,420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1,420</w:t>
            </w:r>
          </w:p>
        </w:tc>
        <w:tc>
          <w:tcPr>
            <w:tcW w:w="0" w:type="dxa"/>
            <w:vAlign w:val="bottom"/>
          </w:tcPr>
          <w:p>
            <w:pPr>
              <w:spacing w:after="0"/>
              <w:rPr>
                <w:sz w:val="1"/>
                <w:szCs w:val="1"/>
                <w:color w:val="auto"/>
              </w:rPr>
            </w:pPr>
          </w:p>
        </w:tc>
      </w:tr>
      <w:tr>
        <w:trPr>
          <w:trHeight w:val="344"/>
        </w:trPr>
        <w:tc>
          <w:tcPr>
            <w:tcW w:w="4240" w:type="dxa"/>
            <w:vAlign w:val="bottom"/>
            <w:gridSpan w:val="2"/>
          </w:tcPr>
          <w:p>
            <w:pPr>
              <w:spacing w:after="0"/>
              <w:rPr>
                <w:sz w:val="20"/>
                <w:szCs w:val="20"/>
                <w:color w:val="auto"/>
              </w:rPr>
            </w:pPr>
            <w:r>
              <w:rPr>
                <w:rFonts w:ascii="Arial" w:cs="Arial" w:eastAsia="Arial" w:hAnsi="Arial"/>
                <w:sz w:val="14"/>
                <w:szCs w:val="14"/>
                <w:color w:val="auto"/>
              </w:rPr>
              <w:t>Issuance of common stock under Employee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Stock Purchase Plan</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274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4"/>
                <w:szCs w:val="14"/>
                <w:color w:val="auto"/>
              </w:rPr>
              <w:t>Nonvested stock awards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4"/>
                <w:szCs w:val="14"/>
                <w:color w:val="auto"/>
              </w:rPr>
              <w:t>Repurchase of common stock for treasury</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351"/>
        </w:trPr>
        <w:tc>
          <w:tcPr>
            <w:tcW w:w="4240" w:type="dxa"/>
            <w:vAlign w:val="bottom"/>
            <w:gridSpan w:val="2"/>
          </w:tcPr>
          <w:p>
            <w:pPr>
              <w:spacing w:after="0"/>
              <w:rPr>
                <w:sz w:val="20"/>
                <w:szCs w:val="20"/>
                <w:color w:val="auto"/>
              </w:rPr>
            </w:pPr>
            <w:r>
              <w:rPr>
                <w:rFonts w:ascii="Arial" w:cs="Arial" w:eastAsia="Arial" w:hAnsi="Arial"/>
                <w:sz w:val="14"/>
                <w:szCs w:val="14"/>
                <w:color w:val="auto"/>
              </w:rPr>
              <w:t>Tax shortfall from stock-based compensation</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350"/>
        </w:trPr>
        <w:tc>
          <w:tcPr>
            <w:tcW w:w="42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(1,222)</w:t>
            </w: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December 31, 2009</w:t>
            </w: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gridSpan w:val="2"/>
            <w:vMerge w:val="continue"/>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27,375</w:t>
            </w:r>
          </w:p>
        </w:tc>
        <w:tc>
          <w:tcPr>
            <w:tcW w:w="80" w:type="dxa"/>
            <w:vAlign w:val="bottom"/>
          </w:tcPr>
          <w:p>
            <w:pPr>
              <w:spacing w:after="0"/>
              <w:rPr>
                <w:sz w:val="24"/>
                <w:szCs w:val="24"/>
                <w:color w:val="auto"/>
              </w:rPr>
            </w:pP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274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97,213</w:t>
            </w:r>
          </w:p>
        </w:tc>
        <w:tc>
          <w:tcPr>
            <w:tcW w:w="2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141,114</w:t>
            </w: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(527)</w:t>
            </w:r>
          </w:p>
        </w:tc>
        <w:tc>
          <w:tcPr>
            <w:tcW w:w="2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(3,335)</w:t>
            </w:r>
          </w:p>
        </w:tc>
        <w:tc>
          <w:tcPr>
            <w:tcW w:w="4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235,266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Years Ended December 31, (amounts in thousands)</w:t>
            </w:r>
          </w:p>
        </w:tc>
        <w:tc>
          <w:tcPr>
            <w:tcW w:w="3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2008</w:t>
            </w:r>
          </w:p>
        </w:tc>
      </w:tr>
      <w:tr>
        <w:trPr>
          <w:trHeight w:val="346"/>
        </w:trPr>
        <w:tc>
          <w:tcPr>
            <w:tcW w:w="866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4"/>
        </w:trPr>
        <w:tc>
          <w:tcPr>
            <w:tcW w:w="8660" w:type="dxa"/>
            <w:vAlign w:val="bottom"/>
          </w:tcPr>
          <w:p>
            <w:pPr>
              <w:spacing w:after="0"/>
              <w:rPr>
                <w:sz w:val="20"/>
                <w:szCs w:val="20"/>
                <w:color w:val="auto"/>
              </w:rPr>
            </w:pPr>
            <w:r>
              <w:rPr>
                <w:rFonts w:ascii="Arial" w:cs="Arial" w:eastAsia="Arial" w:hAnsi="Arial"/>
                <w:sz w:val="14"/>
                <w:szCs w:val="14"/>
                <w:color w:val="auto"/>
              </w:rPr>
              <w:t>Net (loss) income</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(1,222)</w:t>
            </w:r>
          </w:p>
        </w:tc>
        <w:tc>
          <w:tcPr>
            <w:tcW w:w="5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10,366</w:t>
            </w:r>
          </w:p>
        </w:tc>
      </w:tr>
      <w:tr>
        <w:trPr>
          <w:trHeight w:val="176"/>
        </w:trPr>
        <w:tc>
          <w:tcPr>
            <w:tcW w:w="8660" w:type="dxa"/>
            <w:vAlign w:val="bottom"/>
          </w:tcPr>
          <w:p>
            <w:pPr>
              <w:spacing w:after="0"/>
              <w:rPr>
                <w:sz w:val="20"/>
                <w:szCs w:val="20"/>
                <w:color w:val="auto"/>
              </w:rPr>
            </w:pPr>
            <w:r>
              <w:rPr>
                <w:rFonts w:ascii="Arial" w:cs="Arial" w:eastAsia="Arial" w:hAnsi="Arial"/>
                <w:sz w:val="14"/>
                <w:szCs w:val="14"/>
                <w:color w:val="auto"/>
              </w:rPr>
              <w:t>Adjustments to reconcile net (loss) income to net cash provided by</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8660" w:type="dxa"/>
            <w:vAlign w:val="bottom"/>
          </w:tcPr>
          <w:p>
            <w:pPr>
              <w:ind w:left="22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Non-cash portion of special charges</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11,625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8,807</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6,796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6,965</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Provision for doubtful accounts</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2,354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2,277</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(1,476)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(639)</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1,420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1,823</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Loss on disposal of fixed assets</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614</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Tax shortfall from stock-based compensation</w:t>
            </w:r>
          </w:p>
        </w:tc>
        <w:tc>
          <w:tcPr>
            <w:tcW w:w="3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(98)</w:t>
            </w:r>
          </w:p>
        </w:tc>
      </w:tr>
      <w:tr>
        <w:trPr>
          <w:trHeight w:val="182"/>
        </w:trPr>
        <w:tc>
          <w:tcPr>
            <w:tcW w:w="8660" w:type="dxa"/>
            <w:vAlign w:val="bottom"/>
          </w:tcPr>
          <w:p>
            <w:pPr>
              <w:ind w:left="420"/>
              <w:spacing w:after="0"/>
              <w:rPr>
                <w:sz w:val="20"/>
                <w:szCs w:val="20"/>
                <w:color w:val="auto"/>
              </w:rPr>
            </w:pPr>
            <w:r>
              <w:rPr>
                <w:rFonts w:ascii="Arial" w:cs="Arial" w:eastAsia="Arial" w:hAnsi="Arial"/>
                <w:sz w:val="14"/>
                <w:szCs w:val="14"/>
                <w:color w:val="auto"/>
              </w:rPr>
              <w:t>Excess tax benefit from exercise of stock options</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r>
      <w:tr>
        <w:trPr>
          <w:trHeight w:val="344"/>
        </w:trPr>
        <w:tc>
          <w:tcPr>
            <w:tcW w:w="866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(34,564)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14,054</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(6,578)</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15,277</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1,389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(407)</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Other non-current assets</w:t>
            </w:r>
          </w:p>
        </w:tc>
        <w:tc>
          <w:tcPr>
            <w:tcW w:w="3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(67)</w:t>
            </w:r>
          </w:p>
        </w:tc>
      </w:tr>
      <w:tr>
        <w:trPr>
          <w:trHeight w:val="176"/>
        </w:trPr>
        <w:tc>
          <w:tcPr>
            <w:tcW w:w="8660" w:type="dxa"/>
            <w:vAlign w:val="bottom"/>
          </w:tcPr>
          <w:p>
            <w:pPr>
              <w:ind w:left="4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23,471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(9,191)</w:t>
            </w:r>
          </w:p>
        </w:tc>
      </w:tr>
      <w:tr>
        <w:trPr>
          <w:trHeight w:val="181"/>
        </w:trPr>
        <w:tc>
          <w:tcPr>
            <w:tcW w:w="8660" w:type="dxa"/>
            <w:vAlign w:val="bottom"/>
          </w:tcPr>
          <w:p>
            <w:pPr>
              <w:ind w:left="420"/>
              <w:spacing w:after="0"/>
              <w:rPr>
                <w:sz w:val="20"/>
                <w:szCs w:val="20"/>
                <w:color w:val="auto"/>
              </w:rPr>
            </w:pPr>
            <w:r>
              <w:rPr>
                <w:rFonts w:ascii="Arial" w:cs="Arial" w:eastAsia="Arial" w:hAnsi="Arial"/>
                <w:sz w:val="14"/>
                <w:szCs w:val="14"/>
                <w:color w:val="auto"/>
              </w:rPr>
              <w:t>Accrued expenses and other liabilities</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2,682</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(4,623)</w:t>
            </w:r>
          </w:p>
        </w:tc>
      </w:tr>
      <w:tr>
        <w:trPr>
          <w:trHeight w:val="169"/>
        </w:trPr>
        <w:tc>
          <w:tcPr>
            <w:tcW w:w="866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5,710</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45,155</w:t>
            </w:r>
          </w:p>
        </w:tc>
      </w:tr>
      <w:tr>
        <w:trPr>
          <w:trHeight w:val="522"/>
        </w:trPr>
        <w:tc>
          <w:tcPr>
            <w:tcW w:w="86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4"/>
        </w:trPr>
        <w:tc>
          <w:tcPr>
            <w:tcW w:w="866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(5,569)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(10,370)</w:t>
            </w:r>
          </w:p>
        </w:tc>
      </w:tr>
      <w:tr>
        <w:trPr>
          <w:trHeight w:val="181"/>
        </w:trPr>
        <w:tc>
          <w:tcPr>
            <w:tcW w:w="866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w:t>
            </w:r>
          </w:p>
        </w:tc>
      </w:tr>
      <w:tr>
        <w:trPr>
          <w:trHeight w:val="169"/>
        </w:trPr>
        <w:tc>
          <w:tcPr>
            <w:tcW w:w="8660" w:type="dxa"/>
            <w:vAlign w:val="bottom"/>
          </w:tcPr>
          <w:p>
            <w:pPr>
              <w:spacing w:after="0"/>
              <w:rPr>
                <w:sz w:val="20"/>
                <w:szCs w:val="20"/>
                <w:color w:val="auto"/>
              </w:rPr>
            </w:pPr>
            <w:r>
              <w:rPr>
                <w:rFonts w:ascii="Arial" w:cs="Arial" w:eastAsia="Arial" w:hAnsi="Arial"/>
                <w:sz w:val="14"/>
                <w:szCs w:val="14"/>
                <w:color w:val="auto"/>
              </w:rPr>
              <w:t>Net cash used for investing activities</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(5,567)</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(10,326)</w:t>
            </w:r>
          </w:p>
        </w:tc>
      </w:tr>
      <w:tr>
        <w:trPr>
          <w:trHeight w:val="522"/>
        </w:trPr>
        <w:tc>
          <w:tcPr>
            <w:tcW w:w="86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4"/>
        </w:trPr>
        <w:tc>
          <w:tcPr>
            <w:tcW w:w="8660" w:type="dxa"/>
            <w:vAlign w:val="bottom"/>
          </w:tcPr>
          <w:p>
            <w:pPr>
              <w:spacing w:after="0"/>
              <w:rPr>
                <w:sz w:val="20"/>
                <w:szCs w:val="20"/>
                <w:color w:val="auto"/>
              </w:rPr>
            </w:pPr>
            <w:r>
              <w:rPr>
                <w:rFonts w:ascii="Arial" w:cs="Arial" w:eastAsia="Arial" w:hAnsi="Arial"/>
                <w:sz w:val="14"/>
                <w:szCs w:val="14"/>
                <w:color w:val="auto"/>
              </w:rPr>
              <w:t>Proceeds from short-term borrowings</w:t>
            </w:r>
          </w:p>
        </w:tc>
        <w:tc>
          <w:tcPr>
            <w:tcW w:w="34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22,401</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37,343</w:t>
            </w:r>
          </w:p>
        </w:tc>
      </w:tr>
      <w:tr>
        <w:trPr>
          <w:trHeight w:val="176"/>
        </w:trPr>
        <w:tc>
          <w:tcPr>
            <w:tcW w:w="8660" w:type="dxa"/>
            <w:vAlign w:val="bottom"/>
          </w:tcPr>
          <w:p>
            <w:pPr>
              <w:spacing w:after="0"/>
              <w:rPr>
                <w:sz w:val="20"/>
                <w:szCs w:val="20"/>
                <w:color w:val="auto"/>
              </w:rPr>
            </w:pPr>
            <w:r>
              <w:rPr>
                <w:rFonts w:ascii="Arial" w:cs="Arial" w:eastAsia="Arial" w:hAnsi="Arial"/>
                <w:sz w:val="14"/>
                <w:szCs w:val="14"/>
                <w:color w:val="auto"/>
              </w:rPr>
              <w:t>Repayment of short-term borrowings</w:t>
            </w:r>
          </w:p>
        </w:tc>
        <w:tc>
          <w:tcPr>
            <w:tcW w:w="3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(22,401)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(37,343)</w:t>
            </w:r>
          </w:p>
        </w:tc>
      </w:tr>
      <w:tr>
        <w:trPr>
          <w:trHeight w:val="176"/>
        </w:trPr>
        <w:tc>
          <w:tcPr>
            <w:tcW w:w="8660" w:type="dxa"/>
            <w:vAlign w:val="bottom"/>
          </w:tcPr>
          <w:p>
            <w:pPr>
              <w:spacing w:after="0"/>
              <w:rPr>
                <w:sz w:val="20"/>
                <w:szCs w:val="20"/>
                <w:color w:val="auto"/>
              </w:rPr>
            </w:pPr>
            <w:r>
              <w:rPr>
                <w:rFonts w:ascii="Arial" w:cs="Arial" w:eastAsia="Arial" w:hAnsi="Arial"/>
                <w:sz w:val="14"/>
                <w:szCs w:val="14"/>
                <w:color w:val="auto"/>
              </w:rPr>
              <w:t>Repayment of capital lease obligation</w:t>
            </w:r>
          </w:p>
        </w:tc>
        <w:tc>
          <w:tcPr>
            <w:tcW w:w="3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(699)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(527)</w:t>
            </w:r>
          </w:p>
        </w:tc>
      </w:tr>
      <w:tr>
        <w:trPr>
          <w:trHeight w:val="176"/>
        </w:trPr>
        <w:tc>
          <w:tcPr>
            <w:tcW w:w="866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34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(1,537)</w:t>
            </w:r>
          </w:p>
        </w:tc>
      </w:tr>
      <w:tr>
        <w:trPr>
          <w:trHeight w:val="176"/>
        </w:trPr>
        <w:tc>
          <w:tcPr>
            <w:tcW w:w="8660" w:type="dxa"/>
            <w:vAlign w:val="bottom"/>
          </w:tcPr>
          <w:p>
            <w:pPr>
              <w:spacing w:after="0"/>
              <w:rPr>
                <w:sz w:val="20"/>
                <w:szCs w:val="20"/>
                <w:color w:val="auto"/>
              </w:rPr>
            </w:pPr>
            <w:r>
              <w:rPr>
                <w:rFonts w:ascii="Arial" w:cs="Arial" w:eastAsia="Arial" w:hAnsi="Arial"/>
                <w:sz w:val="14"/>
                <w:szCs w:val="14"/>
                <w:color w:val="auto"/>
              </w:rPr>
              <w:t>Issuance of stock under Employee Stock Purchase Plan</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257</w:t>
            </w:r>
          </w:p>
        </w:tc>
      </w:tr>
      <w:tr>
        <w:trPr>
          <w:trHeight w:val="176"/>
        </w:trPr>
        <w:tc>
          <w:tcPr>
            <w:tcW w:w="86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203</w:t>
            </w:r>
          </w:p>
        </w:tc>
      </w:tr>
      <w:tr>
        <w:trPr>
          <w:trHeight w:val="176"/>
        </w:trPr>
        <w:tc>
          <w:tcPr>
            <w:tcW w:w="8660" w:type="dxa"/>
            <w:vAlign w:val="bottom"/>
          </w:tcPr>
          <w:p>
            <w:pPr>
              <w:spacing w:after="0"/>
              <w:rPr>
                <w:sz w:val="20"/>
                <w:szCs w:val="20"/>
                <w:color w:val="auto"/>
              </w:rPr>
            </w:pPr>
            <w:r>
              <w:rPr>
                <w:rFonts w:ascii="Arial" w:cs="Arial" w:eastAsia="Arial" w:hAnsi="Arial"/>
                <w:sz w:val="14"/>
                <w:szCs w:val="14"/>
                <w:color w:val="auto"/>
              </w:rPr>
              <w:t>Net share settlement obligation</w:t>
            </w:r>
          </w:p>
        </w:tc>
        <w:tc>
          <w:tcPr>
            <w:tcW w:w="3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34</w:t>
            </w:r>
          </w:p>
        </w:tc>
      </w:tr>
      <w:tr>
        <w:trPr>
          <w:trHeight w:val="181"/>
        </w:trPr>
        <w:tc>
          <w:tcPr>
            <w:tcW w:w="8660" w:type="dxa"/>
            <w:vAlign w:val="bottom"/>
          </w:tcPr>
          <w:p>
            <w:pPr>
              <w:spacing w:after="0"/>
              <w:rPr>
                <w:sz w:val="20"/>
                <w:szCs w:val="20"/>
                <w:color w:val="auto"/>
              </w:rPr>
            </w:pPr>
            <w:r>
              <w:rPr>
                <w:rFonts w:ascii="Arial" w:cs="Arial" w:eastAsia="Arial" w:hAnsi="Arial"/>
                <w:sz w:val="14"/>
                <w:szCs w:val="14"/>
                <w:color w:val="auto"/>
              </w:rPr>
              <w:t>Excess tax benefit from exercise of stock options</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r>
      <w:tr>
        <w:trPr>
          <w:trHeight w:val="169"/>
        </w:trPr>
        <w:tc>
          <w:tcPr>
            <w:tcW w:w="8660" w:type="dxa"/>
            <w:vAlign w:val="bottom"/>
          </w:tcPr>
          <w:p>
            <w:pPr>
              <w:spacing w:after="0"/>
              <w:rPr>
                <w:sz w:val="20"/>
                <w:szCs w:val="20"/>
                <w:color w:val="auto"/>
              </w:rPr>
            </w:pPr>
            <w:r>
              <w:rPr>
                <w:rFonts w:ascii="Arial" w:cs="Arial" w:eastAsia="Arial" w:hAnsi="Arial"/>
                <w:sz w:val="14"/>
                <w:szCs w:val="14"/>
                <w:color w:val="auto"/>
              </w:rPr>
              <w:t>Net cash used for financing activities</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(849)</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(1,567)</w:t>
            </w:r>
          </w:p>
        </w:tc>
      </w:tr>
      <w:tr>
        <w:trPr>
          <w:trHeight w:val="164"/>
        </w:trPr>
        <w:tc>
          <w:tcPr>
            <w:tcW w:w="8660" w:type="dxa"/>
            <w:vAlign w:val="bottom"/>
          </w:tcPr>
          <w:p>
            <w:pPr>
              <w:spacing w:after="0"/>
              <w:rPr>
                <w:sz w:val="20"/>
                <w:szCs w:val="20"/>
                <w:color w:val="auto"/>
              </w:rPr>
            </w:pPr>
            <w:r>
              <w:rPr>
                <w:rFonts w:ascii="Arial" w:cs="Arial" w:eastAsia="Arial" w:hAnsi="Arial"/>
                <w:sz w:val="14"/>
                <w:szCs w:val="14"/>
                <w:color w:val="auto"/>
              </w:rPr>
              <w:t>(Decrease) increase in cash and cash equivalents</w:t>
            </w:r>
          </w:p>
        </w:tc>
        <w:tc>
          <w:tcPr>
            <w:tcW w:w="3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33,262</w:t>
            </w:r>
          </w:p>
        </w:tc>
      </w:tr>
      <w:tr>
        <w:trPr>
          <w:trHeight w:val="181"/>
        </w:trPr>
        <w:tc>
          <w:tcPr>
            <w:tcW w:w="866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47,003</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13,741</w:t>
            </w:r>
          </w:p>
        </w:tc>
      </w:tr>
      <w:tr>
        <w:trPr>
          <w:trHeight w:val="169"/>
        </w:trPr>
        <w:tc>
          <w:tcPr>
            <w:tcW w:w="866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46,297</w:t>
            </w: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47,003</w:t>
            </w:r>
          </w:p>
        </w:tc>
      </w:tr>
      <w:tr>
        <w:trPr>
          <w:trHeight w:val="20"/>
        </w:trPr>
        <w:tc>
          <w:tcPr>
            <w:tcW w:w="8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6"/>
        </w:trPr>
        <w:tc>
          <w:tcPr>
            <w:tcW w:w="8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Sr. Vice President of Finance &amp; Corporate Controller</w:t>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2019-12-10T16:32:07Z</dcterms:created>
  <dcterms:modified xsi:type="dcterms:W3CDTF">2019-12-10T16:32:07Z</dcterms:modified>
</cp:coreProperties>
</file>