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color w:val="auto"/>
        </w:rPr>
        <w:t>UNITED STATES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SECURITIES AND EXCHANGE COMMISSION</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______________</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FORM 8-K</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PURSUANT TO SECTION 13 OR 15 (d)</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31, 2008</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PC Connection,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2"/>
          </w:tcPr>
          <w:p>
            <w:pPr>
              <w:jc w:val="center"/>
              <w:ind w:left="3490"/>
              <w:spacing w:after="0"/>
              <w:rPr>
                <w:sz w:val="20"/>
                <w:szCs w:val="20"/>
                <w:color w:val="auto"/>
              </w:rPr>
            </w:pPr>
            <w:r>
              <w:rPr>
                <w:rFonts w:ascii="Arial" w:cs="Arial" w:eastAsia="Arial" w:hAnsi="Arial"/>
                <w:sz w:val="18"/>
                <w:szCs w:val="18"/>
                <w:color w:val="auto"/>
                <w:w w:val="90"/>
              </w:rPr>
              <w:t>(Exact name of registrant as specified in its charter)</w:t>
            </w:r>
          </w:p>
        </w:tc>
        <w:tc>
          <w:tcPr>
            <w:tcW w:w="3560" w:type="dxa"/>
            <w:vAlign w:val="bottom"/>
          </w:tcPr>
          <w:p>
            <w:pPr>
              <w:spacing w:after="0"/>
              <w:rPr>
                <w:sz w:val="20"/>
                <w:szCs w:val="20"/>
                <w:color w:val="auto"/>
              </w:rPr>
            </w:pPr>
          </w:p>
        </w:tc>
      </w:tr>
      <w:tr>
        <w:trPr>
          <w:trHeight w:val="453"/>
        </w:trPr>
        <w:tc>
          <w:tcPr>
            <w:tcW w:w="4780" w:type="dxa"/>
            <w:vAlign w:val="bottom"/>
            <w:tcBorders>
              <w:bottom w:val="single" w:sz="8" w:color="auto"/>
            </w:tcBorders>
          </w:tcPr>
          <w:p>
            <w:pPr>
              <w:jc w:val="center"/>
              <w:ind w:right="910"/>
              <w:spacing w:after="0"/>
              <w:rPr>
                <w:sz w:val="20"/>
                <w:szCs w:val="20"/>
                <w:color w:val="auto"/>
              </w:rPr>
            </w:pPr>
            <w:r>
              <w:rPr>
                <w:rFonts w:ascii="Arial" w:cs="Arial" w:eastAsia="Arial" w:hAnsi="Arial"/>
                <w:sz w:val="18"/>
                <w:szCs w:val="18"/>
                <w:color w:val="auto"/>
                <w:w w:val="92"/>
              </w:rPr>
              <w:t>Delaware</w:t>
            </w:r>
          </w:p>
        </w:tc>
        <w:tc>
          <w:tcPr>
            <w:tcW w:w="3080" w:type="dxa"/>
            <w:vAlign w:val="bottom"/>
            <w:tcBorders>
              <w:bottom w:val="single" w:sz="8" w:color="auto"/>
            </w:tcBorders>
          </w:tcPr>
          <w:p>
            <w:pPr>
              <w:jc w:val="center"/>
              <w:ind w:right="1110"/>
              <w:spacing w:after="0"/>
              <w:rPr>
                <w:sz w:val="20"/>
                <w:szCs w:val="20"/>
                <w:color w:val="auto"/>
              </w:rPr>
            </w:pPr>
            <w:r>
              <w:rPr>
                <w:rFonts w:ascii="Arial" w:cs="Arial" w:eastAsia="Arial" w:hAnsi="Arial"/>
                <w:sz w:val="18"/>
                <w:szCs w:val="18"/>
                <w:color w:val="auto"/>
                <w:w w:val="90"/>
              </w:rPr>
              <w:t>0-23827</w:t>
            </w:r>
          </w:p>
        </w:tc>
        <w:tc>
          <w:tcPr>
            <w:tcW w:w="3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02-0513618</w:t>
            </w:r>
          </w:p>
        </w:tc>
      </w:tr>
      <w:tr>
        <w:trPr>
          <w:trHeight w:val="215"/>
        </w:trPr>
        <w:tc>
          <w:tcPr>
            <w:tcW w:w="4780" w:type="dxa"/>
            <w:vAlign w:val="bottom"/>
          </w:tcPr>
          <w:p>
            <w:pPr>
              <w:jc w:val="center"/>
              <w:ind w:right="910"/>
              <w:spacing w:after="0"/>
              <w:rPr>
                <w:sz w:val="20"/>
                <w:szCs w:val="20"/>
                <w:color w:val="auto"/>
              </w:rPr>
            </w:pPr>
            <w:r>
              <w:rPr>
                <w:rFonts w:ascii="Arial" w:cs="Arial" w:eastAsia="Arial" w:hAnsi="Arial"/>
                <w:sz w:val="18"/>
                <w:szCs w:val="18"/>
                <w:color w:val="auto"/>
                <w:w w:val="92"/>
              </w:rPr>
              <w:t>(State or other jurisdiction</w:t>
            </w:r>
          </w:p>
        </w:tc>
        <w:tc>
          <w:tcPr>
            <w:tcW w:w="3080" w:type="dxa"/>
            <w:vAlign w:val="bottom"/>
          </w:tcPr>
          <w:p>
            <w:pPr>
              <w:jc w:val="center"/>
              <w:ind w:right="1130"/>
              <w:spacing w:after="0"/>
              <w:rPr>
                <w:sz w:val="20"/>
                <w:szCs w:val="20"/>
                <w:color w:val="auto"/>
              </w:rPr>
            </w:pPr>
            <w:r>
              <w:rPr>
                <w:rFonts w:ascii="Arial" w:cs="Arial" w:eastAsia="Arial" w:hAnsi="Arial"/>
                <w:sz w:val="18"/>
                <w:szCs w:val="18"/>
                <w:color w:val="auto"/>
                <w:w w:val="93"/>
              </w:rPr>
              <w:t>(Commission</w:t>
            </w:r>
          </w:p>
        </w:tc>
        <w:tc>
          <w:tcPr>
            <w:tcW w:w="3560" w:type="dxa"/>
            <w:vAlign w:val="bottom"/>
          </w:tcPr>
          <w:p>
            <w:pPr>
              <w:jc w:val="center"/>
              <w:ind w:right="130"/>
              <w:spacing w:after="0"/>
              <w:rPr>
                <w:sz w:val="20"/>
                <w:szCs w:val="20"/>
                <w:color w:val="auto"/>
              </w:rPr>
            </w:pPr>
            <w:r>
              <w:rPr>
                <w:rFonts w:ascii="Arial" w:cs="Arial" w:eastAsia="Arial" w:hAnsi="Arial"/>
                <w:sz w:val="18"/>
                <w:szCs w:val="18"/>
                <w:color w:val="auto"/>
                <w:w w:val="93"/>
              </w:rPr>
              <w:t>(IRS Employer</w:t>
            </w:r>
          </w:p>
        </w:tc>
      </w:tr>
      <w:tr>
        <w:trPr>
          <w:trHeight w:val="230"/>
        </w:trPr>
        <w:tc>
          <w:tcPr>
            <w:tcW w:w="4780" w:type="dxa"/>
            <w:vAlign w:val="bottom"/>
          </w:tcPr>
          <w:p>
            <w:pPr>
              <w:jc w:val="center"/>
              <w:ind w:right="910"/>
              <w:spacing w:after="0"/>
              <w:rPr>
                <w:sz w:val="20"/>
                <w:szCs w:val="20"/>
                <w:color w:val="auto"/>
              </w:rPr>
            </w:pPr>
            <w:r>
              <w:rPr>
                <w:rFonts w:ascii="Arial" w:cs="Arial" w:eastAsia="Arial" w:hAnsi="Arial"/>
                <w:sz w:val="18"/>
                <w:szCs w:val="18"/>
                <w:color w:val="auto"/>
                <w:w w:val="93"/>
              </w:rPr>
              <w:t>of incorporation)</w:t>
            </w:r>
          </w:p>
        </w:tc>
        <w:tc>
          <w:tcPr>
            <w:tcW w:w="3080" w:type="dxa"/>
            <w:vAlign w:val="bottom"/>
          </w:tcPr>
          <w:p>
            <w:pPr>
              <w:jc w:val="center"/>
              <w:ind w:right="1130"/>
              <w:spacing w:after="0"/>
              <w:rPr>
                <w:sz w:val="20"/>
                <w:szCs w:val="20"/>
                <w:color w:val="auto"/>
              </w:rPr>
            </w:pPr>
            <w:r>
              <w:rPr>
                <w:rFonts w:ascii="Arial" w:cs="Arial" w:eastAsia="Arial" w:hAnsi="Arial"/>
                <w:sz w:val="18"/>
                <w:szCs w:val="18"/>
                <w:color w:val="auto"/>
                <w:w w:val="94"/>
              </w:rPr>
              <w:t>File Number)</w:t>
            </w:r>
          </w:p>
        </w:tc>
        <w:tc>
          <w:tcPr>
            <w:tcW w:w="3560" w:type="dxa"/>
            <w:vAlign w:val="bottom"/>
          </w:tcPr>
          <w:p>
            <w:pPr>
              <w:jc w:val="center"/>
              <w:ind w:right="130"/>
              <w:spacing w:after="0"/>
              <w:rPr>
                <w:sz w:val="20"/>
                <w:szCs w:val="20"/>
                <w:color w:val="auto"/>
              </w:rPr>
            </w:pPr>
            <w:r>
              <w:rPr>
                <w:rFonts w:ascii="Arial" w:cs="Arial" w:eastAsia="Arial" w:hAnsi="Arial"/>
                <w:sz w:val="18"/>
                <w:szCs w:val="18"/>
                <w:color w:val="auto"/>
                <w:w w:val="95"/>
              </w:rPr>
              <w:t>Identification No.)</w:t>
            </w:r>
          </w:p>
        </w:tc>
      </w:tr>
      <w:tr>
        <w:trPr>
          <w:trHeight w:val="364"/>
        </w:trPr>
        <w:tc>
          <w:tcPr>
            <w:tcW w:w="4780" w:type="dxa"/>
            <w:vAlign w:val="bottom"/>
          </w:tcPr>
          <w:p>
            <w:pPr>
              <w:jc w:val="center"/>
              <w:ind w:left="850"/>
              <w:spacing w:after="0"/>
              <w:rPr>
                <w:sz w:val="20"/>
                <w:szCs w:val="20"/>
                <w:color w:val="auto"/>
              </w:rPr>
            </w:pPr>
            <w:r>
              <w:rPr>
                <w:rFonts w:ascii="Arial" w:cs="Arial" w:eastAsia="Arial" w:hAnsi="Arial"/>
                <w:sz w:val="18"/>
                <w:szCs w:val="18"/>
                <w:color w:val="auto"/>
                <w:w w:val="93"/>
              </w:rPr>
              <w:t>Rt. 101A, 730 Milford Road</w:t>
            </w:r>
          </w:p>
        </w:tc>
        <w:tc>
          <w:tcPr>
            <w:tcW w:w="30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478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6"/>
              </w:rPr>
              <w:t>Merrimack, NH</w:t>
            </w:r>
          </w:p>
        </w:tc>
        <w:tc>
          <w:tcPr>
            <w:tcW w:w="30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right"/>
              <w:ind w:right="2530"/>
              <w:spacing w:after="0"/>
              <w:rPr>
                <w:sz w:val="20"/>
                <w:szCs w:val="20"/>
                <w:color w:val="auto"/>
              </w:rPr>
            </w:pPr>
            <w:r>
              <w:rPr>
                <w:rFonts w:ascii="Arial" w:cs="Arial" w:eastAsia="Arial" w:hAnsi="Arial"/>
                <w:sz w:val="18"/>
                <w:szCs w:val="18"/>
                <w:color w:val="auto"/>
              </w:rPr>
              <w:t>03054</w:t>
            </w:r>
          </w:p>
        </w:tc>
      </w:tr>
      <w:tr>
        <w:trPr>
          <w:trHeight w:val="230"/>
        </w:trPr>
        <w:tc>
          <w:tcPr>
            <w:tcW w:w="4780" w:type="dxa"/>
            <w:vAlign w:val="bottom"/>
          </w:tcPr>
          <w:p>
            <w:pPr>
              <w:jc w:val="center"/>
              <w:ind w:left="83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0"/>
                <w:szCs w:val="20"/>
                <w:color w:val="auto"/>
              </w:rPr>
            </w:pPr>
          </w:p>
        </w:tc>
        <w:tc>
          <w:tcPr>
            <w:tcW w:w="3560" w:type="dxa"/>
            <w:vAlign w:val="bottom"/>
          </w:tcPr>
          <w:p>
            <w:pPr>
              <w:jc w:val="center"/>
              <w:ind w:right="2070"/>
              <w:spacing w:after="0"/>
              <w:rPr>
                <w:sz w:val="20"/>
                <w:szCs w:val="20"/>
                <w:color w:val="auto"/>
              </w:rPr>
            </w:pPr>
            <w:r>
              <w:rPr>
                <w:rFonts w:ascii="Arial" w:cs="Arial" w:eastAsia="Arial" w:hAnsi="Arial"/>
                <w:sz w:val="18"/>
                <w:szCs w:val="18"/>
                <w:color w:val="auto"/>
                <w:w w:val="94"/>
              </w:rPr>
              <w:t>(Zip Code)</w:t>
            </w:r>
          </w:p>
        </w:tc>
      </w:tr>
    </w:tbl>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color w:val="auto"/>
        </w:rPr>
        <w:t>(603) 683-2000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1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January 31, 2008, PC Connection, Inc. announced its financial results for the quarter and year ended December 31, 2007. The full text of the press release issued in connection with the announcement is furnished as Exhibit 99.1 to this Current Report on Form 8-K.</w:t>
      </w:r>
    </w:p>
    <w:p>
      <w:pPr>
        <w:spacing w:after="0" w:line="130"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1500" w:hanging="911"/>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1500" w:right="3240"/>
        <w:spacing w:after="0" w:line="639" w:lineRule="auto"/>
        <w:rPr>
          <w:rFonts w:ascii="Arial" w:cs="Arial" w:eastAsia="Arial" w:hAnsi="Arial"/>
          <w:sz w:val="18"/>
          <w:szCs w:val="18"/>
          <w:color w:val="auto"/>
        </w:rPr>
      </w:pPr>
      <w:r>
        <w:rPr>
          <w:rFonts w:ascii="Arial" w:cs="Arial" w:eastAsia="Arial" w:hAnsi="Arial"/>
          <w:sz w:val="17"/>
          <w:szCs w:val="17"/>
          <w:color w:val="auto"/>
        </w:rPr>
        <w:t>The following exhibit relating to Item 2.02 shall be deemed to be furnished, and not filed: 99.1 Press Release issued by PC Connection, Inc. on January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20"/>
          </w:cols>
          <w:pgMar w:left="240" w:top="148" w:right="4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PC CONNECTION, INC.</w:t>
      </w:r>
    </w:p>
    <w:p>
      <w:pPr>
        <w:spacing w:after="0" w:line="279" w:lineRule="exact"/>
        <w:rPr>
          <w:sz w:val="20"/>
          <w:szCs w:val="20"/>
          <w:color w:val="auto"/>
        </w:rPr>
      </w:pPr>
    </w:p>
    <w:p>
      <w:pPr>
        <w:spacing w:after="0"/>
        <w:tabs>
          <w:tab w:leader="none" w:pos="920" w:val="left"/>
          <w:tab w:leader="none" w:pos="3900" w:val="left"/>
          <w:tab w:leader="none" w:pos="4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31,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23495</wp:posOffset>
            </wp:positionV>
            <wp:extent cx="4356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Jack Ferguson</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Executive Vice President, Treasurer, and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5" w:right="9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40" w:type="dxa"/>
            <w:vAlign w:val="bottom"/>
          </w:tcPr>
          <w:p>
            <w:pPr>
              <w:ind w:left="2720"/>
              <w:spacing w:after="0"/>
              <w:rPr>
                <w:sz w:val="20"/>
                <w:szCs w:val="20"/>
                <w:color w:val="auto"/>
              </w:rPr>
            </w:pPr>
            <w:r>
              <w:rPr>
                <w:rFonts w:ascii="Arial" w:cs="Arial" w:eastAsia="Arial" w:hAnsi="Arial"/>
                <w:sz w:val="18"/>
                <w:szCs w:val="18"/>
                <w:color w:val="auto"/>
                <w:w w:val="99"/>
              </w:rPr>
              <w:t>EXHIBIT INDEX</w:t>
            </w:r>
          </w:p>
        </w:tc>
      </w:tr>
      <w:tr>
        <w:trPr>
          <w:trHeight w:val="405"/>
        </w:trPr>
        <w:tc>
          <w:tcPr>
            <w:tcW w:w="11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200" w:type="dxa"/>
            <w:vAlign w:val="bottom"/>
            <w:gridSpan w:val="3"/>
          </w:tcPr>
          <w:p>
            <w:pPr>
              <w:ind w:left="32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5200" w:type="dxa"/>
            <w:vAlign w:val="bottom"/>
            <w:gridSpan w:val="3"/>
          </w:tcPr>
          <w:p>
            <w:pPr>
              <w:ind w:left="320"/>
              <w:spacing w:after="0"/>
              <w:rPr>
                <w:sz w:val="20"/>
                <w:szCs w:val="20"/>
                <w:color w:val="auto"/>
              </w:rPr>
            </w:pPr>
            <w:r>
              <w:rPr>
                <w:rFonts w:ascii="Arial" w:cs="Arial" w:eastAsia="Arial" w:hAnsi="Arial"/>
                <w:sz w:val="18"/>
                <w:szCs w:val="18"/>
                <w:color w:val="auto"/>
                <w:w w:val="91"/>
              </w:rPr>
              <w:t>Press release issued by PC Connection, Inc. on January 31, 2008.</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PC Connection, Inc. Reports Fourth Quarter and Full Year Results</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22"/>
          <w:szCs w:val="22"/>
          <w:b w:val="1"/>
          <w:bCs w:val="1"/>
          <w:i w:val="1"/>
          <w:iCs w:val="1"/>
          <w:color w:val="auto"/>
        </w:rPr>
        <w:t>Company Announces Record Quarterly and Annual Sales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MERRIMACK, N.H.--(BUSINESS WIRE)--PC Connection, Inc. </w:t>
      </w:r>
      <w:r>
        <w:rPr>
          <w:rFonts w:ascii="Arial" w:cs="Arial" w:eastAsia="Arial" w:hAnsi="Arial"/>
          <w:sz w:val="22"/>
          <w:szCs w:val="22"/>
          <w:b w:val="1"/>
          <w:bCs w:val="1"/>
          <w:color w:val="auto"/>
        </w:rPr>
        <w:t>(NASDAQ: PCCC)</w:t>
      </w:r>
    </w:p>
    <w:p>
      <w:pPr>
        <w:sectPr>
          <w:pgSz w:w="11900" w:h="16838" w:orient="portrait"/>
          <w:cols w:equalWidth="0" w:num="1">
            <w:col w:w="11420"/>
          </w:cols>
          <w:pgMar w:left="240" w:top="112" w:right="239" w:bottom="83" w:gutter="0" w:footer="0" w:header="0"/>
        </w:sectPr>
      </w:pPr>
    </w:p>
    <w:p>
      <w:pPr>
        <w:spacing w:after="0" w:line="2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FOURTH QUARTER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584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Net sales: $490 million; up 13%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3584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-67945</wp:posOffset>
            </wp:positionV>
            <wp:extent cx="5143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Net income: $6.2 million; up 35%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35845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-67945</wp:posOffset>
            </wp:positionV>
            <wp:extent cx="5143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57" w:lineRule="exact"/>
        <w:rPr>
          <w:sz w:val="20"/>
          <w:szCs w:val="20"/>
          <w:color w:val="auto"/>
        </w:rPr>
      </w:pPr>
    </w:p>
    <w:p>
      <w:pPr>
        <w:jc w:val="right"/>
        <w:ind w:right="1420"/>
        <w:spacing w:after="0"/>
        <w:rPr>
          <w:sz w:val="20"/>
          <w:szCs w:val="20"/>
          <w:color w:val="auto"/>
        </w:rPr>
      </w:pPr>
      <w:r>
        <w:rPr>
          <w:rFonts w:ascii="Arial" w:cs="Arial" w:eastAsia="Arial" w:hAnsi="Arial"/>
          <w:sz w:val="14"/>
          <w:szCs w:val="14"/>
          <w:color w:val="auto"/>
        </w:rPr>
        <w:t>Diluted earnings per share: $.23; up from $.17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3584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-67945</wp:posOffset>
            </wp:positionV>
            <wp:extent cx="5143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FULL YEAR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12700</wp:posOffset>
            </wp:positionV>
            <wp:extent cx="3601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Net sales: $1,785 million; up 9%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106680</wp:posOffset>
            </wp:positionV>
            <wp:extent cx="3601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-67945</wp:posOffset>
            </wp:positionV>
            <wp:extent cx="5143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Net income: $23.0 million; up 67%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106680</wp:posOffset>
            </wp:positionV>
            <wp:extent cx="3601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-67945</wp:posOffset>
            </wp:positionV>
            <wp:extent cx="5143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57" w:lineRule="exact"/>
        <w:rPr>
          <w:sz w:val="20"/>
          <w:szCs w:val="20"/>
          <w:color w:val="auto"/>
        </w:rPr>
      </w:pPr>
    </w:p>
    <w:p>
      <w:pPr>
        <w:jc w:val="right"/>
        <w:ind w:right="1940"/>
        <w:spacing w:after="0"/>
        <w:rPr>
          <w:sz w:val="20"/>
          <w:szCs w:val="20"/>
          <w:color w:val="auto"/>
        </w:rPr>
      </w:pPr>
      <w:r>
        <w:rPr>
          <w:rFonts w:ascii="Arial" w:cs="Arial" w:eastAsia="Arial" w:hAnsi="Arial"/>
          <w:sz w:val="14"/>
          <w:szCs w:val="14"/>
          <w:color w:val="auto"/>
        </w:rPr>
        <w:t>Diluted earnings per share: $.85; up from $.54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106680</wp:posOffset>
            </wp:positionV>
            <wp:extent cx="3601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-67945</wp:posOffset>
            </wp:positionV>
            <wp:extent cx="5143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540"/>
          </w:cols>
          <w:pgMar w:left="240" w:top="112" w:right="239" w:bottom="83" w:gutter="0" w:footer="0" w:header="0"/>
          <w:type w:val="continuous"/>
        </w:sectPr>
      </w:pPr>
    </w:p>
    <w:p>
      <w:pPr>
        <w:spacing w:after="0" w:line="170" w:lineRule="exact"/>
        <w:rPr>
          <w:sz w:val="20"/>
          <w:szCs w:val="20"/>
          <w:color w:val="auto"/>
        </w:rPr>
      </w:pPr>
    </w:p>
    <w:p>
      <w:pPr>
        <w:ind w:right="140"/>
        <w:spacing w:after="0" w:line="237" w:lineRule="auto"/>
        <w:rPr>
          <w:sz w:val="20"/>
          <w:szCs w:val="20"/>
          <w:color w:val="auto"/>
        </w:rPr>
      </w:pPr>
      <w:r>
        <w:rPr>
          <w:rFonts w:ascii="Arial" w:cs="Arial" w:eastAsia="Arial" w:hAnsi="Arial"/>
          <w:sz w:val="22"/>
          <w:szCs w:val="22"/>
          <w:color w:val="auto"/>
        </w:rPr>
        <w:t xml:space="preserve">PC Connection, Inc. </w:t>
      </w:r>
      <w:r>
        <w:rPr>
          <w:rFonts w:ascii="Arial" w:cs="Arial" w:eastAsia="Arial" w:hAnsi="Arial"/>
          <w:sz w:val="22"/>
          <w:szCs w:val="22"/>
          <w:b w:val="1"/>
          <w:bCs w:val="1"/>
          <w:color w:val="auto"/>
        </w:rPr>
        <w:t>(NASDAQ: PCCC)</w:t>
      </w:r>
      <w:r>
        <w:rPr>
          <w:rFonts w:ascii="Arial" w:cs="Arial" w:eastAsia="Arial" w:hAnsi="Arial"/>
          <w:sz w:val="22"/>
          <w:szCs w:val="22"/>
          <w:color w:val="auto"/>
        </w:rPr>
        <w:t>, a leading direct marketer of information technology (IT) products and services, today announced results for the quarter and year ended December 31, 2007. Net sales for the three months ended December 31, 2007 increased by $57.7 million, or 13.4%, to $489.6 million from $431.9 million for the three months ended December 31, 2006. Net income for the quarter was $6.2 million, or $.23 per share, compared to $4.6 million, or $.17 per share, for the corresponding prior year quarter.</w:t>
      </w:r>
    </w:p>
    <w:p>
      <w:pPr>
        <w:spacing w:after="0" w:line="189"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The quarter ended December 31, 2007 included special charges related to management restructuring that reduced earnings and earnings per share. Had these charges not been incurred, pro forma net income for the quarter ended December 31, 2007 would have been $6.5 million, or $.24 per share, compared to $4.6 million, or $.17 per share, for the quarter ended December 31, 2006. We did not record any special charges for the quarter ended December 31, 2006. A reconciliation between net income on a GAAP basis and pro forma net income is provided in a table immediately following the Consolidated Income Statements.</w:t>
      </w:r>
    </w:p>
    <w:p>
      <w:pPr>
        <w:spacing w:after="0" w:line="148"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“We are pleased to report record quarterly and annual sales,” said Patricia Gallup, Chairman and Chief Executive Officer of PC Connection, Inc. “The fourth quarter was our eleventh consecutive quarter of year-over-year revenue growth. We also achieved a 29% increase in operating income and a 35% increase in earnings per share over the fourth quarter of 2006.”</w:t>
      </w:r>
    </w:p>
    <w:p>
      <w:pPr>
        <w:spacing w:after="0" w:line="134"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Net sales for the year ended December 31, 2007 increased by $149.7 million, or 9.2%, to $1,785.4 million from $1,635.7 million for the year ended December 31, 2006. Net income for the year ended December 31, 2007 was $23.0 million, or $.85 per share, compared to $13.8 million, or $.54 per share, for the year ended December 31, 2006. The years ended December 31, 2007 and 2006 included special charges that reduced earnings and earnings per share. Had these charges not been incurred, pro forma net income for the year ended December 31, 2007 would have been $23.3 million, or $.86 per share, compared to $15.2 million, or $.59 per share, for the year ended December 31, 2006.</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Growth by Business Segment</w:t>
      </w:r>
      <w:r>
        <w:rPr>
          <w:rFonts w:ascii="Arial" w:cs="Arial" w:eastAsia="Arial" w:hAnsi="Arial"/>
          <w:sz w:val="22"/>
          <w:szCs w:val="22"/>
          <w:i w:val="1"/>
          <w:iCs w:val="1"/>
          <w:color w:val="auto"/>
        </w:rPr>
        <w:t>:</w:t>
      </w:r>
    </w:p>
    <w:p>
      <w:pPr>
        <w:spacing w:after="0" w:line="206" w:lineRule="exact"/>
        <w:rPr>
          <w:sz w:val="20"/>
          <w:szCs w:val="20"/>
          <w:color w:val="auto"/>
        </w:rPr>
      </w:pPr>
    </w:p>
    <w:p>
      <w:pPr>
        <w:ind w:left="540" w:right="260"/>
        <w:spacing w:after="0" w:line="297" w:lineRule="auto"/>
        <w:rPr>
          <w:sz w:val="20"/>
          <w:szCs w:val="20"/>
          <w:color w:val="auto"/>
        </w:rPr>
      </w:pPr>
      <w:r>
        <w:rPr>
          <w:rFonts w:ascii="Arial" w:cs="Arial" w:eastAsia="Arial" w:hAnsi="Arial"/>
          <w:sz w:val="19"/>
          <w:szCs w:val="19"/>
          <w:color w:val="auto"/>
        </w:rPr>
        <w:t>Net sales for the small- and medium-sized business (SMB) segment increased by 14.0% to $263.8 million compared to the fourth quarter of 2006. Corporate outbound sales within the segment grew 24.9% year over year, reflecting our focus on business customers. Several large Video product orders from three customers drove the majority of this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3" w:lineRule="exact"/>
        <w:rPr>
          <w:sz w:val="20"/>
          <w:szCs w:val="20"/>
          <w:color w:val="auto"/>
        </w:rPr>
      </w:pPr>
    </w:p>
    <w:p>
      <w:pPr>
        <w:ind w:left="540" w:right="500"/>
        <w:spacing w:after="0" w:line="328" w:lineRule="auto"/>
        <w:rPr>
          <w:sz w:val="20"/>
          <w:szCs w:val="20"/>
          <w:color w:val="auto"/>
        </w:rPr>
      </w:pPr>
      <w:r>
        <w:rPr>
          <w:rFonts w:ascii="Arial" w:cs="Arial" w:eastAsia="Arial" w:hAnsi="Arial"/>
          <w:sz w:val="19"/>
          <w:szCs w:val="19"/>
          <w:color w:val="auto"/>
        </w:rPr>
        <w:t>Net sales for MoreDirect, Inc., our Large Account segment, increased by 6.3% to $140.8 million compared to the fourth quarter of 2006. MoreDirect continues to obtain new customers and a greater share of existing customers’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 w:lineRule="exact"/>
        <w:rPr>
          <w:sz w:val="20"/>
          <w:szCs w:val="20"/>
          <w:color w:val="auto"/>
        </w:rPr>
      </w:pPr>
    </w:p>
    <w:p>
      <w:pPr>
        <w:ind w:left="540" w:right="260"/>
        <w:spacing w:after="0" w:line="328" w:lineRule="auto"/>
        <w:rPr>
          <w:sz w:val="20"/>
          <w:szCs w:val="20"/>
          <w:color w:val="auto"/>
        </w:rPr>
      </w:pPr>
      <w:r>
        <w:rPr>
          <w:rFonts w:ascii="Arial" w:cs="Arial" w:eastAsia="Arial" w:hAnsi="Arial"/>
          <w:sz w:val="19"/>
          <w:szCs w:val="19"/>
          <w:color w:val="auto"/>
        </w:rPr>
        <w:t>Net sales for GovConnection, Inc., our Public Sector segment, increased by 25.1% to $85.0 million compared to the fourth quarter of 2006. Increased federal sales, obtained under recent government contracts, drove this double-digit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Growth by Product Mix</w:t>
      </w:r>
      <w:r>
        <w:rPr>
          <w:rFonts w:ascii="Arial" w:cs="Arial" w:eastAsia="Arial" w:hAnsi="Arial"/>
          <w:sz w:val="22"/>
          <w:szCs w:val="22"/>
          <w:i w:val="1"/>
          <w:iCs w:val="1"/>
          <w:color w:val="auto"/>
        </w:rPr>
        <w:t>:</w:t>
      </w:r>
    </w:p>
    <w:p>
      <w:pPr>
        <w:spacing w:after="0" w:line="206" w:lineRule="exact"/>
        <w:rPr>
          <w:sz w:val="20"/>
          <w:szCs w:val="20"/>
          <w:color w:val="auto"/>
        </w:rPr>
      </w:pPr>
    </w:p>
    <w:p>
      <w:pPr>
        <w:ind w:left="540" w:right="200"/>
        <w:spacing w:after="0"/>
        <w:rPr>
          <w:sz w:val="20"/>
          <w:szCs w:val="20"/>
          <w:color w:val="auto"/>
        </w:rPr>
      </w:pPr>
      <w:r>
        <w:rPr>
          <w:rFonts w:ascii="Arial" w:cs="Arial" w:eastAsia="Arial" w:hAnsi="Arial"/>
          <w:sz w:val="22"/>
          <w:szCs w:val="22"/>
          <w:color w:val="auto"/>
        </w:rPr>
        <w:t>Video, Imaging and Sound sales increased 52.5% year over year, accounting for 17.7% of net sales in the fourth quarter compared to 13.2% for the corresponding prior year quarter. Several large Video product orders from three SMB customers drove the majority of this revenue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780"/>
        <w:spacing w:after="0" w:line="328" w:lineRule="auto"/>
        <w:rPr>
          <w:sz w:val="20"/>
          <w:szCs w:val="20"/>
          <w:color w:val="auto"/>
        </w:rPr>
      </w:pPr>
      <w:r>
        <w:rPr>
          <w:rFonts w:ascii="Arial" w:cs="Arial" w:eastAsia="Arial" w:hAnsi="Arial"/>
          <w:sz w:val="19"/>
          <w:szCs w:val="19"/>
          <w:color w:val="auto"/>
        </w:rPr>
        <w:t>Notebooks and PDAs accounted for 14.9% of net sales in the fourth quarter of 2007 compared to 16.9% for the corresponding prior year quarter, reflecting our emphasis on driving sales in other product lines with higher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 w:lineRule="exact"/>
        <w:rPr>
          <w:sz w:val="20"/>
          <w:szCs w:val="20"/>
          <w:color w:val="auto"/>
        </w:rPr>
      </w:pPr>
    </w:p>
    <w:p>
      <w:pPr>
        <w:ind w:left="540" w:right="120"/>
        <w:spacing w:after="0" w:line="328" w:lineRule="auto"/>
        <w:rPr>
          <w:sz w:val="20"/>
          <w:szCs w:val="20"/>
          <w:color w:val="auto"/>
        </w:rPr>
      </w:pPr>
      <w:r>
        <w:rPr>
          <w:rFonts w:ascii="Arial" w:cs="Arial" w:eastAsia="Arial" w:hAnsi="Arial"/>
          <w:sz w:val="19"/>
          <w:szCs w:val="19"/>
          <w:color w:val="auto"/>
        </w:rPr>
        <w:t>Software sales increased 20.5% year over year, accounting for 13.0% of net sales in the fourth quarter of 2007 compared to 12.2% for the corresponding prior year quarter. We experienced strong year over year growth with several software vendors.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 w:lineRule="exact"/>
        <w:rPr>
          <w:sz w:val="20"/>
          <w:szCs w:val="20"/>
          <w:color w:val="auto"/>
        </w:rPr>
      </w:pPr>
    </w:p>
    <w:p>
      <w:pPr>
        <w:ind w:left="540" w:right="640"/>
        <w:spacing w:after="0" w:line="251" w:lineRule="auto"/>
        <w:rPr>
          <w:sz w:val="20"/>
          <w:szCs w:val="20"/>
          <w:color w:val="auto"/>
        </w:rPr>
      </w:pPr>
      <w:r>
        <w:rPr>
          <w:rFonts w:ascii="Arial" w:cs="Arial" w:eastAsia="Arial" w:hAnsi="Arial"/>
          <w:sz w:val="22"/>
          <w:szCs w:val="22"/>
          <w:color w:val="auto"/>
        </w:rPr>
        <w:t>Sales of storage devices increased 22.0% year over year, accounting for 9.3% of net sales in the fourth quarter of 2007 compared to 8.6% for the corresponding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Gross profit was $57.5 million for the fourth quarter of 2007 compared to $51.9 million for the fourth quarter of 2006. Gross profit margin, as a percentage of net sales, was 11.7% in the fourth quarter of 2007 compared to 12.0% in the fourth quarter of 2006. The large Video product orders shipped in the fourth quarter decreased our gross margin rates by approximately 70 basis points. Higher agency fee revenues and additional vendor consideration in the fourth quarter of 2007 partially offset these lower-margin SMB sales.</w:t>
      </w:r>
    </w:p>
    <w:p>
      <w:pPr>
        <w:sectPr>
          <w:pgSz w:w="11900" w:h="16838" w:orient="portrait"/>
          <w:cols w:equalWidth="0" w:num="1">
            <w:col w:w="11420"/>
          </w:cols>
          <w:pgMar w:left="240" w:top="112" w:right="239" w:bottom="83" w:gutter="0" w:footer="0" w:header="0"/>
          <w:type w:val="continuous"/>
        </w:sectPr>
      </w:pPr>
    </w:p>
    <w:bookmarkStart w:id="5" w:name="page6"/>
    <w:bookmarkEnd w:id="5"/>
    <w:p>
      <w:pPr>
        <w:jc w:val="both"/>
        <w:ind w:right="180"/>
        <w:spacing w:after="0" w:line="282" w:lineRule="auto"/>
        <w:rPr>
          <w:sz w:val="20"/>
          <w:szCs w:val="20"/>
          <w:color w:val="auto"/>
        </w:rPr>
      </w:pPr>
      <w:r>
        <w:rPr>
          <w:rFonts w:ascii="Arial" w:cs="Arial" w:eastAsia="Arial" w:hAnsi="Arial"/>
          <w:sz w:val="19"/>
          <w:szCs w:val="19"/>
          <w:color w:val="auto"/>
        </w:rPr>
        <w:t>Annualized sales representative productivity increased 19% on a consolidated basis in the fourth quarter of 2007 compared to the fourth quarter of 2006. Sales productivity in our Large Account segment increased 21% in the fourth quarter of 2007 compared to the fourth quarter of 2006. Sales productivity in our SMB and Public Sector segments increased quarter over quarter by 20% and 19%, respectively. On a consolidated basis, the total number of sales representatives was 692 as of December 31, 2007, compared to 654 at September 30, 2007, and 702 at December 31, 2006.</w:t>
      </w:r>
    </w:p>
    <w:p>
      <w:pPr>
        <w:spacing w:after="0" w:line="148" w:lineRule="exact"/>
        <w:rPr>
          <w:sz w:val="20"/>
          <w:szCs w:val="20"/>
          <w:color w:val="auto"/>
        </w:rPr>
      </w:pPr>
    </w:p>
    <w:p>
      <w:pPr>
        <w:ind w:right="460"/>
        <w:spacing w:after="0" w:line="297" w:lineRule="auto"/>
        <w:rPr>
          <w:sz w:val="20"/>
          <w:szCs w:val="20"/>
          <w:color w:val="auto"/>
        </w:rPr>
      </w:pPr>
      <w:r>
        <w:rPr>
          <w:rFonts w:ascii="Arial" w:cs="Arial" w:eastAsia="Arial" w:hAnsi="Arial"/>
          <w:sz w:val="19"/>
          <w:szCs w:val="19"/>
          <w:color w:val="auto"/>
        </w:rPr>
        <w:t>Selling, general and administrative expenses (“SG&amp;A”) totaled $46.9 million for the fourth quarter of 2007 compared to $44.1 million for the fourth quarter of 2006. SG&amp;A improved as a percentage of net sales to 9.5% for the fourth quarter of 2007 compared to 10.2% for the fourth quarter of 2006, reflecting our continuing efforts to leverage our cost structure.</w:t>
      </w:r>
    </w:p>
    <w:p>
      <w:pPr>
        <w:spacing w:after="0" w:line="134" w:lineRule="exact"/>
        <w:rPr>
          <w:sz w:val="20"/>
          <w:szCs w:val="20"/>
          <w:color w:val="auto"/>
        </w:rPr>
      </w:pPr>
    </w:p>
    <w:p>
      <w:pPr>
        <w:ind w:right="220"/>
        <w:spacing w:after="0" w:line="235" w:lineRule="auto"/>
        <w:rPr>
          <w:sz w:val="20"/>
          <w:szCs w:val="20"/>
          <w:color w:val="auto"/>
        </w:rPr>
      </w:pPr>
      <w:r>
        <w:rPr>
          <w:rFonts w:ascii="Arial" w:cs="Arial" w:eastAsia="Arial" w:hAnsi="Arial"/>
          <w:sz w:val="22"/>
          <w:szCs w:val="22"/>
          <w:color w:val="auto"/>
        </w:rPr>
        <w:t>Ms. Gallup continued, "Again, we are pleased with PC Connection's accomplishments in 2007. Our performance-improvement initiatives and our efforts to enhance the effectiveness of our sales organizations are producing positive results. In 2007, our GovConnection subsidiary was awarded both SEWP IV and First Source. These contracts allow us to more effectively reach new customers and better provide IT solutions to all of the largest agencies in the federal marketplace. PC Connection again placed on Fortune's list of the 1000 largest U.S. companies, and was ranked as one of the top business technology innovators on the InformationWeek 500."</w:t>
      </w:r>
    </w:p>
    <w:p>
      <w:pPr>
        <w:spacing w:after="0" w:line="188"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Gallup concluded, "PC Connection is a recognized leader in our industry. We believe we are well-positioned to continue in a leadership role, and to grow sales and earnings to build long-term shareholder value."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PC Connection, Inc.</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PC Connection, Inc., a Fortune 1000 company, owns three sales companies: PC Connection Sales Corporation, MoreDirect, Inc., and GovConnection, Inc., headquartered in Merrimack, NH, Boca Raton, FL, and Rockville, MD, respectively. All three companies can deliver custom-configured computer systems overnight. Investors and media can find more information about PC Connection, Inc. at http://ir.pcconnection.com.</w:t>
      </w:r>
    </w:p>
    <w:p>
      <w:pPr>
        <w:spacing w:after="0" w:line="185"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PC Connection Sales Corporation (1-800-800-5555), the original business of PC Connection, Inc. serving the small- and medium-sized business sector (SMB), is a rapid-response provider of information technology (IT) products and services. It offers more than 150,000 brand-name products through its staff of technically trained sales account managers and catalog telesales representatives, catalogs, and publications, and its website at www.pcconnection.com. The subsidiary serves the Apple/Macintosh community through its MacConnection division (1-800-800-2222), which also publishes specialized catalogs and is online at www.macconnection.com.</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MoreDirect, Inc. (561-237-3300), www.moredirect.com, provides corporate technology buyers with a comprehensive web-based e-procurement solution and in-depth IT supply-chain expertise, serving as a one-stop source by aggregating more than 300,000 products from the inventories of leading IT wholesale distributors and manufacturers. MoreDirect’s TRAXX® system is a seamless end-to-end interface that empowers clients to electronically source, evaluate, compare prices, and track related technology product purchases in real-time.</w:t>
      </w:r>
    </w:p>
    <w:p>
      <w:pPr>
        <w:spacing w:after="0" w:line="188"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GovConnection, Inc. (1-800-800-0019) is a provider of IT products and services to federal, state, and local government agencies and educational institutions through specialized account managers, catalogs, and publications, and online at www.govconnection.com.</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pccc-g</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“Safe Harbor” Statement Under the Private Securities Litigation Reform Act of 1995: This release contains forward-looking statements that are subject to risks and uncertainties, including, but not limited to, the impact of changes in market demand and the overall level of economic activity, or in the level of business investment in information technology products, competitive products and pricing, product availability and market acceptance, new products, fluctuations in operating results, and the ability of the Company to hire and retain essential personnel. Additional risk factors that could cause actual results to differ materially from those in our forward-looking statements are disclosed in our most recent quarterly report on Form 10-Q for the quarter ended September 30, 2007 and annual report on Form 10-K for the year ended December 31, 2006. We encourage you to read those disclosures. More specifically, the statements in this release concerning the Company’s outlook for 2008 and the statements concerning the Company’s gross margin percentage, productivity, and selling and administrative costs and other statements of a non-historical basis (including statements regarding implementing strategies for future growth, the ability of the Company to improve sales productivity and increase its active customers) are forward-looking statements that involve certain risks and uncertainties. Such risks and uncertainties include the ability to realize market demand for and competitive pricing pressures on the products and services marketed by the Company, the continued acceptance of the Company's distribution channel by vendors and customers, continuation of key vendor and customer relationships and support programs and the ability of the Company to hire and retain qualified sales representatives and other essential personnel. The Company assumes no obligation to update the information in this press release or revise any forward-looking statements, whether as a result of any new information,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PC Connection, Inc. -- Fourth Quarter Earnings -- 01/31/08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SELECTED FINANCIAL HIGHLIGHTS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At or for the Three Months Ended December 31,</w:t>
            </w:r>
          </w:p>
        </w:tc>
        <w:tc>
          <w:tcPr>
            <w:tcW w:w="2260" w:type="dxa"/>
            <w:vAlign w:val="bottom"/>
            <w:tcBorders>
              <w:top w:val="single" w:sz="8" w:color="auto"/>
            </w:tcBorders>
          </w:tcPr>
          <w:p>
            <w:pPr>
              <w:jc w:val="right"/>
              <w:ind w:right="1088"/>
              <w:spacing w:after="0"/>
              <w:rPr>
                <w:sz w:val="20"/>
                <w:szCs w:val="20"/>
                <w:color w:val="auto"/>
              </w:rPr>
            </w:pPr>
            <w:r>
              <w:rPr>
                <w:rFonts w:ascii="Arial" w:cs="Arial" w:eastAsia="Arial" w:hAnsi="Arial"/>
                <w:sz w:val="14"/>
                <w:szCs w:val="14"/>
                <w:b w:val="1"/>
                <w:bCs w:val="1"/>
                <w:color w:val="auto"/>
              </w:rPr>
              <w:t>2007</w:t>
            </w:r>
          </w:p>
        </w:tc>
        <w:tc>
          <w:tcPr>
            <w:tcW w:w="2020" w:type="dxa"/>
            <w:vAlign w:val="bottom"/>
            <w:tcBorders>
              <w:top w:val="single" w:sz="8" w:color="auto"/>
            </w:tcBorders>
            <w:gridSpan w:val="2"/>
          </w:tcPr>
          <w:p>
            <w:pPr>
              <w:jc w:val="right"/>
              <w:ind w:right="1108"/>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tcPr>
          <w:p>
            <w:pPr>
              <w:spacing w:after="0"/>
              <w:rPr>
                <w:sz w:val="14"/>
                <w:szCs w:val="14"/>
                <w:color w:val="auto"/>
              </w:rPr>
            </w:pPr>
          </w:p>
        </w:tc>
      </w:tr>
      <w:tr>
        <w:trPr>
          <w:trHeight w:val="160"/>
        </w:trPr>
        <w:tc>
          <w:tcPr>
            <w:tcW w:w="6480" w:type="dxa"/>
            <w:vAlign w:val="bottom"/>
            <w:tcBorders>
              <w:top w:val="single" w:sz="8" w:color="auto"/>
            </w:tcBorders>
          </w:tcPr>
          <w:p>
            <w:pPr>
              <w:spacing w:after="0" w:line="160" w:lineRule="exact"/>
              <w:rPr>
                <w:sz w:val="20"/>
                <w:szCs w:val="20"/>
                <w:color w:val="auto"/>
              </w:rPr>
            </w:pPr>
            <w:r>
              <w:rPr>
                <w:rFonts w:ascii="Arial" w:cs="Arial" w:eastAsia="Arial" w:hAnsi="Arial"/>
                <w:sz w:val="14"/>
                <w:szCs w:val="14"/>
                <w:i w:val="1"/>
                <w:iCs w:val="1"/>
                <w:color w:val="auto"/>
              </w:rPr>
              <w:t>(Dollars and shares in thousands, except operating data, price/earnings ratio, and per share data)</w:t>
            </w:r>
          </w:p>
        </w:tc>
        <w:tc>
          <w:tcPr>
            <w:tcW w:w="2260" w:type="dxa"/>
            <w:vAlign w:val="bottom"/>
            <w:tcBorders>
              <w:top w:val="single" w:sz="8" w:color="auto"/>
            </w:tcBorders>
          </w:tcPr>
          <w:p>
            <w:pPr>
              <w:jc w:val="center"/>
              <w:ind w:left="1488"/>
              <w:spacing w:after="0" w:line="160"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780" w:type="dxa"/>
            <w:vAlign w:val="bottom"/>
            <w:tcBorders>
              <w:top w:val="single" w:sz="8" w:color="auto"/>
            </w:tcBorders>
          </w:tcPr>
          <w:p>
            <w:pPr>
              <w:jc w:val="center"/>
              <w:ind w:left="908"/>
              <w:spacing w:after="0" w:line="160" w:lineRule="exact"/>
              <w:rPr>
                <w:sz w:val="20"/>
                <w:szCs w:val="20"/>
                <w:color w:val="auto"/>
              </w:rPr>
            </w:pPr>
            <w:r>
              <w:rPr>
                <w:rFonts w:ascii="Arial" w:cs="Arial" w:eastAsia="Arial" w:hAnsi="Arial"/>
                <w:sz w:val="14"/>
                <w:szCs w:val="14"/>
                <w:b w:val="1"/>
                <w:bCs w:val="1"/>
                <w:color w:val="auto"/>
                <w:w w:val="94"/>
              </w:rPr>
              <w:t>% of</w:t>
            </w:r>
          </w:p>
        </w:tc>
        <w:tc>
          <w:tcPr>
            <w:tcW w:w="660" w:type="dxa"/>
            <w:vAlign w:val="bottom"/>
            <w:tcBorders>
              <w:top w:val="single" w:sz="8" w:color="auto"/>
            </w:tcBorders>
          </w:tcPr>
          <w:p>
            <w:pPr>
              <w:jc w:val="right"/>
              <w:ind w:right="288"/>
              <w:spacing w:after="0" w:line="160" w:lineRule="exact"/>
              <w:rPr>
                <w:sz w:val="20"/>
                <w:szCs w:val="20"/>
                <w:color w:val="auto"/>
              </w:rPr>
            </w:pPr>
            <w:r>
              <w:rPr>
                <w:rFonts w:ascii="Arial" w:cs="Arial" w:eastAsia="Arial" w:hAnsi="Arial"/>
                <w:sz w:val="14"/>
                <w:szCs w:val="14"/>
                <w:b w:val="1"/>
                <w:bCs w:val="1"/>
                <w:color w:val="auto"/>
              </w:rPr>
              <w:t>%</w:t>
            </w:r>
          </w:p>
        </w:tc>
      </w:tr>
      <w:tr>
        <w:trPr>
          <w:trHeight w:val="185"/>
        </w:trPr>
        <w:tc>
          <w:tcPr>
            <w:tcW w:w="64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left="1468"/>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6"/>
                <w:szCs w:val="16"/>
                <w:color w:val="auto"/>
              </w:rPr>
            </w:pPr>
          </w:p>
        </w:tc>
        <w:tc>
          <w:tcPr>
            <w:tcW w:w="1780" w:type="dxa"/>
            <w:vAlign w:val="bottom"/>
            <w:tcBorders>
              <w:bottom w:val="single" w:sz="8" w:color="auto"/>
            </w:tcBorders>
          </w:tcPr>
          <w:p>
            <w:pPr>
              <w:jc w:val="center"/>
              <w:ind w:left="908"/>
              <w:spacing w:after="0"/>
              <w:rPr>
                <w:sz w:val="20"/>
                <w:szCs w:val="20"/>
                <w:color w:val="auto"/>
              </w:rPr>
            </w:pPr>
            <w:r>
              <w:rPr>
                <w:rFonts w:ascii="Arial" w:cs="Arial" w:eastAsia="Arial" w:hAnsi="Arial"/>
                <w:sz w:val="14"/>
                <w:szCs w:val="14"/>
                <w:b w:val="1"/>
                <w:bCs w:val="1"/>
                <w:color w:val="auto"/>
                <w:w w:val="88"/>
              </w:rPr>
              <w:t>Net Sales</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w:t>
            </w:r>
          </w:p>
        </w:tc>
      </w:tr>
    </w:tbl>
    <w:p>
      <w:pPr>
        <w:sectPr>
          <w:pgSz w:w="11900" w:h="16838" w:orient="portrait"/>
          <w:cols w:equalWidth="0" w:num="1">
            <w:col w:w="11420"/>
          </w:cols>
          <w:pgMar w:left="240" w:top="118"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Operating Data:</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489,607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Net sales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431,866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Diluted earnings per share</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Gross profit margin</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Operating margin</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2.1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 xml:space="preserve">Return on equity </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11.2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9.7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Catalogs distributed</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3,563,000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w w:val="99"/>
              </w:rPr>
              <w:t>4,440,000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tcPr>
          <w:p>
            <w:pPr>
              <w:ind w:left="120"/>
              <w:spacing w:after="0" w:line="219" w:lineRule="exact"/>
              <w:rPr>
                <w:sz w:val="20"/>
                <w:szCs w:val="20"/>
                <w:color w:val="auto"/>
              </w:rPr>
            </w:pPr>
            <w:r>
              <w:rPr>
                <w:rFonts w:ascii="Arial" w:cs="Arial" w:eastAsia="Arial" w:hAnsi="Arial"/>
                <w:sz w:val="14"/>
                <w:szCs w:val="14"/>
                <w:color w:val="auto"/>
              </w:rPr>
              <w:t xml:space="preserve">Orders entered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367,100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403,700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 xml:space="preserve">Average order size </w:t>
            </w:r>
            <w:r>
              <w:rPr>
                <w:rFonts w:ascii="Arial" w:cs="Arial" w:eastAsia="Arial" w:hAnsi="Arial"/>
                <w:sz w:val="23"/>
                <w:szCs w:val="23"/>
                <w:color w:val="auto"/>
                <w:vertAlign w:val="superscript"/>
              </w:rPr>
              <w:t>(2)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1,515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1,208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 xml:space="preserve">Inventory turns </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Days sales outstanding</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43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45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0"/>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Product Mix:</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72,962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73,160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Notebooks &amp; PDAs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gridSpan w:val="5"/>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16.9%</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Desktops/Servers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64,984</w:t>
            </w:r>
          </w:p>
        </w:tc>
        <w:tc>
          <w:tcPr>
            <w:tcW w:w="700" w:type="dxa"/>
            <w:vAlign w:val="bottom"/>
            <w:gridSpan w:val="5"/>
          </w:tcPr>
          <w:p>
            <w:pPr>
              <w:jc w:val="right"/>
              <w:ind w:right="68"/>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60,474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14.0</w:t>
            </w: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Storage Devices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45,383</w:t>
            </w:r>
          </w:p>
        </w:tc>
        <w:tc>
          <w:tcPr>
            <w:tcW w:w="700" w:type="dxa"/>
            <w:vAlign w:val="bottom"/>
            <w:gridSpan w:val="5"/>
          </w:tcPr>
          <w:p>
            <w:pPr>
              <w:jc w:val="right"/>
              <w:ind w:right="68"/>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37,211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8.6</w:t>
            </w: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Software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63,511</w:t>
            </w:r>
          </w:p>
        </w:tc>
        <w:tc>
          <w:tcPr>
            <w:tcW w:w="700" w:type="dxa"/>
            <w:vAlign w:val="bottom"/>
            <w:gridSpan w:val="5"/>
          </w:tcPr>
          <w:p>
            <w:pPr>
              <w:jc w:val="right"/>
              <w:ind w:right="68"/>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52,714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12.2</w:t>
            </w: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Net/Com Products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41,281</w:t>
            </w:r>
          </w:p>
        </w:tc>
        <w:tc>
          <w:tcPr>
            <w:tcW w:w="700" w:type="dxa"/>
            <w:vAlign w:val="bottom"/>
            <w:gridSpan w:val="5"/>
          </w:tcPr>
          <w:p>
            <w:pPr>
              <w:jc w:val="right"/>
              <w:ind w:right="68"/>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40,458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Printers &amp; Printer Supplies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44,118</w:t>
            </w:r>
          </w:p>
        </w:tc>
        <w:tc>
          <w:tcPr>
            <w:tcW w:w="700" w:type="dxa"/>
            <w:vAlign w:val="bottom"/>
            <w:gridSpan w:val="5"/>
          </w:tcPr>
          <w:p>
            <w:pPr>
              <w:jc w:val="right"/>
              <w:ind w:right="68"/>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40,430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Video, Imaging &amp; Sound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86,657</w:t>
            </w:r>
          </w:p>
        </w:tc>
        <w:tc>
          <w:tcPr>
            <w:tcW w:w="700" w:type="dxa"/>
            <w:vAlign w:val="bottom"/>
            <w:gridSpan w:val="5"/>
          </w:tcPr>
          <w:p>
            <w:pPr>
              <w:jc w:val="right"/>
              <w:ind w:right="68"/>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56,817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13.2</w:t>
            </w: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Memory &amp; System Enhancements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20,525</w:t>
            </w:r>
          </w:p>
        </w:tc>
        <w:tc>
          <w:tcPr>
            <w:tcW w:w="700" w:type="dxa"/>
            <w:vAlign w:val="bottom"/>
            <w:gridSpan w:val="5"/>
          </w:tcPr>
          <w:p>
            <w:pPr>
              <w:jc w:val="right"/>
              <w:ind w:right="68"/>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23,013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Accessories/Other</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50,186</w:t>
            </w:r>
          </w:p>
        </w:tc>
        <w:tc>
          <w:tcPr>
            <w:tcW w:w="700" w:type="dxa"/>
            <w:vAlign w:val="bottom"/>
            <w:gridSpan w:val="5"/>
          </w:tcPr>
          <w:p>
            <w:pPr>
              <w:jc w:val="right"/>
              <w:ind w:right="68"/>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47,589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760" w:type="dxa"/>
            <w:vAlign w:val="bottom"/>
            <w:gridSpan w:val="2"/>
          </w:tcPr>
          <w:p>
            <w:pPr>
              <w:jc w:val="right"/>
              <w:ind w:right="14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489,607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431,866</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100.0%</w:t>
            </w:r>
          </w:p>
        </w:tc>
        <w:tc>
          <w:tcPr>
            <w:tcW w:w="60" w:type="dxa"/>
            <w:vAlign w:val="bottom"/>
            <w:tcBorders>
              <w:top w:val="single" w:sz="8" w:color="auto"/>
              <w:bottom w:val="single" w:sz="8" w:color="auto"/>
            </w:tcBorders>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674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Net Sales of Enterprise Server and Networking Products (included in the above Product Mix):</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740" w:type="dxa"/>
            <w:vAlign w:val="bottom"/>
            <w:gridSpan w:val="9"/>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164,922</w:t>
            </w:r>
          </w:p>
        </w:tc>
        <w:tc>
          <w:tcPr>
            <w:tcW w:w="700" w:type="dxa"/>
            <w:vAlign w:val="bottom"/>
            <w:gridSpan w:val="5"/>
          </w:tcPr>
          <w:p>
            <w:pPr>
              <w:jc w:val="right"/>
              <w:spacing w:after="0"/>
              <w:rPr>
                <w:sz w:val="20"/>
                <w:szCs w:val="20"/>
                <w:color w:val="auto"/>
              </w:rPr>
            </w:pPr>
            <w:r>
              <w:rPr>
                <w:rFonts w:ascii="Arial" w:cs="Arial" w:eastAsia="Arial" w:hAnsi="Arial"/>
                <w:sz w:val="14"/>
                <w:szCs w:val="14"/>
                <w:b w:val="1"/>
                <w:bCs w:val="1"/>
                <w:color w:val="auto"/>
              </w:rPr>
              <w:t>33.7%</w:t>
            </w:r>
          </w:p>
        </w:tc>
        <w:tc>
          <w:tcPr>
            <w:tcW w:w="8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138,123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32.0%</w:t>
            </w: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Performance Indicators: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0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26,892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Actual shares outstanding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26,500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Total book value per share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8.34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7.43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Tangible book value per share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6.10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5.12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Closing price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11.35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14.83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Market capitalization</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305,224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392,995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 xml:space="preserve">Trailing price/earnings ratio </w:t>
            </w:r>
            <w:r>
              <w:rPr>
                <w:rFonts w:ascii="Arial" w:cs="Arial" w:eastAsia="Arial" w:hAnsi="Arial"/>
                <w:sz w:val="23"/>
                <w:szCs w:val="23"/>
                <w:color w:val="auto"/>
                <w:vertAlign w:val="superscript"/>
              </w:rPr>
              <w:t>(3)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28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080" w:type="dxa"/>
            <w:vAlign w:val="bottom"/>
            <w:gridSpan w:val="2"/>
          </w:tcPr>
          <w:p>
            <w:pPr>
              <w:spacing w:after="0"/>
              <w:rPr>
                <w:sz w:val="20"/>
                <w:szCs w:val="20"/>
                <w:color w:val="auto"/>
              </w:rPr>
            </w:pPr>
            <w:r>
              <w:rPr>
                <w:rFonts w:ascii="Arial" w:cs="Arial" w:eastAsia="Arial" w:hAnsi="Arial"/>
                <w:sz w:val="14"/>
                <w:szCs w:val="14"/>
                <w:color w:val="auto"/>
              </w:rPr>
              <w:t>(1) Annualized</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080" w:type="dxa"/>
            <w:vAlign w:val="bottom"/>
            <w:gridSpan w:val="2"/>
          </w:tcPr>
          <w:p>
            <w:pPr>
              <w:spacing w:after="0"/>
              <w:rPr>
                <w:sz w:val="20"/>
                <w:szCs w:val="20"/>
                <w:color w:val="auto"/>
              </w:rPr>
            </w:pPr>
            <w:r>
              <w:rPr>
                <w:rFonts w:ascii="Arial" w:cs="Arial" w:eastAsia="Arial" w:hAnsi="Arial"/>
                <w:sz w:val="14"/>
                <w:szCs w:val="14"/>
                <w:color w:val="auto"/>
              </w:rPr>
              <w:t>(2) Does not reflect cancellations or returns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80" w:type="dxa"/>
            <w:vAlign w:val="bottom"/>
            <w:gridSpan w:val="2"/>
          </w:tcPr>
          <w:p>
            <w:pPr>
              <w:spacing w:after="0"/>
              <w:rPr>
                <w:sz w:val="20"/>
                <w:szCs w:val="20"/>
                <w:color w:val="auto"/>
              </w:rPr>
            </w:pPr>
            <w:r>
              <w:rPr>
                <w:rFonts w:ascii="Arial" w:cs="Arial" w:eastAsia="Arial" w:hAnsi="Arial"/>
                <w:sz w:val="14"/>
                <w:szCs w:val="14"/>
                <w:color w:val="auto"/>
              </w:rPr>
              <w:t>(3) Earnings is based on the last four quarters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SELECTED SEGMENT INFORMATION</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December 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6"/>
          </w:tcPr>
          <w:p>
            <w:pPr>
              <w:ind w:left="1040"/>
              <w:spacing w:after="0"/>
              <w:rPr>
                <w:sz w:val="20"/>
                <w:szCs w:val="20"/>
                <w:color w:val="auto"/>
              </w:rPr>
            </w:pPr>
            <w:r>
              <w:rPr>
                <w:rFonts w:ascii="Arial" w:cs="Arial" w:eastAsia="Arial" w:hAnsi="Arial"/>
                <w:sz w:val="14"/>
                <w:szCs w:val="14"/>
                <w:b w:val="1"/>
                <w:bCs w:val="1"/>
                <w:color w:val="auto"/>
              </w:rPr>
              <w:t>2007</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4"/>
          </w:tcPr>
          <w:p>
            <w:pPr>
              <w:jc w:val="right"/>
              <w:ind w:right="580"/>
              <w:spacing w:after="0" w:line="160" w:lineRule="exact"/>
              <w:rPr>
                <w:sz w:val="20"/>
                <w:szCs w:val="20"/>
                <w:color w:val="auto"/>
              </w:rPr>
            </w:pPr>
            <w:r>
              <w:rPr>
                <w:rFonts w:ascii="Arial" w:cs="Arial" w:eastAsia="Arial" w:hAnsi="Arial"/>
                <w:sz w:val="14"/>
                <w:szCs w:val="14"/>
                <w:b w:val="1"/>
                <w:bCs w:val="1"/>
                <w:color w:val="auto"/>
              </w:rPr>
              <w:t>Net</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08"/>
              <w:spacing w:after="0" w:line="160" w:lineRule="exact"/>
              <w:rPr>
                <w:sz w:val="20"/>
                <w:szCs w:val="20"/>
                <w:color w:val="auto"/>
              </w:rPr>
            </w:pPr>
            <w:r>
              <w:rPr>
                <w:rFonts w:ascii="Arial" w:cs="Arial" w:eastAsia="Arial" w:hAnsi="Arial"/>
                <w:sz w:val="14"/>
                <w:szCs w:val="14"/>
                <w:b w:val="1"/>
                <w:bCs w:val="1"/>
                <w:color w:val="auto"/>
              </w:rPr>
              <w:t>Gross</w:t>
            </w: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7"/>
          </w:tcPr>
          <w:p>
            <w:pPr>
              <w:jc w:val="center"/>
              <w:ind w:right="740"/>
              <w:spacing w:after="0" w:line="160" w:lineRule="exact"/>
              <w:rPr>
                <w:sz w:val="20"/>
                <w:szCs w:val="20"/>
                <w:color w:val="auto"/>
              </w:rPr>
            </w:pPr>
            <w:r>
              <w:rPr>
                <w:rFonts w:ascii="Arial" w:cs="Arial" w:eastAsia="Arial" w:hAnsi="Arial"/>
                <w:sz w:val="14"/>
                <w:szCs w:val="14"/>
                <w:b w:val="1"/>
                <w:bCs w:val="1"/>
                <w:color w:val="auto"/>
                <w:w w:val="88"/>
              </w:rPr>
              <w:t>Net</w:t>
            </w:r>
          </w:p>
        </w:tc>
        <w:tc>
          <w:tcPr>
            <w:tcW w:w="1220" w:type="dxa"/>
            <w:vAlign w:val="bottom"/>
            <w:tcBorders>
              <w:top w:val="single" w:sz="8" w:color="auto"/>
            </w:tcBorders>
            <w:gridSpan w:val="3"/>
          </w:tcPr>
          <w:p>
            <w:pPr>
              <w:jc w:val="right"/>
              <w:ind w:right="508"/>
              <w:spacing w:after="0" w:line="160"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85"/>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Sales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Margin (%)</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7"/>
          </w:tcPr>
          <w:p>
            <w:pPr>
              <w:jc w:val="center"/>
              <w:ind w:right="760"/>
              <w:spacing w:after="0"/>
              <w:rPr>
                <w:sz w:val="20"/>
                <w:szCs w:val="20"/>
                <w:color w:val="auto"/>
              </w:rPr>
            </w:pPr>
            <w:r>
              <w:rPr>
                <w:rFonts w:ascii="Arial" w:cs="Arial" w:eastAsia="Arial" w:hAnsi="Arial"/>
                <w:sz w:val="14"/>
                <w:szCs w:val="14"/>
                <w:b w:val="1"/>
                <w:bCs w:val="1"/>
                <w:color w:val="auto"/>
                <w:w w:val="81"/>
              </w:rPr>
              <w:t>Sales</w:t>
            </w:r>
          </w:p>
        </w:tc>
        <w:tc>
          <w:tcPr>
            <w:tcW w:w="12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335"/>
        </w:trPr>
        <w:tc>
          <w:tcPr>
            <w:tcW w:w="5080" w:type="dxa"/>
            <w:vAlign w:val="bottom"/>
            <w:gridSpan w:val="2"/>
          </w:tcPr>
          <w:p>
            <w:pPr>
              <w:spacing w:after="0"/>
              <w:rPr>
                <w:sz w:val="20"/>
                <w:szCs w:val="20"/>
                <w:color w:val="auto"/>
              </w:rPr>
            </w:pPr>
            <w:r>
              <w:rPr>
                <w:rFonts w:ascii="Arial" w:cs="Arial" w:eastAsia="Arial" w:hAnsi="Arial"/>
                <w:sz w:val="14"/>
                <w:szCs w:val="14"/>
                <w:color w:val="auto"/>
              </w:rPr>
              <w:t>PC Connection Sales Corporation (SMB)</w:t>
            </w:r>
          </w:p>
        </w:tc>
        <w:tc>
          <w:tcPr>
            <w:tcW w:w="2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263,785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12.6%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24"/>
                <w:szCs w:val="2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231,481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2"/>
          </w:tcPr>
          <w:p>
            <w:pPr>
              <w:jc w:val="right"/>
              <w:ind w:right="288"/>
              <w:spacing w:after="0"/>
              <w:rPr>
                <w:sz w:val="20"/>
                <w:szCs w:val="20"/>
                <w:color w:val="auto"/>
              </w:rPr>
            </w:pPr>
            <w:r>
              <w:rPr>
                <w:rFonts w:ascii="Arial" w:cs="Arial" w:eastAsia="Arial" w:hAnsi="Arial"/>
                <w:sz w:val="14"/>
                <w:szCs w:val="14"/>
                <w:color w:val="auto"/>
                <w:w w:val="95"/>
              </w:rPr>
              <w:t>12.9%</w:t>
            </w:r>
          </w:p>
        </w:tc>
        <w:tc>
          <w:tcPr>
            <w:tcW w:w="0" w:type="dxa"/>
            <w:vAlign w:val="bottom"/>
          </w:tcPr>
          <w:p>
            <w:pPr>
              <w:spacing w:after="0"/>
              <w:rPr>
                <w:sz w:val="1"/>
                <w:szCs w:val="1"/>
                <w:color w:val="auto"/>
              </w:rPr>
            </w:pPr>
          </w:p>
        </w:tc>
      </w:tr>
      <w:tr>
        <w:trPr>
          <w:trHeight w:val="176"/>
        </w:trPr>
        <w:tc>
          <w:tcPr>
            <w:tcW w:w="5080" w:type="dxa"/>
            <w:vAlign w:val="bottom"/>
            <w:gridSpan w:val="2"/>
          </w:tcPr>
          <w:p>
            <w:pPr>
              <w:spacing w:after="0"/>
              <w:rPr>
                <w:sz w:val="20"/>
                <w:szCs w:val="20"/>
                <w:color w:val="auto"/>
              </w:rPr>
            </w:pPr>
            <w:r>
              <w:rPr>
                <w:rFonts w:ascii="Arial" w:cs="Arial" w:eastAsia="Arial" w:hAnsi="Arial"/>
                <w:sz w:val="14"/>
                <w:szCs w:val="14"/>
                <w:color w:val="auto"/>
              </w:rPr>
              <w:t>MoreDirect (Large Account)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140,826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11.0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132,465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tcPr>
          <w:p>
            <w:pPr>
              <w:jc w:val="right"/>
              <w:ind w:right="408"/>
              <w:spacing w:after="0"/>
              <w:rPr>
                <w:sz w:val="20"/>
                <w:szCs w:val="20"/>
                <w:color w:val="auto"/>
              </w:rPr>
            </w:pPr>
            <w:r>
              <w:rPr>
                <w:rFonts w:ascii="Arial" w:cs="Arial" w:eastAsia="Arial" w:hAnsi="Arial"/>
                <w:sz w:val="14"/>
                <w:szCs w:val="14"/>
                <w:color w:val="auto"/>
                <w:w w:val="95"/>
              </w:rPr>
              <w:t>10.7</w:t>
            </w:r>
          </w:p>
        </w:tc>
        <w:tc>
          <w:tcPr>
            <w:tcW w:w="0" w:type="dxa"/>
            <w:vAlign w:val="bottom"/>
          </w:tcPr>
          <w:p>
            <w:pPr>
              <w:spacing w:after="0"/>
              <w:rPr>
                <w:sz w:val="1"/>
                <w:szCs w:val="1"/>
                <w:color w:val="auto"/>
              </w:rPr>
            </w:pPr>
          </w:p>
        </w:tc>
      </w:tr>
      <w:tr>
        <w:trPr>
          <w:trHeight w:val="185"/>
        </w:trPr>
        <w:tc>
          <w:tcPr>
            <w:tcW w:w="5080" w:type="dxa"/>
            <w:vAlign w:val="bottom"/>
            <w:gridSpan w:val="2"/>
          </w:tcPr>
          <w:p>
            <w:pPr>
              <w:spacing w:after="0"/>
              <w:rPr>
                <w:sz w:val="20"/>
                <w:szCs w:val="20"/>
                <w:color w:val="auto"/>
              </w:rPr>
            </w:pPr>
            <w:r>
              <w:rPr>
                <w:rFonts w:ascii="Arial" w:cs="Arial" w:eastAsia="Arial" w:hAnsi="Arial"/>
                <w:sz w:val="14"/>
                <w:szCs w:val="14"/>
                <w:color w:val="auto"/>
              </w:rPr>
              <w:t>GovConnection (Public Sector)</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84,996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10.3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67,920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gridSpan w:val="2"/>
          </w:tcPr>
          <w:p>
            <w:pPr>
              <w:jc w:val="right"/>
              <w:ind w:right="408"/>
              <w:spacing w:after="0"/>
              <w:rPr>
                <w:sz w:val="20"/>
                <w:szCs w:val="20"/>
                <w:color w:val="auto"/>
              </w:rPr>
            </w:pPr>
            <w:r>
              <w:rPr>
                <w:rFonts w:ascii="Arial" w:cs="Arial" w:eastAsia="Arial" w:hAnsi="Arial"/>
                <w:sz w:val="14"/>
                <w:szCs w:val="14"/>
                <w:color w:val="auto"/>
                <w:w w:val="95"/>
              </w:rPr>
              <w:t>11.9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489,607</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11.7%</w:t>
            </w: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431,866</w:t>
            </w:r>
          </w:p>
        </w:tc>
        <w:tc>
          <w:tcPr>
            <w:tcW w:w="1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ind w:right="288"/>
              <w:spacing w:after="0"/>
              <w:rPr>
                <w:sz w:val="20"/>
                <w:szCs w:val="20"/>
                <w:color w:val="auto"/>
              </w:rPr>
            </w:pPr>
            <w:r>
              <w:rPr>
                <w:rFonts w:ascii="Arial" w:cs="Arial" w:eastAsia="Arial" w:hAnsi="Arial"/>
                <w:sz w:val="14"/>
                <w:szCs w:val="14"/>
                <w:color w:val="auto"/>
                <w:w w:val="95"/>
              </w:rPr>
              <w:t>12.0%</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5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CONSOLIDATED INCOME STATEMENTS</w:t>
            </w:r>
          </w:p>
        </w:tc>
        <w:tc>
          <w:tcPr>
            <w:tcW w:w="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Three Months Ended December 31,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240" w:type="dxa"/>
            <w:vAlign w:val="bottom"/>
          </w:tcPr>
          <w:p>
            <w:pPr>
              <w:spacing w:after="0"/>
              <w:rPr>
                <w:sz w:val="14"/>
                <w:szCs w:val="14"/>
                <w:color w:val="auto"/>
              </w:rPr>
            </w:pPr>
          </w:p>
        </w:tc>
        <w:tc>
          <w:tcPr>
            <w:tcW w:w="1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 of Net Sales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1080" w:type="dxa"/>
            <w:vAlign w:val="bottom"/>
            <w:gridSpan w:val="6"/>
          </w:tcPr>
          <w:p>
            <w:pPr>
              <w:jc w:val="right"/>
              <w:spacing w:after="0"/>
              <w:rPr>
                <w:sz w:val="20"/>
                <w:szCs w:val="20"/>
                <w:color w:val="auto"/>
              </w:rPr>
            </w:pPr>
            <w:r>
              <w:rPr>
                <w:rFonts w:ascii="Arial" w:cs="Arial" w:eastAsia="Arial" w:hAnsi="Arial"/>
                <w:sz w:val="14"/>
                <w:szCs w:val="14"/>
                <w:b w:val="1"/>
                <w:bCs w:val="1"/>
                <w:color w:val="auto"/>
              </w:rPr>
              <w:t>% of Net Sales</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506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Net sales</w:t>
            </w: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489,607</w:t>
            </w: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100.0%</w:t>
            </w:r>
          </w:p>
        </w:tc>
        <w:tc>
          <w:tcPr>
            <w:tcW w:w="20" w:type="dxa"/>
            <w:vAlign w:val="bottom"/>
            <w:tcBorders>
              <w:top w:val="single" w:sz="8" w:color="auto"/>
            </w:tcBorders>
          </w:tcPr>
          <w:p>
            <w:pPr>
              <w:spacing w:after="0"/>
              <w:rPr>
                <w:sz w:val="24"/>
                <w:szCs w:val="24"/>
                <w:color w:val="auto"/>
              </w:rPr>
            </w:pPr>
          </w:p>
        </w:tc>
        <w:tc>
          <w:tcPr>
            <w:tcW w:w="340" w:type="dxa"/>
            <w:vAlign w:val="bottom"/>
            <w:gridSpan w:val="3"/>
          </w:tcPr>
          <w:p>
            <w:pPr>
              <w:spacing w:after="0"/>
              <w:rPr>
                <w:sz w:val="24"/>
                <w:szCs w:val="24"/>
                <w:color w:val="auto"/>
              </w:rPr>
            </w:pPr>
          </w:p>
        </w:tc>
        <w:tc>
          <w:tcPr>
            <w:tcW w:w="3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431,866</w:t>
            </w: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432,122</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88.3</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379,919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60" w:type="dxa"/>
            <w:vAlign w:val="bottom"/>
          </w:tcPr>
          <w:p>
            <w:pPr>
              <w:ind w:left="260"/>
              <w:spacing w:after="0"/>
              <w:rPr>
                <w:sz w:val="20"/>
                <w:szCs w:val="20"/>
                <w:color w:val="auto"/>
              </w:rPr>
            </w:pPr>
            <w:r>
              <w:rPr>
                <w:rFonts w:ascii="Arial" w:cs="Arial" w:eastAsia="Arial" w:hAnsi="Arial"/>
                <w:sz w:val="14"/>
                <w:szCs w:val="14"/>
                <w:b w:val="1"/>
                <w:bCs w:val="1"/>
                <w:color w:val="auto"/>
              </w:rPr>
              <w:t>Gross Profit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57,485</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11.7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28"/>
              <w:spacing w:after="0"/>
              <w:rPr>
                <w:sz w:val="20"/>
                <w:szCs w:val="20"/>
                <w:color w:val="auto"/>
              </w:rPr>
            </w:pPr>
            <w:r>
              <w:rPr>
                <w:rFonts w:ascii="Arial" w:cs="Arial" w:eastAsia="Arial" w:hAnsi="Arial"/>
                <w:sz w:val="14"/>
                <w:szCs w:val="14"/>
                <w:color w:val="auto"/>
              </w:rPr>
              <w:t>51,947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tcPr>
          <w:p>
            <w:pPr>
              <w:jc w:val="right"/>
              <w:ind w:right="28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46,870</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9.5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28"/>
              <w:spacing w:after="0"/>
              <w:rPr>
                <w:sz w:val="20"/>
                <w:szCs w:val="20"/>
                <w:color w:val="auto"/>
              </w:rPr>
            </w:pPr>
            <w:r>
              <w:rPr>
                <w:rFonts w:ascii="Arial" w:cs="Arial" w:eastAsia="Arial" w:hAnsi="Arial"/>
                <w:sz w:val="14"/>
                <w:szCs w:val="14"/>
                <w:color w:val="auto"/>
              </w:rPr>
              <w:t>44,147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2"/>
          </w:tcPr>
          <w:p>
            <w:pPr>
              <w:jc w:val="right"/>
              <w:ind w:right="28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Special charges</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541</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0.1</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60" w:type="dxa"/>
            <w:vAlign w:val="bottom"/>
          </w:tcPr>
          <w:p>
            <w:pPr>
              <w:ind w:left="260"/>
              <w:spacing w:after="0"/>
              <w:rPr>
                <w:sz w:val="20"/>
                <w:szCs w:val="20"/>
                <w:color w:val="auto"/>
              </w:rPr>
            </w:pPr>
            <w:r>
              <w:rPr>
                <w:rFonts w:ascii="Arial" w:cs="Arial" w:eastAsia="Arial" w:hAnsi="Arial"/>
                <w:sz w:val="14"/>
                <w:szCs w:val="14"/>
                <w:b w:val="1"/>
                <w:bCs w:val="1"/>
                <w:color w:val="auto"/>
              </w:rPr>
              <w:t>Income From Operations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10,074</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w w:val="91"/>
              </w:rPr>
              <w:t>7,800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tcPr>
          <w:p>
            <w:pPr>
              <w:jc w:val="right"/>
              <w:ind w:right="28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(264)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(353)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2"/>
          </w:tcPr>
          <w:p>
            <w:pPr>
              <w:jc w:val="right"/>
              <w:ind w:right="2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111</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Income tax provision</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(3,749)</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(0.8)</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(2,963)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60" w:type="dxa"/>
            <w:vAlign w:val="bottom"/>
          </w:tcPr>
          <w:p>
            <w:pPr>
              <w:ind w:left="26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6,172</w:t>
            </w: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1.3%</w:t>
            </w:r>
          </w:p>
        </w:tc>
        <w:tc>
          <w:tcPr>
            <w:tcW w:w="20" w:type="dxa"/>
            <w:vAlign w:val="bottom"/>
            <w:tcBorders>
              <w:bottom w:val="single" w:sz="8" w:color="auto"/>
            </w:tcBorders>
          </w:tcPr>
          <w:p>
            <w:pPr>
              <w:spacing w:after="0"/>
              <w:rPr>
                <w:sz w:val="14"/>
                <w:szCs w:val="14"/>
                <w:color w:val="auto"/>
              </w:rPr>
            </w:pPr>
          </w:p>
        </w:tc>
        <w:tc>
          <w:tcPr>
            <w:tcW w:w="340" w:type="dxa"/>
            <w:vAlign w:val="bottom"/>
            <w:gridSpan w:val="3"/>
          </w:tcPr>
          <w:p>
            <w:pPr>
              <w:spacing w:after="0"/>
              <w:rPr>
                <w:sz w:val="14"/>
                <w:szCs w:val="1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1"/>
              </w:rPr>
              <w:t>4,571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12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26,844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tcPr>
          <w:p>
            <w:pPr>
              <w:ind w:left="26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26,067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260"/>
              <w:spacing w:after="0"/>
              <w:rPr>
                <w:sz w:val="20"/>
                <w:szCs w:val="20"/>
                <w:color w:val="auto"/>
              </w:rPr>
            </w:pPr>
            <w:r>
              <w:rPr>
                <w:rFonts w:ascii="Arial" w:cs="Arial" w:eastAsia="Arial" w:hAnsi="Arial"/>
                <w:sz w:val="14"/>
                <w:szCs w:val="14"/>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b w:val="1"/>
                <w:bCs w:val="1"/>
                <w:color w:val="auto"/>
              </w:rPr>
              <w:t>27,052</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8"/>
              <w:spacing w:after="0" w:line="156" w:lineRule="exact"/>
              <w:rPr>
                <w:sz w:val="20"/>
                <w:szCs w:val="20"/>
                <w:color w:val="auto"/>
              </w:rPr>
            </w:pPr>
            <w:r>
              <w:rPr>
                <w:rFonts w:ascii="Arial" w:cs="Arial" w:eastAsia="Arial" w:hAnsi="Arial"/>
                <w:sz w:val="14"/>
                <w:szCs w:val="14"/>
                <w:color w:val="auto"/>
              </w:rPr>
              <w:t>26,507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120"/>
              <w:spacing w:after="0"/>
              <w:rPr>
                <w:sz w:val="20"/>
                <w:szCs w:val="20"/>
                <w:color w:val="auto"/>
              </w:rPr>
            </w:pPr>
            <w:r>
              <w:rPr>
                <w:rFonts w:ascii="Arial" w:cs="Arial" w:eastAsia="Arial" w:hAnsi="Arial"/>
                <w:sz w:val="14"/>
                <w:szCs w:val="14"/>
                <w:color w:val="auto"/>
              </w:rPr>
              <w:t>Earnings per common share:</w:t>
            </w: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060" w:type="dxa"/>
            <w:vAlign w:val="bottom"/>
            <w:vMerge w:val="continue"/>
          </w:tcPr>
          <w:p>
            <w:pPr>
              <w:spacing w:after="0"/>
              <w:rPr>
                <w:sz w:val="13"/>
                <w:szCs w:val="13"/>
                <w:color w:val="auto"/>
              </w:rPr>
            </w:pP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0.23</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tcPr>
          <w:p>
            <w:pPr>
              <w:ind w:left="26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gridSpan w:val="4"/>
          </w:tcPr>
          <w:p>
            <w:pPr>
              <w:spacing w:after="0"/>
              <w:rPr>
                <w:sz w:val="15"/>
                <w:szCs w:val="15"/>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26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vMerge w:val="continue"/>
          </w:tcPr>
          <w:p>
            <w:pPr>
              <w:spacing w:after="0"/>
              <w:rPr>
                <w:sz w:val="13"/>
                <w:szCs w:val="13"/>
                <w:color w:val="auto"/>
              </w:rPr>
            </w:pPr>
          </w:p>
        </w:tc>
        <w:tc>
          <w:tcPr>
            <w:tcW w:w="24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b w:val="1"/>
                <w:bCs w:val="1"/>
                <w:color w:val="auto"/>
              </w:rPr>
              <w:t>0.23</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gridSpan w:val="4"/>
          </w:tcPr>
          <w:p>
            <w:pPr>
              <w:spacing w:after="0"/>
              <w:rPr>
                <w:sz w:val="13"/>
                <w:szCs w:val="13"/>
                <w:color w:val="auto"/>
              </w:rPr>
            </w:pPr>
          </w:p>
        </w:tc>
        <w:tc>
          <w:tcPr>
            <w:tcW w:w="340" w:type="dxa"/>
            <w:vAlign w:val="bottom"/>
            <w:tcBorders>
              <w:top w:val="single" w:sz="8" w:color="auto"/>
              <w:bottom w:val="single" w:sz="8" w:color="auto"/>
            </w:tcBorders>
          </w:tcPr>
          <w:p>
            <w:pPr>
              <w:jc w:val="right"/>
              <w:ind w:right="148"/>
              <w:spacing w:after="0" w:line="156"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0.17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50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5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CONSOLIDATED INCOME STATEMENTS</w:t>
            </w:r>
          </w:p>
        </w:tc>
        <w:tc>
          <w:tcPr>
            <w:tcW w:w="2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gridSpan w:val="2"/>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240" w:type="dxa"/>
            <w:vAlign w:val="bottom"/>
          </w:tcPr>
          <w:p>
            <w:pPr>
              <w:spacing w:after="0"/>
              <w:rPr>
                <w:sz w:val="14"/>
                <w:szCs w:val="14"/>
                <w:color w:val="auto"/>
              </w:rPr>
            </w:pPr>
          </w:p>
        </w:tc>
        <w:tc>
          <w:tcPr>
            <w:tcW w:w="1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 of Net Sales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1080" w:type="dxa"/>
            <w:vAlign w:val="bottom"/>
            <w:gridSpan w:val="6"/>
          </w:tcPr>
          <w:p>
            <w:pPr>
              <w:jc w:val="right"/>
              <w:spacing w:after="0"/>
              <w:rPr>
                <w:sz w:val="20"/>
                <w:szCs w:val="20"/>
                <w:color w:val="auto"/>
              </w:rPr>
            </w:pPr>
            <w:r>
              <w:rPr>
                <w:rFonts w:ascii="Arial" w:cs="Arial" w:eastAsia="Arial" w:hAnsi="Arial"/>
                <w:sz w:val="14"/>
                <w:szCs w:val="14"/>
                <w:b w:val="1"/>
                <w:bCs w:val="1"/>
                <w:color w:val="auto"/>
              </w:rPr>
              <w:t>% of Net Sales</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506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Net sales</w:t>
            </w: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1,785,379</w:t>
            </w: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100.0%</w:t>
            </w:r>
          </w:p>
        </w:tc>
        <w:tc>
          <w:tcPr>
            <w:tcW w:w="20" w:type="dxa"/>
            <w:vAlign w:val="bottom"/>
            <w:tcBorders>
              <w:top w:val="single" w:sz="8" w:color="auto"/>
            </w:tcBorders>
          </w:tcPr>
          <w:p>
            <w:pPr>
              <w:spacing w:after="0"/>
              <w:rPr>
                <w:sz w:val="24"/>
                <w:szCs w:val="24"/>
                <w:color w:val="auto"/>
              </w:rPr>
            </w:pPr>
          </w:p>
        </w:tc>
        <w:tc>
          <w:tcPr>
            <w:tcW w:w="340" w:type="dxa"/>
            <w:vAlign w:val="bottom"/>
            <w:gridSpan w:val="3"/>
          </w:tcPr>
          <w:p>
            <w:pPr>
              <w:spacing w:after="0"/>
              <w:rPr>
                <w:sz w:val="24"/>
                <w:szCs w:val="24"/>
                <w:color w:val="auto"/>
              </w:rPr>
            </w:pPr>
          </w:p>
        </w:tc>
        <w:tc>
          <w:tcPr>
            <w:tcW w:w="3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1,635,651</w:t>
            </w: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60" w:type="dxa"/>
            <w:vAlign w:val="bottom"/>
          </w:tcPr>
          <w:p>
            <w:pPr>
              <w:ind w:left="120"/>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1,566,409</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87.7</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1,435,400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7" w:name="page8"/>
    <w:bookmarkEnd w:id="7"/>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ind w:left="280"/>
              <w:spacing w:after="0"/>
              <w:rPr>
                <w:sz w:val="20"/>
                <w:szCs w:val="20"/>
                <w:color w:val="auto"/>
              </w:rPr>
            </w:pPr>
            <w:r>
              <w:rPr>
                <w:rFonts w:ascii="Arial" w:cs="Arial" w:eastAsia="Arial" w:hAnsi="Arial"/>
                <w:sz w:val="14"/>
                <w:szCs w:val="14"/>
                <w:b w:val="1"/>
                <w:bCs w:val="1"/>
                <w:color w:val="auto"/>
              </w:rPr>
              <w:t>Gross Profit</w:t>
            </w:r>
          </w:p>
        </w:tc>
        <w:tc>
          <w:tcPr>
            <w:tcW w:w="3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218,970</w:t>
            </w:r>
          </w:p>
        </w:tc>
        <w:tc>
          <w:tcPr>
            <w:tcW w:w="16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12.3</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200,251</w:t>
            </w:r>
          </w:p>
        </w:tc>
        <w:tc>
          <w:tcPr>
            <w:tcW w:w="1840" w:type="dxa"/>
            <w:vAlign w:val="bottom"/>
            <w:gridSpan w:val="2"/>
          </w:tcPr>
          <w:p>
            <w:pPr>
              <w:jc w:val="right"/>
              <w:ind w:right="28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340"/>
        </w:trPr>
        <w:tc>
          <w:tcPr>
            <w:tcW w:w="508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181,640</w:t>
            </w:r>
          </w:p>
        </w:tc>
        <w:tc>
          <w:tcPr>
            <w:tcW w:w="16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10.2</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173,927</w:t>
            </w:r>
          </w:p>
        </w:tc>
        <w:tc>
          <w:tcPr>
            <w:tcW w:w="1840" w:type="dxa"/>
            <w:vAlign w:val="bottom"/>
            <w:gridSpan w:val="2"/>
          </w:tcPr>
          <w:p>
            <w:pPr>
              <w:jc w:val="right"/>
              <w:ind w:right="28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5"/>
        </w:trPr>
        <w:tc>
          <w:tcPr>
            <w:tcW w:w="5080" w:type="dxa"/>
            <w:vAlign w:val="bottom"/>
          </w:tcPr>
          <w:p>
            <w:pPr>
              <w:ind w:left="140"/>
              <w:spacing w:after="0"/>
              <w:rPr>
                <w:sz w:val="20"/>
                <w:szCs w:val="20"/>
                <w:color w:val="auto"/>
              </w:rPr>
            </w:pPr>
            <w:r>
              <w:rPr>
                <w:rFonts w:ascii="Arial" w:cs="Arial" w:eastAsia="Arial" w:hAnsi="Arial"/>
                <w:sz w:val="14"/>
                <w:szCs w:val="14"/>
                <w:color w:val="auto"/>
              </w:rPr>
              <w:t>Special charges</w:t>
            </w:r>
          </w:p>
        </w:tc>
        <w:tc>
          <w:tcPr>
            <w:tcW w:w="3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541</w:t>
            </w:r>
          </w:p>
        </w:tc>
        <w:tc>
          <w:tcPr>
            <w:tcW w:w="16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2,391</w:t>
            </w:r>
          </w:p>
        </w:tc>
        <w:tc>
          <w:tcPr>
            <w:tcW w:w="1840" w:type="dxa"/>
            <w:vAlign w:val="bottom"/>
            <w:gridSpan w:val="2"/>
          </w:tcPr>
          <w:p>
            <w:pPr>
              <w:jc w:val="right"/>
              <w:ind w:right="28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5080" w:type="dxa"/>
            <w:vAlign w:val="bottom"/>
          </w:tcPr>
          <w:p>
            <w:pPr>
              <w:ind w:left="280"/>
              <w:spacing w:after="0"/>
              <w:rPr>
                <w:sz w:val="20"/>
                <w:szCs w:val="20"/>
                <w:color w:val="auto"/>
              </w:rPr>
            </w:pPr>
            <w:r>
              <w:rPr>
                <w:rFonts w:ascii="Arial" w:cs="Arial" w:eastAsia="Arial" w:hAnsi="Arial"/>
                <w:sz w:val="14"/>
                <w:szCs w:val="14"/>
                <w:b w:val="1"/>
                <w:bCs w:val="1"/>
                <w:color w:val="auto"/>
              </w:rPr>
              <w:t>Income From Operations</w:t>
            </w: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36,789</w:t>
            </w:r>
          </w:p>
        </w:tc>
        <w:tc>
          <w:tcPr>
            <w:tcW w:w="320" w:type="dxa"/>
            <w:vAlign w:val="bottom"/>
          </w:tcPr>
          <w:p>
            <w:pPr>
              <w:spacing w:after="0"/>
              <w:rPr>
                <w:sz w:val="15"/>
                <w:szCs w:val="15"/>
                <w:color w:val="auto"/>
              </w:rPr>
            </w:pPr>
          </w:p>
        </w:tc>
        <w:tc>
          <w:tcPr>
            <w:tcW w:w="136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2.1</w:t>
            </w:r>
          </w:p>
        </w:tc>
        <w:tc>
          <w:tcPr>
            <w:tcW w:w="3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23,933</w:t>
            </w:r>
          </w:p>
        </w:tc>
        <w:tc>
          <w:tcPr>
            <w:tcW w:w="320" w:type="dxa"/>
            <w:vAlign w:val="bottom"/>
          </w:tcPr>
          <w:p>
            <w:pPr>
              <w:spacing w:after="0"/>
              <w:rPr>
                <w:sz w:val="15"/>
                <w:szCs w:val="15"/>
                <w:color w:val="auto"/>
              </w:rPr>
            </w:pPr>
          </w:p>
        </w:tc>
        <w:tc>
          <w:tcPr>
            <w:tcW w:w="15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331"/>
        </w:trPr>
        <w:tc>
          <w:tcPr>
            <w:tcW w:w="508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(932)</w:t>
            </w:r>
          </w:p>
        </w:tc>
        <w:tc>
          <w:tcPr>
            <w:tcW w:w="16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(1,828)</w:t>
            </w:r>
          </w:p>
        </w:tc>
        <w:tc>
          <w:tcPr>
            <w:tcW w:w="1840" w:type="dxa"/>
            <w:vAlign w:val="bottom"/>
            <w:gridSpan w:val="2"/>
          </w:tcPr>
          <w:p>
            <w:pPr>
              <w:jc w:val="right"/>
              <w:ind w:right="2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6"/>
        </w:trPr>
        <w:tc>
          <w:tcPr>
            <w:tcW w:w="508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764</w:t>
            </w:r>
          </w:p>
        </w:tc>
        <w:tc>
          <w:tcPr>
            <w:tcW w:w="16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84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080" w:type="dxa"/>
            <w:vAlign w:val="bottom"/>
          </w:tcPr>
          <w:p>
            <w:pPr>
              <w:ind w:left="140"/>
              <w:spacing w:after="0"/>
              <w:rPr>
                <w:sz w:val="20"/>
                <w:szCs w:val="20"/>
                <w:color w:val="auto"/>
              </w:rPr>
            </w:pPr>
            <w:r>
              <w:rPr>
                <w:rFonts w:ascii="Arial" w:cs="Arial" w:eastAsia="Arial" w:hAnsi="Arial"/>
                <w:sz w:val="14"/>
                <w:szCs w:val="14"/>
                <w:color w:val="auto"/>
              </w:rPr>
              <w:t>Income tax provision</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(13,626)</w:t>
            </w:r>
          </w:p>
        </w:tc>
        <w:tc>
          <w:tcPr>
            <w:tcW w:w="16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(0.8)</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(8,450)</w:t>
            </w:r>
          </w:p>
        </w:tc>
        <w:tc>
          <w:tcPr>
            <w:tcW w:w="1840" w:type="dxa"/>
            <w:vAlign w:val="bottom"/>
            <w:gridSpan w:val="2"/>
          </w:tcPr>
          <w:p>
            <w:pPr>
              <w:jc w:val="right"/>
              <w:ind w:right="24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9"/>
        </w:trPr>
        <w:tc>
          <w:tcPr>
            <w:tcW w:w="5080" w:type="dxa"/>
            <w:vAlign w:val="bottom"/>
          </w:tcPr>
          <w:p>
            <w:pPr>
              <w:ind w:left="280"/>
              <w:spacing w:after="0"/>
              <w:rPr>
                <w:sz w:val="20"/>
                <w:szCs w:val="20"/>
                <w:color w:val="auto"/>
              </w:rPr>
            </w:pPr>
            <w:r>
              <w:rPr>
                <w:rFonts w:ascii="Arial" w:cs="Arial" w:eastAsia="Arial" w:hAnsi="Arial"/>
                <w:sz w:val="14"/>
                <w:szCs w:val="14"/>
                <w:b w:val="1"/>
                <w:bCs w:val="1"/>
                <w:color w:val="auto"/>
              </w:rPr>
              <w:t>Net Income</w:t>
            </w: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22,995</w:t>
            </w:r>
          </w:p>
        </w:tc>
        <w:tc>
          <w:tcPr>
            <w:tcW w:w="32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w:t>
            </w:r>
          </w:p>
        </w:tc>
        <w:tc>
          <w:tcPr>
            <w:tcW w:w="3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13,776</w:t>
            </w:r>
          </w:p>
        </w:tc>
        <w:tc>
          <w:tcPr>
            <w:tcW w:w="320" w:type="dxa"/>
            <w:vAlign w:val="bottom"/>
          </w:tcPr>
          <w:p>
            <w:pPr>
              <w:spacing w:after="0"/>
              <w:rPr>
                <w:sz w:val="14"/>
                <w:szCs w:val="14"/>
                <w:color w:val="auto"/>
              </w:rPr>
            </w:pPr>
          </w:p>
        </w:tc>
        <w:tc>
          <w:tcPr>
            <w:tcW w:w="15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140"/>
              <w:spacing w:after="0"/>
              <w:rPr>
                <w:sz w:val="20"/>
                <w:szCs w:val="20"/>
                <w:color w:val="auto"/>
              </w:rPr>
            </w:pPr>
            <w:r>
              <w:rPr>
                <w:rFonts w:ascii="Arial" w:cs="Arial" w:eastAsia="Arial" w:hAnsi="Arial"/>
                <w:sz w:val="14"/>
                <w:szCs w:val="14"/>
                <w:color w:val="auto"/>
              </w:rPr>
              <w:t>Weighted average common shares outstanding:</w:t>
            </w: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26,785</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080" w:type="dxa"/>
            <w:vAlign w:val="bottom"/>
          </w:tcPr>
          <w:p>
            <w:pPr>
              <w:ind w:left="28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25,516</w:t>
            </w: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280"/>
              <w:spacing w:after="0"/>
              <w:rPr>
                <w:sz w:val="20"/>
                <w:szCs w:val="20"/>
                <w:color w:val="auto"/>
              </w:rPr>
            </w:pPr>
            <w:r>
              <w:rPr>
                <w:rFonts w:ascii="Arial" w:cs="Arial" w:eastAsia="Arial" w:hAnsi="Arial"/>
                <w:sz w:val="14"/>
                <w:szCs w:val="14"/>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b w:val="1"/>
                <w:bCs w:val="1"/>
                <w:color w:val="auto"/>
              </w:rPr>
              <w:t>27,024</w:t>
            </w: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25,731</w:t>
            </w: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140"/>
              <w:spacing w:after="0"/>
              <w:rPr>
                <w:sz w:val="20"/>
                <w:szCs w:val="20"/>
                <w:color w:val="auto"/>
              </w:rPr>
            </w:pPr>
            <w:r>
              <w:rPr>
                <w:rFonts w:ascii="Arial" w:cs="Arial" w:eastAsia="Arial" w:hAnsi="Arial"/>
                <w:sz w:val="14"/>
                <w:szCs w:val="14"/>
                <w:color w:val="auto"/>
              </w:rPr>
              <w:t>Earnings per common share:</w:t>
            </w: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080" w:type="dxa"/>
            <w:vAlign w:val="bottom"/>
            <w:vMerge w:val="continue"/>
          </w:tcPr>
          <w:p>
            <w:pPr>
              <w:spacing w:after="0"/>
              <w:rPr>
                <w:sz w:val="13"/>
                <w:szCs w:val="13"/>
                <w:color w:val="auto"/>
              </w:rPr>
            </w:pPr>
          </w:p>
        </w:tc>
        <w:tc>
          <w:tcPr>
            <w:tcW w:w="3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0.86</w:t>
            </w: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080" w:type="dxa"/>
            <w:vAlign w:val="bottom"/>
          </w:tcPr>
          <w:p>
            <w:pPr>
              <w:ind w:left="28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0.54</w:t>
            </w: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280"/>
              <w:spacing w:after="0"/>
              <w:rPr>
                <w:sz w:val="20"/>
                <w:szCs w:val="20"/>
                <w:color w:val="auto"/>
              </w:rPr>
            </w:pPr>
            <w:r>
              <w:rPr>
                <w:rFonts w:ascii="Arial" w:cs="Arial" w:eastAsia="Arial" w:hAnsi="Arial"/>
                <w:sz w:val="14"/>
                <w:szCs w:val="14"/>
                <w:color w:val="auto"/>
              </w:rPr>
              <w:t>Diluted</w:t>
            </w: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vMerge w:val="continue"/>
          </w:tcPr>
          <w:p>
            <w:pPr>
              <w:spacing w:after="0"/>
              <w:rPr>
                <w:sz w:val="13"/>
                <w:szCs w:val="13"/>
                <w:color w:val="auto"/>
              </w:rPr>
            </w:pPr>
          </w:p>
        </w:tc>
        <w:tc>
          <w:tcPr>
            <w:tcW w:w="380" w:type="dxa"/>
            <w:vAlign w:val="bottom"/>
            <w:tcBorders>
              <w:top w:val="single" w:sz="8" w:color="auto"/>
              <w:bottom w:val="single" w:sz="8" w:color="auto"/>
            </w:tcBorders>
          </w:tcPr>
          <w:p>
            <w:pPr>
              <w:jc w:val="right"/>
              <w:ind w:right="188"/>
              <w:spacing w:after="0" w:line="156"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b w:val="1"/>
                <w:bCs w:val="1"/>
                <w:color w:val="auto"/>
              </w:rPr>
              <w:t>0.85</w:t>
            </w: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08"/>
              <w:spacing w:after="0" w:line="156"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0.54</w:t>
            </w: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 RECONCILIATION BETWEEN GAAP AND PRO FORMA NET INCOME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This information is being provided so as to allow for a comparison of our operating results without special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7"/>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7"/>
              </w:rPr>
              <w:t>Twelve Months Ended</w:t>
            </w: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4"/>
                <w:szCs w:val="14"/>
                <w:i w:val="1"/>
                <w:iCs w:val="1"/>
                <w:color w:val="auto"/>
              </w:rPr>
              <w:t>(Amounts in thousands)</w:t>
            </w: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68"/>
              <w:spacing w:after="0" w:line="156"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80"/>
              <w:spacing w:after="0" w:line="156"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6"/>
          </w:tcPr>
          <w:p>
            <w:pPr>
              <w:jc w:val="right"/>
              <w:ind w:right="48"/>
              <w:spacing w:after="0" w:line="156"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3"/>
          </w:tcPr>
          <w:p>
            <w:pPr>
              <w:jc w:val="right"/>
              <w:ind w:right="120"/>
              <w:spacing w:after="0" w:line="156" w:lineRule="exact"/>
              <w:rPr>
                <w:sz w:val="20"/>
                <w:szCs w:val="20"/>
                <w:color w:val="auto"/>
              </w:rPr>
            </w:pPr>
            <w:r>
              <w:rPr>
                <w:rFonts w:ascii="Arial" w:cs="Arial" w:eastAsia="Arial" w:hAnsi="Arial"/>
                <w:sz w:val="14"/>
                <w:szCs w:val="14"/>
                <w:b w:val="1"/>
                <w:bCs w:val="1"/>
                <w:color w:val="auto"/>
              </w:rPr>
              <w:t>2006</w:t>
            </w:r>
          </w:p>
        </w:tc>
        <w:tc>
          <w:tcPr>
            <w:tcW w:w="78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GAAP net income</w:t>
            </w:r>
          </w:p>
        </w:tc>
        <w:tc>
          <w:tcPr>
            <w:tcW w:w="7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6,172</w:t>
            </w:r>
          </w:p>
        </w:tc>
        <w:tc>
          <w:tcPr>
            <w:tcW w:w="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4,571</w:t>
            </w:r>
          </w:p>
        </w:tc>
        <w:tc>
          <w:tcPr>
            <w:tcW w:w="120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4"/>
                <w:szCs w:val="24"/>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22,995</w:t>
            </w:r>
          </w:p>
        </w:tc>
        <w:tc>
          <w:tcPr>
            <w:tcW w:w="60" w:type="dxa"/>
            <w:vAlign w:val="bottom"/>
          </w:tcPr>
          <w:p>
            <w:pPr>
              <w:spacing w:after="0"/>
              <w:rPr>
                <w:sz w:val="24"/>
                <w:szCs w:val="24"/>
                <w:color w:val="auto"/>
              </w:rPr>
            </w:pPr>
          </w:p>
        </w:tc>
        <w:tc>
          <w:tcPr>
            <w:tcW w:w="82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color w:val="auto"/>
                <w:w w:val="93"/>
              </w:rPr>
              <w:t>13,776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Special charges (after tax):</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260"/>
              <w:spacing w:after="0"/>
              <w:rPr>
                <w:sz w:val="20"/>
                <w:szCs w:val="20"/>
                <w:color w:val="auto"/>
              </w:rPr>
            </w:pPr>
            <w:r>
              <w:rPr>
                <w:rFonts w:ascii="Arial" w:cs="Arial" w:eastAsia="Arial" w:hAnsi="Arial"/>
                <w:sz w:val="14"/>
                <w:szCs w:val="14"/>
                <w:color w:val="auto"/>
              </w:rPr>
              <w:t>Management restructuring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336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4"/>
                <w:szCs w:val="14"/>
                <w:color w:val="auto"/>
              </w:rPr>
              <w:t>336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60" w:type="dxa"/>
            <w:vAlign w:val="bottom"/>
          </w:tcPr>
          <w:p>
            <w:pPr>
              <w:ind w:left="260"/>
              <w:spacing w:after="0"/>
              <w:rPr>
                <w:sz w:val="20"/>
                <w:szCs w:val="20"/>
                <w:color w:val="auto"/>
              </w:rPr>
            </w:pPr>
            <w:r>
              <w:rPr>
                <w:rFonts w:ascii="Arial" w:cs="Arial" w:eastAsia="Arial" w:hAnsi="Arial"/>
                <w:sz w:val="14"/>
                <w:szCs w:val="14"/>
                <w:color w:val="auto"/>
              </w:rPr>
              <w:t>GSA settlement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69"/>
        </w:trPr>
        <w:tc>
          <w:tcPr>
            <w:tcW w:w="4780" w:type="dxa"/>
            <w:vAlign w:val="bottom"/>
            <w:gridSpan w:val="2"/>
          </w:tcPr>
          <w:p>
            <w:pPr>
              <w:spacing w:after="0"/>
              <w:rPr>
                <w:sz w:val="20"/>
                <w:szCs w:val="20"/>
                <w:color w:val="auto"/>
              </w:rPr>
            </w:pPr>
            <w:r>
              <w:rPr>
                <w:rFonts w:ascii="Arial" w:cs="Arial" w:eastAsia="Arial" w:hAnsi="Arial"/>
                <w:sz w:val="14"/>
                <w:szCs w:val="14"/>
                <w:color w:val="auto"/>
              </w:rPr>
              <w:t>Total special charges (after tax)</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336</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336</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Pro forma net income</w:t>
            </w:r>
          </w:p>
        </w:tc>
        <w:tc>
          <w:tcPr>
            <w:tcW w:w="300" w:type="dxa"/>
            <w:vAlign w:val="bottom"/>
            <w:gridSpan w:val="2"/>
          </w:tcPr>
          <w:p>
            <w:pPr>
              <w:spacing w:after="0"/>
              <w:rPr>
                <w:sz w:val="24"/>
                <w:szCs w:val="24"/>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6,508</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4,571</w:t>
            </w:r>
          </w:p>
        </w:tc>
        <w:tc>
          <w:tcPr>
            <w:tcW w:w="3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23,331</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93"/>
              </w:rPr>
              <w:t>15,211</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7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4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CONSOLIDATED BALANCE SHEETS</w:t>
            </w:r>
          </w:p>
        </w:tc>
        <w:tc>
          <w:tcPr>
            <w:tcW w:w="1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9"/>
        </w:trPr>
        <w:tc>
          <w:tcPr>
            <w:tcW w:w="4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476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13,741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5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17,582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202,216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170,222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Inventories–merchandise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76,090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69,407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2,858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3,837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Income taxes receivable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345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4,322</w:t>
            </w:r>
          </w:p>
        </w:tc>
        <w:tc>
          <w:tcPr>
            <w:tcW w:w="1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60" w:type="dxa"/>
            <w:vAlign w:val="bottom"/>
          </w:tcPr>
          <w:p>
            <w:pPr>
              <w:ind w:left="260"/>
              <w:spacing w:after="0" w:line="160" w:lineRule="exact"/>
              <w:rPr>
                <w:sz w:val="20"/>
                <w:szCs w:val="20"/>
                <w:color w:val="auto"/>
              </w:rPr>
            </w:pPr>
            <w:r>
              <w:rPr>
                <w:rFonts w:ascii="Arial" w:cs="Arial" w:eastAsia="Arial" w:hAnsi="Arial"/>
                <w:sz w:val="14"/>
                <w:szCs w:val="14"/>
                <w:b w:val="1"/>
                <w:bCs w:val="1"/>
                <w:color w:val="auto"/>
              </w:rPr>
              <w:t>Total current assets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gridSpan w:val="4"/>
          </w:tcPr>
          <w:p>
            <w:pPr>
              <w:jc w:val="right"/>
              <w:ind w:right="80"/>
              <w:spacing w:after="0" w:line="160" w:lineRule="exact"/>
              <w:rPr>
                <w:sz w:val="20"/>
                <w:szCs w:val="20"/>
                <w:color w:val="auto"/>
              </w:rPr>
            </w:pPr>
            <w:r>
              <w:rPr>
                <w:rFonts w:ascii="Arial" w:cs="Arial" w:eastAsia="Arial" w:hAnsi="Arial"/>
                <w:sz w:val="14"/>
                <w:szCs w:val="14"/>
                <w:b w:val="1"/>
                <w:bCs w:val="1"/>
                <w:color w:val="auto"/>
              </w:rPr>
              <w:t>299,572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148"/>
              <w:spacing w:after="0" w:line="160" w:lineRule="exact"/>
              <w:rPr>
                <w:sz w:val="20"/>
                <w:szCs w:val="20"/>
                <w:color w:val="auto"/>
              </w:rPr>
            </w:pPr>
            <w:r>
              <w:rPr>
                <w:rFonts w:ascii="Arial" w:cs="Arial" w:eastAsia="Arial" w:hAnsi="Arial"/>
                <w:sz w:val="14"/>
                <w:szCs w:val="14"/>
                <w:color w:val="auto"/>
              </w:rPr>
              <w:t>265,557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20,831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19,542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56,867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56,867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Other intangibles, net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3,291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4,363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318</w:t>
            </w:r>
          </w:p>
        </w:tc>
        <w:tc>
          <w:tcPr>
            <w:tcW w:w="1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60" w:type="dxa"/>
            <w:vAlign w:val="bottom"/>
          </w:tcPr>
          <w:p>
            <w:pPr>
              <w:ind w:left="26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380,879</w:t>
            </w: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346,684</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260"/>
              <w:spacing w:after="0"/>
              <w:rPr>
                <w:sz w:val="20"/>
                <w:szCs w:val="20"/>
                <w:color w:val="auto"/>
              </w:rPr>
            </w:pPr>
            <w:r>
              <w:rPr>
                <w:rFonts w:ascii="Arial" w:cs="Arial" w:eastAsia="Arial" w:hAnsi="Arial"/>
                <w:sz w:val="14"/>
                <w:szCs w:val="14"/>
                <w:color w:val="auto"/>
              </w:rPr>
              <w:t>Current maturities of capital lease obligations: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527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400"/>
              <w:spacing w:after="0"/>
              <w:rPr>
                <w:sz w:val="20"/>
                <w:szCs w:val="20"/>
                <w:color w:val="auto"/>
              </w:rPr>
            </w:pPr>
            <w:r>
              <w:rPr>
                <w:rFonts w:ascii="Arial" w:cs="Arial" w:eastAsia="Arial" w:hAnsi="Arial"/>
                <w:sz w:val="14"/>
                <w:szCs w:val="14"/>
                <w:color w:val="auto"/>
              </w:rPr>
              <w:t>To affiliate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5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400"/>
              <w:spacing w:after="0"/>
              <w:rPr>
                <w:sz w:val="20"/>
                <w:szCs w:val="20"/>
                <w:color w:val="auto"/>
              </w:rPr>
            </w:pPr>
            <w:r>
              <w:rPr>
                <w:rFonts w:ascii="Arial" w:cs="Arial" w:eastAsia="Arial" w:hAnsi="Arial"/>
                <w:sz w:val="14"/>
                <w:szCs w:val="14"/>
                <w:color w:val="auto"/>
              </w:rPr>
              <w:t>To third party</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111,140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110,977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20,557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17,389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Accrued payroll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10,816</w:t>
            </w:r>
          </w:p>
        </w:tc>
        <w:tc>
          <w:tcPr>
            <w:tcW w:w="1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9,367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60" w:type="dxa"/>
            <w:vAlign w:val="bottom"/>
          </w:tcPr>
          <w:p>
            <w:pPr>
              <w:ind w:left="26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143,040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138,592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Capital lease obligations, less current maturities: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4,309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260"/>
              <w:spacing w:after="0"/>
              <w:rPr>
                <w:sz w:val="20"/>
                <w:szCs w:val="20"/>
                <w:color w:val="auto"/>
              </w:rPr>
            </w:pPr>
            <w:r>
              <w:rPr>
                <w:rFonts w:ascii="Arial" w:cs="Arial" w:eastAsia="Arial" w:hAnsi="Arial"/>
                <w:sz w:val="14"/>
                <w:szCs w:val="14"/>
                <w:color w:val="auto"/>
              </w:rPr>
              <w:t>To affiliate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4,836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3,784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5,436</w:t>
            </w: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6,352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60" w:type="dxa"/>
            <w:vAlign w:val="bottom"/>
          </w:tcPr>
          <w:p>
            <w:pPr>
              <w:ind w:left="26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156,569</w:t>
            </w: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149,780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60" w:type="dxa"/>
            <w:vAlign w:val="bottom"/>
          </w:tcPr>
          <w:p>
            <w:pPr>
              <w:ind w:left="12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273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ind w:left="26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94,132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89,537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ind w:left="26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131,970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109,321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60" w:type="dxa"/>
            <w:vAlign w:val="bottom"/>
          </w:tcPr>
          <w:p>
            <w:pPr>
              <w:ind w:left="260"/>
              <w:spacing w:after="0"/>
              <w:rPr>
                <w:sz w:val="20"/>
                <w:szCs w:val="20"/>
                <w:color w:val="auto"/>
              </w:rPr>
            </w:pPr>
            <w:r>
              <w:rPr>
                <w:rFonts w:ascii="Arial" w:cs="Arial" w:eastAsia="Arial" w:hAnsi="Arial"/>
                <w:sz w:val="14"/>
                <w:szCs w:val="14"/>
                <w:color w:val="auto"/>
              </w:rPr>
              <w:t>Treasury stock at cost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(2,065)</w:t>
            </w:r>
          </w:p>
        </w:tc>
        <w:tc>
          <w:tcPr>
            <w:tcW w:w="1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60" w:type="dxa"/>
            <w:vAlign w:val="bottom"/>
          </w:tcPr>
          <w:p>
            <w:pPr>
              <w:ind w:left="400"/>
              <w:spacing w:after="0"/>
              <w:rPr>
                <w:sz w:val="20"/>
                <w:szCs w:val="20"/>
                <w:color w:val="auto"/>
              </w:rPr>
            </w:pPr>
            <w:r>
              <w:rPr>
                <w:rFonts w:ascii="Arial" w:cs="Arial" w:eastAsia="Arial" w:hAnsi="Arial"/>
                <w:sz w:val="14"/>
                <w:szCs w:val="14"/>
                <w:b w:val="1"/>
                <w:bCs w:val="1"/>
                <w:color w:val="auto"/>
              </w:rPr>
              <w:t>Total Stockholders’ Equity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224,310</w:t>
            </w: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196,904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60" w:type="dxa"/>
            <w:vAlign w:val="bottom"/>
          </w:tcPr>
          <w:p>
            <w:pPr>
              <w:ind w:left="400"/>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380,879</w:t>
            </w: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346,684</w:t>
            </w:r>
          </w:p>
        </w:tc>
        <w:tc>
          <w:tcPr>
            <w:tcW w:w="0" w:type="dxa"/>
            <w:vAlign w:val="bottom"/>
          </w:tcPr>
          <w:p>
            <w:pPr>
              <w:spacing w:after="0"/>
              <w:rPr>
                <w:sz w:val="1"/>
                <w:szCs w:val="1"/>
                <w:color w:val="auto"/>
              </w:rPr>
            </w:pPr>
          </w:p>
        </w:tc>
      </w:tr>
      <w:tr>
        <w:trPr>
          <w:trHeight w:val="20"/>
        </w:trPr>
        <w:tc>
          <w:tcPr>
            <w:tcW w:w="55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CONSOLIDATED STATEMENT OF CHANGES IN STOCKHOLDERS’ EQUITY</w:t>
            </w: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00" w:type="dxa"/>
            <w:vAlign w:val="bottom"/>
            <w:tcBorders>
              <w:bottom w:val="single" w:sz="8" w:color="auto"/>
            </w:tcBorders>
            <w:gridSpan w:val="5"/>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2007 (amounts in thousands)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9"/>
              </w:rPr>
              <w:t>Common Stock</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Additional</w:t>
            </w: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4"/>
              </w:rPr>
              <w:t>Treasury Shares</w:t>
            </w: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60" w:type="dxa"/>
            <w:vAlign w:val="bottom"/>
            <w:tcBorders>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Paid-In Capital</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6"/>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Balance – January 01, 2007</w:t>
            </w:r>
          </w:p>
        </w:tc>
        <w:tc>
          <w:tcPr>
            <w:tcW w:w="720" w:type="dxa"/>
            <w:vAlign w:val="bottom"/>
            <w:gridSpan w:val="3"/>
          </w:tcPr>
          <w:p>
            <w:pPr>
              <w:jc w:val="right"/>
              <w:ind w:right="8"/>
              <w:spacing w:after="0"/>
              <w:rPr>
                <w:sz w:val="20"/>
                <w:szCs w:val="20"/>
                <w:color w:val="auto"/>
              </w:rPr>
            </w:pPr>
            <w:r>
              <w:rPr>
                <w:rFonts w:ascii="Arial" w:cs="Arial" w:eastAsia="Arial" w:hAnsi="Arial"/>
                <w:sz w:val="14"/>
                <w:szCs w:val="14"/>
                <w:color w:val="auto"/>
              </w:rPr>
              <w:t>26,862</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$89,537</w:t>
            </w:r>
          </w:p>
        </w:tc>
        <w:tc>
          <w:tcPr>
            <w:tcW w:w="1200" w:type="dxa"/>
            <w:vAlign w:val="bottom"/>
            <w:gridSpan w:val="3"/>
          </w:tcPr>
          <w:p>
            <w:pPr>
              <w:jc w:val="right"/>
              <w:ind w:right="108"/>
              <w:spacing w:after="0"/>
              <w:rPr>
                <w:sz w:val="20"/>
                <w:szCs w:val="20"/>
                <w:color w:val="auto"/>
              </w:rPr>
            </w:pPr>
            <w:r>
              <w:rPr>
                <w:rFonts w:ascii="Arial" w:cs="Arial" w:eastAsia="Arial" w:hAnsi="Arial"/>
                <w:sz w:val="14"/>
                <w:szCs w:val="14"/>
                <w:color w:val="auto"/>
              </w:rPr>
              <w:t>$109,321</w:t>
            </w:r>
          </w:p>
        </w:tc>
        <w:tc>
          <w:tcPr>
            <w:tcW w:w="80" w:type="dxa"/>
            <w:vAlign w:val="bottom"/>
          </w:tcPr>
          <w:p>
            <w:pPr>
              <w:spacing w:after="0"/>
              <w:rPr>
                <w:sz w:val="24"/>
                <w:szCs w:val="2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4"/>
                <w:szCs w:val="14"/>
                <w:color w:val="auto"/>
              </w:rPr>
              <w:t>(352)</w:t>
            </w:r>
          </w:p>
        </w:tc>
        <w:tc>
          <w:tcPr>
            <w:tcW w:w="60" w:type="dxa"/>
            <w:vAlign w:val="bottom"/>
          </w:tcPr>
          <w:p>
            <w:pPr>
              <w:spacing w:after="0"/>
              <w:rPr>
                <w:sz w:val="24"/>
                <w:szCs w:val="24"/>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4"/>
                <w:szCs w:val="14"/>
                <w:color w:val="auto"/>
              </w:rPr>
              <w:t>($2,223)</w:t>
            </w: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$196,904</w:t>
            </w:r>
          </w:p>
        </w:tc>
        <w:tc>
          <w:tcPr>
            <w:tcW w:w="0" w:type="dxa"/>
            <w:vAlign w:val="bottom"/>
          </w:tcPr>
          <w:p>
            <w:pPr>
              <w:spacing w:after="0"/>
              <w:rPr>
                <w:sz w:val="1"/>
                <w:szCs w:val="1"/>
                <w:color w:val="auto"/>
              </w:rPr>
            </w:pPr>
          </w:p>
        </w:tc>
      </w:tr>
      <w:tr>
        <w:trPr>
          <w:trHeight w:val="351"/>
        </w:trPr>
        <w:tc>
          <w:tcPr>
            <w:tcW w:w="4780" w:type="dxa"/>
            <w:vAlign w:val="bottom"/>
            <w:gridSpan w:val="2"/>
          </w:tcPr>
          <w:p>
            <w:pPr>
              <w:spacing w:after="0"/>
              <w:rPr>
                <w:sz w:val="20"/>
                <w:szCs w:val="20"/>
                <w:color w:val="auto"/>
              </w:rPr>
            </w:pPr>
            <w:r>
              <w:rPr>
                <w:rFonts w:ascii="Arial" w:cs="Arial" w:eastAsia="Arial" w:hAnsi="Arial"/>
                <w:sz w:val="14"/>
                <w:szCs w:val="14"/>
                <w:color w:val="auto"/>
              </w:rPr>
              <w:t>Cumula-tive effect of change in account-ing prin-ciple</w:t>
            </w:r>
          </w:p>
        </w:tc>
        <w:tc>
          <w:tcPr>
            <w:tcW w:w="7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68"/>
              <w:spacing w:after="0"/>
              <w:rPr>
                <w:sz w:val="20"/>
                <w:szCs w:val="20"/>
                <w:color w:val="auto"/>
              </w:rPr>
            </w:pPr>
            <w:r>
              <w:rPr>
                <w:rFonts w:ascii="Arial" w:cs="Arial" w:eastAsia="Arial" w:hAnsi="Arial"/>
                <w:sz w:val="14"/>
                <w:szCs w:val="14"/>
                <w:color w:val="auto"/>
              </w:rPr>
              <w:t>(346)</w:t>
            </w:r>
          </w:p>
        </w:tc>
        <w:tc>
          <w:tcPr>
            <w:tcW w:w="80" w:type="dxa"/>
            <w:vAlign w:val="bottom"/>
          </w:tcPr>
          <w:p>
            <w:pPr>
              <w:spacing w:after="0"/>
              <w:rPr>
                <w:sz w:val="24"/>
                <w:szCs w:val="24"/>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351"/>
        </w:trPr>
        <w:tc>
          <w:tcPr>
            <w:tcW w:w="4780" w:type="dxa"/>
            <w:vAlign w:val="bottom"/>
            <w:gridSpan w:val="2"/>
          </w:tcPr>
          <w:p>
            <w:pPr>
              <w:spacing w:after="0"/>
              <w:rPr>
                <w:sz w:val="20"/>
                <w:szCs w:val="20"/>
                <w:color w:val="auto"/>
              </w:rPr>
            </w:pPr>
            <w:r>
              <w:rPr>
                <w:rFonts w:ascii="Arial" w:cs="Arial" w:eastAsia="Arial" w:hAnsi="Arial"/>
                <w:sz w:val="14"/>
                <w:szCs w:val="14"/>
                <w:color w:val="auto"/>
              </w:rPr>
              <w:t>Stock compen-sation expense</w:t>
            </w:r>
          </w:p>
        </w:tc>
        <w:tc>
          <w:tcPr>
            <w:tcW w:w="7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579</w:t>
            </w:r>
          </w:p>
        </w:tc>
        <w:tc>
          <w:tcPr>
            <w:tcW w:w="120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351"/>
        </w:trPr>
        <w:tc>
          <w:tcPr>
            <w:tcW w:w="4780" w:type="dxa"/>
            <w:vAlign w:val="bottom"/>
            <w:gridSpan w:val="2"/>
          </w:tcPr>
          <w:p>
            <w:pPr>
              <w:spacing w:after="0"/>
              <w:rPr>
                <w:sz w:val="20"/>
                <w:szCs w:val="20"/>
                <w:color w:val="auto"/>
              </w:rPr>
            </w:pPr>
            <w:r>
              <w:rPr>
                <w:rFonts w:ascii="Arial" w:cs="Arial" w:eastAsia="Arial" w:hAnsi="Arial"/>
                <w:sz w:val="14"/>
                <w:szCs w:val="14"/>
                <w:color w:val="auto"/>
              </w:rPr>
              <w:t>Exercise of stock options, includ-ing</w:t>
            </w:r>
          </w:p>
        </w:tc>
        <w:tc>
          <w:tcPr>
            <w:tcW w:w="720" w:type="dxa"/>
            <w:vAlign w:val="bottom"/>
            <w:gridSpan w:val="3"/>
          </w:tcPr>
          <w:p>
            <w:pPr>
              <w:jc w:val="right"/>
              <w:ind w:right="8"/>
              <w:spacing w:after="0"/>
              <w:rPr>
                <w:sz w:val="20"/>
                <w:szCs w:val="20"/>
                <w:color w:val="auto"/>
              </w:rPr>
            </w:pPr>
            <w:r>
              <w:rPr>
                <w:rFonts w:ascii="Arial" w:cs="Arial" w:eastAsia="Arial" w:hAnsi="Arial"/>
                <w:sz w:val="14"/>
                <w:szCs w:val="14"/>
                <w:color w:val="auto"/>
              </w:rPr>
              <w:t>364</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3,876</w:t>
            </w:r>
          </w:p>
        </w:tc>
        <w:tc>
          <w:tcPr>
            <w:tcW w:w="120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3,880</w:t>
            </w:r>
          </w:p>
        </w:tc>
        <w:tc>
          <w:tcPr>
            <w:tcW w:w="0" w:type="dxa"/>
            <w:vAlign w:val="bottom"/>
          </w:tcPr>
          <w:p>
            <w:pPr>
              <w:spacing w:after="0"/>
              <w:rPr>
                <w:sz w:val="1"/>
                <w:szCs w:val="1"/>
                <w:color w:val="auto"/>
              </w:rPr>
            </w:pPr>
          </w:p>
        </w:tc>
      </w:tr>
    </w:tbl>
    <w:p>
      <w:pPr>
        <w:sectPr>
          <w:pgSz w:w="11900" w:h="16899" w:orient="portrait"/>
          <w:cols w:equalWidth="0" w:num="1">
            <w:col w:w="11420"/>
          </w:cols>
          <w:pgMar w:left="240" w:top="118"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20" w:type="dxa"/>
            <w:vAlign w:val="bottom"/>
            <w:gridSpan w:val="3"/>
          </w:tcPr>
          <w:p>
            <w:pPr>
              <w:spacing w:after="0"/>
              <w:rPr>
                <w:sz w:val="20"/>
                <w:szCs w:val="20"/>
                <w:color w:val="auto"/>
              </w:rPr>
            </w:pPr>
            <w:r>
              <w:rPr>
                <w:rFonts w:ascii="Arial" w:cs="Arial" w:eastAsia="Arial" w:hAnsi="Arial"/>
                <w:sz w:val="14"/>
                <w:szCs w:val="14"/>
                <w:color w:val="auto"/>
              </w:rPr>
              <w:t>income tax benefits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920" w:type="dxa"/>
            <w:vAlign w:val="bottom"/>
            <w:gridSpan w:val="3"/>
          </w:tcPr>
          <w:p>
            <w:pPr>
              <w:spacing w:after="0"/>
              <w:rPr>
                <w:sz w:val="20"/>
                <w:szCs w:val="20"/>
                <w:color w:val="auto"/>
              </w:rPr>
            </w:pPr>
            <w:r>
              <w:rPr>
                <w:rFonts w:ascii="Arial" w:cs="Arial" w:eastAsia="Arial" w:hAnsi="Arial"/>
                <w:sz w:val="14"/>
                <w:szCs w:val="14"/>
                <w:color w:val="auto"/>
              </w:rPr>
              <w:t>Release of non-vested stock awards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351"/>
        </w:trPr>
        <w:tc>
          <w:tcPr>
            <w:tcW w:w="4920" w:type="dxa"/>
            <w:vAlign w:val="bottom"/>
            <w:gridSpan w:val="3"/>
          </w:tcPr>
          <w:p>
            <w:pPr>
              <w:spacing w:after="0"/>
              <w:rPr>
                <w:sz w:val="20"/>
                <w:szCs w:val="20"/>
                <w:color w:val="auto"/>
              </w:rPr>
            </w:pPr>
            <w:r>
              <w:rPr>
                <w:rFonts w:ascii="Arial" w:cs="Arial" w:eastAsia="Arial" w:hAnsi="Arial"/>
                <w:sz w:val="14"/>
                <w:szCs w:val="14"/>
                <w:color w:val="auto"/>
              </w:rPr>
              <w:t>Issuance of stock under Employee Stock Purchase Plan</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ind w:right="108"/>
              <w:spacing w:after="0"/>
              <w:rPr>
                <w:sz w:val="20"/>
                <w:szCs w:val="20"/>
                <w:color w:val="auto"/>
              </w:rPr>
            </w:pPr>
            <w:r>
              <w:rPr>
                <w:rFonts w:ascii="Arial" w:cs="Arial" w:eastAsia="Arial" w:hAnsi="Arial"/>
                <w:sz w:val="14"/>
                <w:szCs w:val="14"/>
                <w:color w:val="auto"/>
              </w:rPr>
              <w:t>295</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920" w:type="dxa"/>
            <w:vAlign w:val="bottom"/>
            <w:gridSpan w:val="3"/>
          </w:tcPr>
          <w:p>
            <w:pPr>
              <w:spacing w:after="0"/>
              <w:rPr>
                <w:sz w:val="20"/>
                <w:szCs w:val="20"/>
                <w:color w:val="auto"/>
              </w:rPr>
            </w:pPr>
            <w:r>
              <w:rPr>
                <w:rFonts w:ascii="Arial" w:cs="Arial" w:eastAsia="Arial" w:hAnsi="Arial"/>
                <w:sz w:val="14"/>
                <w:szCs w:val="14"/>
                <w:color w:val="auto"/>
              </w:rPr>
              <w:t>Issuance of non-vested stock awards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gridSpan w:val="3"/>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w w:val="85"/>
              </w:rPr>
              <w:t>158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0"/>
        </w:trPr>
        <w:tc>
          <w:tcPr>
            <w:tcW w:w="47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22,995</w:t>
            </w:r>
          </w:p>
        </w:tc>
        <w:tc>
          <w:tcPr>
            <w:tcW w:w="74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22,995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Balance – December 31, 2007</w:t>
            </w:r>
          </w:p>
        </w:tc>
        <w:tc>
          <w:tcPr>
            <w:tcW w:w="14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27,252</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$273</w:t>
            </w:r>
          </w:p>
        </w:tc>
        <w:tc>
          <w:tcPr>
            <w:tcW w:w="1420" w:type="dxa"/>
            <w:vAlign w:val="bottom"/>
          </w:tcPr>
          <w:p>
            <w:pPr>
              <w:jc w:val="right"/>
              <w:ind w:right="108"/>
              <w:spacing w:after="0"/>
              <w:rPr>
                <w:sz w:val="20"/>
                <w:szCs w:val="20"/>
                <w:color w:val="auto"/>
              </w:rPr>
            </w:pPr>
            <w:r>
              <w:rPr>
                <w:rFonts w:ascii="Arial" w:cs="Arial" w:eastAsia="Arial" w:hAnsi="Arial"/>
                <w:sz w:val="14"/>
                <w:szCs w:val="14"/>
                <w:b w:val="1"/>
                <w:bCs w:val="1"/>
                <w:color w:val="auto"/>
              </w:rPr>
              <w:t>$94,132</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$131,970</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(327)</w:t>
            </w:r>
          </w:p>
        </w:tc>
        <w:tc>
          <w:tcPr>
            <w:tcW w:w="88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($2,065)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$224,310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92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49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CONSOLIDATED STATEMENTS OF CASH FLOWS</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 (Amounts in thousands)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9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Cash Flows from Operating Activities:</w:t>
            </w: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22,995</w:t>
            </w:r>
          </w:p>
        </w:tc>
        <w:tc>
          <w:tcPr>
            <w:tcW w:w="3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13,776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w w:val="95"/>
              </w:rPr>
              <w:t>Adjustments to reconcile net income to net cash provided by operating activities: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Depreciation and amortization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6,781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7,049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Provision for doubtful accounts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1,587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2,885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Deferred income taxes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Loss on disposal of fixed assets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Stock compensation expense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579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Excess tax benefit from exercise of stock options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(447)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Income tax benefits related to employee equity awards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974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1,338</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Changes in assets and liabilities: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4"/>
              </w:rPr>
              <w:t>(33,581)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Accounts receivable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(10,582)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Inventories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(6,683)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5,967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(158)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Other non-current assets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Accounts payable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163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(3,436)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00" w:type="dxa"/>
            <w:vAlign w:val="bottom"/>
            <w:gridSpan w:val="2"/>
          </w:tcPr>
          <w:p>
            <w:pPr>
              <w:ind w:left="260"/>
              <w:spacing w:after="0"/>
              <w:rPr>
                <w:sz w:val="20"/>
                <w:szCs w:val="20"/>
                <w:color w:val="auto"/>
              </w:rPr>
            </w:pPr>
            <w:r>
              <w:rPr>
                <w:rFonts w:ascii="Arial" w:cs="Arial" w:eastAsia="Arial" w:hAnsi="Arial"/>
                <w:sz w:val="14"/>
                <w:szCs w:val="14"/>
                <w:color w:val="auto"/>
              </w:rPr>
              <w:t>Accrued expenses and other liabilities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8,055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5,466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433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26,362</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Cash Flows from Investing Activities: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Purchases of property and equipment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(7,066)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(7,981)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Proceeds from sale of property and equipment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Net cash used for investing activities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9"/>
              </w:rPr>
              <w:t>(7,066)</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(7,960)</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Cash Flows from Financing Activities: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Proceeds from short-term borrowings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53,280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402,039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Repayment of short-term borrowings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4"/>
              </w:rPr>
              <w:t>(53,280)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(422,014)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Repayment of capital lease obligations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(859)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Exercise of stock options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2,910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9,740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Excess tax benefit from exercise of stock options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447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Issuance of stock under Employee Stock Purchase Plan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294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Net cash provided by (used for) financing activities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2,792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(10,590)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00" w:type="dxa"/>
            <w:vAlign w:val="bottom"/>
            <w:gridSpan w:val="2"/>
          </w:tcPr>
          <w:p>
            <w:pPr>
              <w:ind w:left="120"/>
              <w:spacing w:after="0" w:line="160" w:lineRule="exact"/>
              <w:rPr>
                <w:sz w:val="20"/>
                <w:szCs w:val="20"/>
                <w:color w:val="auto"/>
              </w:rPr>
            </w:pPr>
            <w:r>
              <w:rPr>
                <w:rFonts w:ascii="Arial" w:cs="Arial" w:eastAsia="Arial" w:hAnsi="Arial"/>
                <w:sz w:val="14"/>
                <w:szCs w:val="14"/>
                <w:color w:val="auto"/>
              </w:rPr>
              <w:t>(Decrease) increase in cash and cash equivalents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gridSpan w:val="2"/>
          </w:tcPr>
          <w:p>
            <w:pPr>
              <w:jc w:val="right"/>
              <w:ind w:right="80"/>
              <w:spacing w:after="0" w:line="160" w:lineRule="exact"/>
              <w:rPr>
                <w:sz w:val="20"/>
                <w:szCs w:val="20"/>
                <w:color w:val="auto"/>
              </w:rPr>
            </w:pPr>
            <w:r>
              <w:rPr>
                <w:rFonts w:ascii="Arial" w:cs="Arial" w:eastAsia="Arial" w:hAnsi="Arial"/>
                <w:sz w:val="14"/>
                <w:szCs w:val="14"/>
                <w:b w:val="1"/>
                <w:bCs w:val="1"/>
                <w:color w:val="auto"/>
                <w:w w:val="99"/>
              </w:rPr>
              <w:t>(3,841)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140"/>
              <w:spacing w:after="0" w:line="160" w:lineRule="exact"/>
              <w:rPr>
                <w:sz w:val="20"/>
                <w:szCs w:val="20"/>
                <w:color w:val="auto"/>
              </w:rPr>
            </w:pPr>
            <w:r>
              <w:rPr>
                <w:rFonts w:ascii="Arial" w:cs="Arial" w:eastAsia="Arial" w:hAnsi="Arial"/>
                <w:sz w:val="14"/>
                <w:szCs w:val="14"/>
                <w:color w:val="auto"/>
              </w:rPr>
              <w:t>7,812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beginning of period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3"/>
              </w:rPr>
              <w:t>17,582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9,770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end of period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3"/>
              </w:rPr>
              <w:t>13,741</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17,582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pccc-g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PC Connection, Inc.</w:t>
      </w:r>
    </w:p>
    <w:p>
      <w:pPr>
        <w:spacing w:after="0" w:line="230" w:lineRule="auto"/>
        <w:rPr>
          <w:sz w:val="20"/>
          <w:szCs w:val="20"/>
          <w:color w:val="auto"/>
        </w:rPr>
      </w:pPr>
      <w:r>
        <w:rPr>
          <w:rFonts w:ascii="Arial" w:cs="Arial" w:eastAsia="Arial" w:hAnsi="Arial"/>
          <w:sz w:val="22"/>
          <w:szCs w:val="22"/>
          <w:color w:val="auto"/>
        </w:rPr>
        <w:t>Stephen Baldridge, 603-683-2322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Sr. Vice President, Finance &amp; Corporate Controller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2019-12-14T18:50:17Z</dcterms:created>
  <dcterms:modified xsi:type="dcterms:W3CDTF">2019-12-14T18:50:17Z</dcterms:modified>
</cp:coreProperties>
</file>