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3887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100330</wp:posOffset>
            </wp:positionV>
            <wp:extent cx="63887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jc w:val="center"/>
        <w:spacing w:after="0" w:line="202" w:lineRule="auto"/>
        <w:rPr>
          <w:sz w:val="20"/>
          <w:szCs w:val="20"/>
          <w:color w:val="auto"/>
        </w:rPr>
      </w:pPr>
      <w:r>
        <w:rPr>
          <w:rFonts w:ascii="Arial" w:cs="Arial" w:eastAsia="Arial" w:hAnsi="Arial"/>
          <w:sz w:val="25"/>
          <w:szCs w:val="25"/>
          <w:b w:val="1"/>
          <w:bCs w:val="1"/>
          <w:color w:val="auto"/>
        </w:rPr>
        <w:t>SECURITIES AND EXCHANGE COMMISSION</w:t>
      </w:r>
    </w:p>
    <w:p>
      <w:pPr>
        <w:jc w:val="center"/>
        <w:spacing w:after="0" w:line="203" w:lineRule="auto"/>
        <w:rPr>
          <w:sz w:val="20"/>
          <w:szCs w:val="20"/>
          <w:color w:val="auto"/>
        </w:rPr>
      </w:pPr>
      <w:r>
        <w:rPr>
          <w:rFonts w:ascii="Arial" w:cs="Arial" w:eastAsia="Arial" w:hAnsi="Arial"/>
          <w:sz w:val="25"/>
          <w:szCs w:val="25"/>
          <w:b w:val="1"/>
          <w:bCs w:val="1"/>
          <w:color w:val="auto"/>
        </w:rPr>
        <w:t>WASHINGTON, D.C. 20549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54610</wp:posOffset>
            </wp:positionV>
            <wp:extent cx="1603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160" w:lineRule="exact"/>
        <w:rPr>
          <w:sz w:val="24"/>
          <w:szCs w:val="24"/>
          <w:color w:val="auto"/>
        </w:rPr>
      </w:pPr>
    </w:p>
    <w:p>
      <w:pPr>
        <w:ind w:left="560"/>
        <w:spacing w:after="0"/>
        <w:rPr>
          <w:sz w:val="20"/>
          <w:szCs w:val="20"/>
          <w:color w:val="auto"/>
        </w:rPr>
      </w:pPr>
      <w:r>
        <w:rPr>
          <w:rFonts w:ascii="Arial" w:cs="Arial" w:eastAsia="Arial" w:hAnsi="Arial"/>
          <w:sz w:val="16"/>
          <w:szCs w:val="16"/>
          <w:b w:val="1"/>
          <w:bCs w:val="1"/>
          <w:color w:val="auto"/>
        </w:rPr>
        <w:t>(Mark One)</w:t>
      </w:r>
    </w:p>
    <w:p>
      <w:pPr>
        <w:spacing w:after="0" w:line="118" w:lineRule="exact"/>
        <w:rPr>
          <w:sz w:val="24"/>
          <w:szCs w:val="24"/>
          <w:color w:val="auto"/>
        </w:rPr>
      </w:pPr>
    </w:p>
    <w:p>
      <w:pPr>
        <w:ind w:left="1460" w:hanging="437"/>
        <w:spacing w:after="0"/>
        <w:tabs>
          <w:tab w:leader="none" w:pos="14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4"/>
          <w:szCs w:val="14"/>
          <w:b w:val="1"/>
          <w:bCs w:val="1"/>
          <w:color w:val="auto"/>
        </w:rPr>
        <w:t>QUARTERLY REPORT PURSUANT TO SECTION 13 OR 15(d) OF THE SECURITIES EXCHANGE ACT OF 1934*</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13" w:lineRule="exact"/>
        <w:rPr>
          <w:sz w:val="24"/>
          <w:szCs w:val="24"/>
          <w:color w:val="auto"/>
        </w:rPr>
      </w:pPr>
    </w:p>
    <w:p>
      <w:pPr>
        <w:ind w:left="1480" w:hanging="426"/>
        <w:spacing w:after="0"/>
        <w:tabs>
          <w:tab w:leader="none" w:pos="14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4"/>
          <w:szCs w:val="14"/>
          <w:b w:val="1"/>
          <w:bCs w:val="1"/>
          <w:color w:val="auto"/>
        </w:rPr>
        <w:t>TRANSITION REPORT PURSUANT TO SECTION 13 OR 15(d) OF THE SECURITIES EXCHANGE ACT OF 1934</w:t>
      </w:r>
    </w:p>
    <w:p>
      <w:pPr>
        <w:spacing w:after="0" w:line="77" w:lineRule="exact"/>
        <w:rPr>
          <w:sz w:val="24"/>
          <w:szCs w:val="24"/>
          <w:color w:val="auto"/>
        </w:rPr>
      </w:pPr>
    </w:p>
    <w:p>
      <w:pPr>
        <w:ind w:left="2880"/>
        <w:spacing w:after="0"/>
        <w:tabs>
          <w:tab w:leader="none" w:pos="61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0-23827</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PC CONNECTION, INC.</w:t>
      </w: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84" w:lineRule="exact"/>
        <w:rPr>
          <w:sz w:val="24"/>
          <w:szCs w:val="24"/>
          <w:color w:val="auto"/>
        </w:rPr>
      </w:pPr>
    </w:p>
    <w:tbl>
      <w:tblPr>
        <w:tblLayout w:type="fixed"/>
        <w:tblInd w:w="1100" w:type="dxa"/>
        <w:tblCellMar>
          <w:top w:w="0" w:type="dxa"/>
          <w:left w:w="0" w:type="dxa"/>
          <w:bottom w:w="0" w:type="dxa"/>
          <w:right w:w="0" w:type="dxa"/>
        </w:tblCellMar>
      </w:tblPr>
      <w:tr>
        <w:trPr>
          <w:trHeight w:val="207"/>
        </w:trPr>
        <w:tc>
          <w:tcPr>
            <w:tcW w:w="3160" w:type="dxa"/>
            <w:vAlign w:val="bottom"/>
          </w:tcPr>
          <w:p>
            <w:pPr>
              <w:jc w:val="center"/>
              <w:ind w:right="250"/>
              <w:spacing w:after="0"/>
              <w:rPr>
                <w:sz w:val="20"/>
                <w:szCs w:val="20"/>
                <w:color w:val="auto"/>
              </w:rPr>
            </w:pPr>
            <w:r>
              <w:rPr>
                <w:rFonts w:ascii="Arial" w:cs="Arial" w:eastAsia="Arial" w:hAnsi="Arial"/>
                <w:sz w:val="18"/>
                <w:szCs w:val="18"/>
                <w:b w:val="1"/>
                <w:bCs w:val="1"/>
                <w:color w:val="auto"/>
                <w:w w:val="98"/>
              </w:rPr>
              <w:t>DELAWARE</w:t>
            </w:r>
          </w:p>
        </w:tc>
        <w:tc>
          <w:tcPr>
            <w:tcW w:w="4580" w:type="dxa"/>
            <w:vAlign w:val="bottom"/>
          </w:tcPr>
          <w:p>
            <w:pPr>
              <w:jc w:val="center"/>
              <w:ind w:left="1890"/>
              <w:spacing w:after="0"/>
              <w:rPr>
                <w:sz w:val="20"/>
                <w:szCs w:val="20"/>
                <w:color w:val="auto"/>
              </w:rPr>
            </w:pPr>
            <w:r>
              <w:rPr>
                <w:rFonts w:ascii="Arial" w:cs="Arial" w:eastAsia="Arial" w:hAnsi="Arial"/>
                <w:sz w:val="18"/>
                <w:szCs w:val="18"/>
                <w:b w:val="1"/>
                <w:bCs w:val="1"/>
                <w:color w:val="auto"/>
                <w:w w:val="91"/>
              </w:rPr>
              <w:t>02-0513618</w:t>
            </w:r>
          </w:p>
        </w:tc>
        <w:tc>
          <w:tcPr>
            <w:tcW w:w="0" w:type="dxa"/>
            <w:vAlign w:val="bottom"/>
          </w:tcPr>
          <w:p>
            <w:pPr>
              <w:spacing w:after="0"/>
              <w:rPr>
                <w:sz w:val="1"/>
                <w:szCs w:val="1"/>
                <w:color w:val="auto"/>
              </w:rPr>
            </w:pPr>
          </w:p>
        </w:tc>
      </w:tr>
      <w:tr>
        <w:trPr>
          <w:trHeight w:val="176"/>
        </w:trPr>
        <w:tc>
          <w:tcPr>
            <w:tcW w:w="3160" w:type="dxa"/>
            <w:vAlign w:val="bottom"/>
          </w:tcPr>
          <w:p>
            <w:pPr>
              <w:jc w:val="center"/>
              <w:ind w:right="250"/>
              <w:spacing w:after="0" w:line="176" w:lineRule="exact"/>
              <w:rPr>
                <w:sz w:val="20"/>
                <w:szCs w:val="20"/>
                <w:color w:val="auto"/>
              </w:rPr>
            </w:pPr>
            <w:r>
              <w:rPr>
                <w:rFonts w:ascii="Arial" w:cs="Arial" w:eastAsia="Arial" w:hAnsi="Arial"/>
                <w:sz w:val="18"/>
                <w:szCs w:val="18"/>
                <w:color w:val="auto"/>
                <w:w w:val="93"/>
              </w:rPr>
              <w:t>(State or other jurisdiction of</w:t>
            </w:r>
          </w:p>
        </w:tc>
        <w:tc>
          <w:tcPr>
            <w:tcW w:w="4580" w:type="dxa"/>
            <w:vAlign w:val="bottom"/>
          </w:tcPr>
          <w:p>
            <w:pPr>
              <w:jc w:val="center"/>
              <w:ind w:left="1890"/>
              <w:spacing w:after="0" w:line="176" w:lineRule="exact"/>
              <w:rPr>
                <w:sz w:val="20"/>
                <w:szCs w:val="20"/>
                <w:color w:val="auto"/>
              </w:rPr>
            </w:pPr>
            <w:r>
              <w:rPr>
                <w:rFonts w:ascii="Arial" w:cs="Arial" w:eastAsia="Arial" w:hAnsi="Arial"/>
                <w:sz w:val="18"/>
                <w:szCs w:val="18"/>
                <w:color w:val="auto"/>
                <w:w w:val="93"/>
              </w:rPr>
              <w:t>(I.R.S. Employer Identification No.)</w:t>
            </w:r>
          </w:p>
        </w:tc>
        <w:tc>
          <w:tcPr>
            <w:tcW w:w="0" w:type="dxa"/>
            <w:vAlign w:val="bottom"/>
          </w:tcPr>
          <w:p>
            <w:pPr>
              <w:spacing w:after="0"/>
              <w:rPr>
                <w:sz w:val="1"/>
                <w:szCs w:val="1"/>
                <w:color w:val="auto"/>
              </w:rPr>
            </w:pPr>
          </w:p>
        </w:tc>
      </w:tr>
      <w:tr>
        <w:trPr>
          <w:trHeight w:val="230"/>
        </w:trPr>
        <w:tc>
          <w:tcPr>
            <w:tcW w:w="3160" w:type="dxa"/>
            <w:vAlign w:val="bottom"/>
          </w:tcPr>
          <w:p>
            <w:pPr>
              <w:jc w:val="center"/>
              <w:ind w:right="250"/>
              <w:spacing w:after="0"/>
              <w:rPr>
                <w:sz w:val="20"/>
                <w:szCs w:val="20"/>
                <w:color w:val="auto"/>
              </w:rPr>
            </w:pPr>
            <w:r>
              <w:rPr>
                <w:rFonts w:ascii="Arial" w:cs="Arial" w:eastAsia="Arial" w:hAnsi="Arial"/>
                <w:sz w:val="18"/>
                <w:szCs w:val="18"/>
                <w:color w:val="auto"/>
                <w:w w:val="93"/>
              </w:rPr>
              <w:t>incorporation or organization)</w:t>
            </w:r>
          </w:p>
        </w:tc>
        <w:tc>
          <w:tcPr>
            <w:tcW w:w="4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3160" w:type="dxa"/>
            <w:vAlign w:val="bottom"/>
          </w:tcPr>
          <w:p>
            <w:pPr>
              <w:jc w:val="center"/>
              <w:ind w:right="230"/>
              <w:spacing w:after="0"/>
              <w:rPr>
                <w:sz w:val="20"/>
                <w:szCs w:val="20"/>
                <w:color w:val="auto"/>
              </w:rPr>
            </w:pPr>
            <w:r>
              <w:rPr>
                <w:rFonts w:ascii="Arial" w:cs="Arial" w:eastAsia="Arial" w:hAnsi="Arial"/>
                <w:sz w:val="18"/>
                <w:szCs w:val="18"/>
                <w:b w:val="1"/>
                <w:bCs w:val="1"/>
                <w:color w:val="auto"/>
                <w:w w:val="99"/>
              </w:rPr>
              <w:t>730 MILFORD ROAD,</w:t>
            </w:r>
          </w:p>
        </w:tc>
        <w:tc>
          <w:tcPr>
            <w:tcW w:w="4580" w:type="dxa"/>
            <w:vAlign w:val="bottom"/>
            <w:vMerge w:val="restart"/>
          </w:tcPr>
          <w:p>
            <w:pPr>
              <w:jc w:val="center"/>
              <w:ind w:left="1930"/>
              <w:spacing w:after="0"/>
              <w:rPr>
                <w:sz w:val="20"/>
                <w:szCs w:val="20"/>
                <w:color w:val="auto"/>
              </w:rPr>
            </w:pPr>
            <w:r>
              <w:rPr>
                <w:rFonts w:ascii="Arial" w:cs="Arial" w:eastAsia="Arial" w:hAnsi="Arial"/>
                <w:sz w:val="18"/>
                <w:szCs w:val="18"/>
                <w:b w:val="1"/>
                <w:bCs w:val="1"/>
                <w:color w:val="auto"/>
                <w:w w:val="87"/>
              </w:rPr>
              <w:t>03054</w:t>
            </w:r>
          </w:p>
        </w:tc>
        <w:tc>
          <w:tcPr>
            <w:tcW w:w="0" w:type="dxa"/>
            <w:vAlign w:val="bottom"/>
          </w:tcPr>
          <w:p>
            <w:pPr>
              <w:spacing w:after="0"/>
              <w:rPr>
                <w:sz w:val="1"/>
                <w:szCs w:val="1"/>
                <w:color w:val="auto"/>
              </w:rPr>
            </w:pPr>
          </w:p>
        </w:tc>
      </w:tr>
      <w:tr>
        <w:trPr>
          <w:trHeight w:val="176"/>
        </w:trPr>
        <w:tc>
          <w:tcPr>
            <w:tcW w:w="3160" w:type="dxa"/>
            <w:vAlign w:val="bottom"/>
          </w:tcPr>
          <w:p>
            <w:pPr>
              <w:jc w:val="center"/>
              <w:ind w:right="210"/>
              <w:spacing w:after="0" w:line="176" w:lineRule="exact"/>
              <w:rPr>
                <w:sz w:val="20"/>
                <w:szCs w:val="20"/>
                <w:color w:val="auto"/>
              </w:rPr>
            </w:pPr>
            <w:r>
              <w:rPr>
                <w:rFonts w:ascii="Arial" w:cs="Arial" w:eastAsia="Arial" w:hAnsi="Arial"/>
                <w:sz w:val="18"/>
                <w:szCs w:val="18"/>
                <w:b w:val="1"/>
                <w:bCs w:val="1"/>
                <w:color w:val="auto"/>
              </w:rPr>
              <w:t>MERRIMACK, NEW HAMPSHIRE</w:t>
            </w:r>
          </w:p>
        </w:tc>
        <w:tc>
          <w:tcPr>
            <w:tcW w:w="4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60" w:type="dxa"/>
            <w:vAlign w:val="bottom"/>
          </w:tcPr>
          <w:p>
            <w:pPr>
              <w:jc w:val="center"/>
              <w:ind w:right="210"/>
              <w:spacing w:after="0"/>
              <w:rPr>
                <w:sz w:val="20"/>
                <w:szCs w:val="20"/>
                <w:color w:val="auto"/>
              </w:rPr>
            </w:pPr>
            <w:r>
              <w:rPr>
                <w:rFonts w:ascii="Arial" w:cs="Arial" w:eastAsia="Arial" w:hAnsi="Arial"/>
                <w:sz w:val="18"/>
                <w:szCs w:val="18"/>
                <w:color w:val="auto"/>
                <w:w w:val="92"/>
              </w:rPr>
              <w:t>(Address of principal executive offices)</w:t>
            </w:r>
          </w:p>
        </w:tc>
        <w:tc>
          <w:tcPr>
            <w:tcW w:w="4580" w:type="dxa"/>
            <w:vAlign w:val="bottom"/>
          </w:tcPr>
          <w:p>
            <w:pPr>
              <w:jc w:val="center"/>
              <w:ind w:left="193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r>
        <w:trPr>
          <w:trHeight w:val="284"/>
        </w:trPr>
        <w:tc>
          <w:tcPr>
            <w:tcW w:w="3160" w:type="dxa"/>
            <w:vAlign w:val="bottom"/>
          </w:tcPr>
          <w:p>
            <w:pPr>
              <w:spacing w:after="0"/>
              <w:rPr>
                <w:sz w:val="24"/>
                <w:szCs w:val="24"/>
                <w:color w:val="auto"/>
              </w:rPr>
            </w:pPr>
          </w:p>
        </w:tc>
        <w:tc>
          <w:tcPr>
            <w:tcW w:w="4580" w:type="dxa"/>
            <w:vAlign w:val="bottom"/>
          </w:tcPr>
          <w:p>
            <w:pPr>
              <w:jc w:val="right"/>
              <w:ind w:right="3070"/>
              <w:spacing w:after="0"/>
              <w:rPr>
                <w:sz w:val="20"/>
                <w:szCs w:val="20"/>
                <w:color w:val="auto"/>
              </w:rPr>
            </w:pPr>
            <w:r>
              <w:rPr>
                <w:rFonts w:ascii="Arial" w:cs="Arial" w:eastAsia="Arial" w:hAnsi="Arial"/>
                <w:sz w:val="18"/>
                <w:szCs w:val="18"/>
                <w:b w:val="1"/>
                <w:bCs w:val="1"/>
                <w:color w:val="auto"/>
              </w:rPr>
              <w:t>(603) 683-2000</w:t>
            </w:r>
          </w:p>
        </w:tc>
        <w:tc>
          <w:tcPr>
            <w:tcW w:w="0" w:type="dxa"/>
            <w:vAlign w:val="bottom"/>
          </w:tcPr>
          <w:p>
            <w:pPr>
              <w:spacing w:after="0"/>
              <w:rPr>
                <w:sz w:val="1"/>
                <w:szCs w:val="1"/>
                <w:color w:val="auto"/>
              </w:rPr>
            </w:pPr>
          </w:p>
        </w:tc>
      </w:tr>
    </w:tbl>
    <w:p>
      <w:pPr>
        <w:ind w:left="3220"/>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55880</wp:posOffset>
            </wp:positionV>
            <wp:extent cx="1603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Former name, former address and former fiscal year, if changed since last report: </w:t>
      </w:r>
      <w:r>
        <w:rPr>
          <w:rFonts w:ascii="Arial" w:cs="Arial" w:eastAsia="Arial" w:hAnsi="Arial"/>
          <w:sz w:val="18"/>
          <w:szCs w:val="18"/>
          <w:u w:val="single" w:color="auto"/>
          <w:color w:val="auto"/>
        </w:rPr>
        <w:t>N/A</w:t>
      </w:r>
    </w:p>
    <w:p>
      <w:pPr>
        <w:spacing w:after="0" w:line="77" w:lineRule="exact"/>
        <w:rPr>
          <w:sz w:val="24"/>
          <w:szCs w:val="24"/>
          <w:color w:val="auto"/>
        </w:rPr>
      </w:pPr>
    </w:p>
    <w:p>
      <w:pPr>
        <w:jc w:val="both"/>
        <w:spacing w:after="0" w:line="22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3" w:lineRule="exact"/>
        <w:rPr>
          <w:sz w:val="24"/>
          <w:szCs w:val="24"/>
          <w:color w:val="auto"/>
        </w:rPr>
      </w:pPr>
    </w:p>
    <w:p>
      <w:pPr>
        <w:ind w:left="4380"/>
        <w:spacing w:after="0" w:line="207" w:lineRule="exact"/>
        <w:tabs>
          <w:tab w:leader="none" w:pos="514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ab/>
        <w:t xml:space="preserve">NO </w:t>
      </w:r>
      <w:r>
        <w:rPr>
          <w:rFonts w:ascii="MS PGothic" w:cs="MS PGothic" w:eastAsia="MS PGothic" w:hAnsi="MS PGothic"/>
          <w:sz w:val="18"/>
          <w:szCs w:val="18"/>
          <w:color w:val="auto"/>
          <w:highlight w:val="black"/>
        </w:rPr>
        <w:t>☐</w:t>
      </w:r>
    </w:p>
    <w:p>
      <w:pPr>
        <w:spacing w:after="0" w:line="109" w:lineRule="exact"/>
        <w:rPr>
          <w:sz w:val="24"/>
          <w:szCs w:val="24"/>
          <w:color w:val="auto"/>
        </w:rPr>
      </w:pPr>
    </w:p>
    <w:p>
      <w:pPr>
        <w:jc w:val="both"/>
        <w:ind w:right="200"/>
        <w:spacing w:after="0" w:line="238" w:lineRule="auto"/>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1" w:lineRule="exact"/>
        <w:rPr>
          <w:sz w:val="24"/>
          <w:szCs w:val="24"/>
          <w:color w:val="auto"/>
        </w:rPr>
      </w:pPr>
    </w:p>
    <w:p>
      <w:pPr>
        <w:jc w:val="center"/>
        <w:spacing w:after="0" w:line="207" w:lineRule="exact"/>
        <w:tabs>
          <w:tab w:leader="none" w:pos="16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ab/>
        <w:t xml:space="preserve">NO </w:t>
      </w:r>
      <w:r>
        <w:rPr>
          <w:rFonts w:ascii="MS PGothic" w:cs="MS PGothic" w:eastAsia="MS PGothic" w:hAnsi="MS PGothic"/>
          <w:sz w:val="18"/>
          <w:szCs w:val="18"/>
          <w:color w:val="auto"/>
          <w:highlight w:val="black"/>
        </w:rPr>
        <w:t>☐</w:t>
      </w:r>
    </w:p>
    <w:p>
      <w:pPr>
        <w:spacing w:after="0" w:line="109" w:lineRule="exact"/>
        <w:rPr>
          <w:sz w:val="24"/>
          <w:szCs w:val="24"/>
          <w:color w:val="auto"/>
        </w:rPr>
      </w:pPr>
    </w:p>
    <w:p>
      <w:pPr>
        <w:jc w:val="both"/>
        <w:spacing w:after="0" w:line="22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0060"/>
          </w:cols>
          <w:pgMar w:left="920" w:top="220" w:right="919" w:bottom="1440" w:gutter="0" w:footer="0" w:header="0"/>
        </w:sectPr>
      </w:pPr>
    </w:p>
    <w:p>
      <w:pPr>
        <w:spacing w:after="0" w:line="36" w:lineRule="exact"/>
        <w:rPr>
          <w:sz w:val="24"/>
          <w:szCs w:val="24"/>
          <w:color w:val="auto"/>
        </w:rPr>
      </w:pPr>
    </w:p>
    <w:p>
      <w:pPr>
        <w:ind w:left="216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17" w:lineRule="exact"/>
        <w:rPr>
          <w:sz w:val="24"/>
          <w:szCs w:val="24"/>
          <w:color w:val="auto"/>
        </w:rPr>
      </w:pPr>
    </w:p>
    <w:p>
      <w:pPr>
        <w:ind w:left="216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17" w:lineRule="exact"/>
        <w:rPr>
          <w:sz w:val="24"/>
          <w:szCs w:val="24"/>
          <w:color w:val="auto"/>
        </w:rPr>
      </w:pPr>
    </w:p>
    <w:p>
      <w:pPr>
        <w:ind w:left="2160"/>
        <w:spacing w:after="0"/>
        <w:rPr>
          <w:sz w:val="20"/>
          <w:szCs w:val="20"/>
          <w:color w:val="auto"/>
        </w:rPr>
      </w:pPr>
      <w:r>
        <w:rPr>
          <w:rFonts w:ascii="Arial" w:cs="Arial" w:eastAsia="Arial" w:hAnsi="Arial"/>
          <w:sz w:val="11"/>
          <w:szCs w:val="11"/>
          <w:color w:val="auto"/>
        </w:rPr>
        <w:t>(Do not check if smaller reporting company)</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97" w:lineRule="exact"/>
        <w:rPr>
          <w:sz w:val="24"/>
          <w:szCs w:val="24"/>
          <w:color w:val="auto"/>
        </w:rPr>
      </w:pPr>
    </w:p>
    <w:p>
      <w:pPr>
        <w:sectPr>
          <w:pgSz w:w="11900" w:h="16838" w:orient="portrait"/>
          <w:cols w:equalWidth="0" w:num="2">
            <w:col w:w="5020" w:space="720"/>
            <w:col w:w="4320"/>
          </w:cols>
          <w:pgMar w:left="920" w:top="220" w:right="919" w:bottom="1440" w:gutter="0" w:footer="0" w:header="0"/>
          <w:type w:val="continuous"/>
        </w:sectPr>
      </w:pPr>
    </w:p>
    <w:p>
      <w:pPr>
        <w:spacing w:after="0" w:line="21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5" w:lineRule="exact"/>
        <w:rPr>
          <w:sz w:val="24"/>
          <w:szCs w:val="24"/>
          <w:color w:val="auto"/>
        </w:rPr>
      </w:pPr>
    </w:p>
    <w:p>
      <w:pPr>
        <w:spacing w:after="0"/>
        <w:rPr>
          <w:sz w:val="20"/>
          <w:szCs w:val="20"/>
          <w:color w:val="auto"/>
        </w:rPr>
      </w:pPr>
      <w:r>
        <w:rPr>
          <w:rFonts w:ascii="Arial" w:cs="Arial" w:eastAsia="Arial" w:hAnsi="Arial"/>
          <w:sz w:val="20"/>
          <w:szCs w:val="20"/>
          <w:color w:val="auto"/>
        </w:rPr>
        <w:t>Indicate by check mark whether the registrant is a shell company (as defined in Rule 12b-2 of the Exchange Act).</w:t>
      </w:r>
    </w:p>
    <w:p>
      <w:pPr>
        <w:spacing w:after="0" w:line="37" w:lineRule="exact"/>
        <w:rPr>
          <w:sz w:val="24"/>
          <w:szCs w:val="24"/>
          <w:color w:val="auto"/>
        </w:rPr>
      </w:pPr>
    </w:p>
    <w:p>
      <w:pPr>
        <w:jc w:val="center"/>
        <w:spacing w:after="0" w:line="207" w:lineRule="exact"/>
        <w:tabs>
          <w:tab w:leader="none" w:pos="16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ab/>
        <w:t xml:space="preserve">NO </w:t>
      </w:r>
      <w:r>
        <w:rPr>
          <w:rFonts w:ascii="MS PGothic" w:cs="MS PGothic" w:eastAsia="MS PGothic" w:hAnsi="MS PGothic"/>
          <w:sz w:val="18"/>
          <w:szCs w:val="18"/>
          <w:color w:val="auto"/>
          <w:highlight w:val="black"/>
        </w:rPr>
        <w:t>☑</w:t>
      </w:r>
    </w:p>
    <w:p>
      <w:pPr>
        <w:spacing w:after="0" w:line="107" w:lineRule="exact"/>
        <w:rPr>
          <w:sz w:val="24"/>
          <w:szCs w:val="24"/>
          <w:color w:val="auto"/>
        </w:rPr>
      </w:pPr>
    </w:p>
    <w:p>
      <w:pPr>
        <w:spacing w:after="0"/>
        <w:rPr>
          <w:sz w:val="20"/>
          <w:szCs w:val="20"/>
          <w:color w:val="auto"/>
        </w:rPr>
      </w:pPr>
      <w:r>
        <w:rPr>
          <w:rFonts w:ascii="Arial" w:cs="Arial" w:eastAsia="Arial" w:hAnsi="Arial"/>
          <w:sz w:val="20"/>
          <w:szCs w:val="20"/>
          <w:color w:val="auto"/>
        </w:rPr>
        <w:t>The number of shares outstanding of the issuer’s common stock as of November 3, 2017 was 26,815,634.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165100</wp:posOffset>
            </wp:positionV>
            <wp:extent cx="63887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190500</wp:posOffset>
            </wp:positionV>
            <wp:extent cx="63887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447675</wp:posOffset>
            </wp:positionV>
            <wp:extent cx="638873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220" w:right="919" w:bottom="1440" w:gutter="0" w:footer="0" w:header="0"/>
          <w:type w:val="continuous"/>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ind w:left="840"/>
        <w:spacing w:after="0"/>
        <w:rPr>
          <w:sz w:val="20"/>
          <w:szCs w:val="20"/>
          <w:color w:val="auto"/>
        </w:rPr>
      </w:pPr>
      <w:r>
        <w:rPr>
          <w:rFonts w:ascii="Arial" w:cs="Arial" w:eastAsia="Arial" w:hAnsi="Arial"/>
          <w:sz w:val="18"/>
          <w:szCs w:val="18"/>
          <w:b w:val="1"/>
          <w:bCs w:val="1"/>
          <w:color w:val="auto"/>
        </w:rPr>
        <w:t>PC CONNECTION, INC. AND SUBSIDIARIES</w:t>
      </w:r>
    </w:p>
    <w:p>
      <w:pPr>
        <w:jc w:val="center"/>
        <w:ind w:left="840"/>
        <w:spacing w:after="0"/>
        <w:rPr>
          <w:sz w:val="20"/>
          <w:szCs w:val="20"/>
          <w:color w:val="auto"/>
        </w:rPr>
      </w:pPr>
      <w:r>
        <w:rPr>
          <w:rFonts w:ascii="Arial" w:cs="Arial" w:eastAsia="Arial" w:hAnsi="Arial"/>
          <w:sz w:val="18"/>
          <w:szCs w:val="18"/>
          <w:b w:val="1"/>
          <w:bCs w:val="1"/>
          <w:color w:val="auto"/>
        </w:rPr>
        <w:t>FORM 10-Q</w:t>
      </w:r>
    </w:p>
    <w:p>
      <w:pPr>
        <w:spacing w:after="0" w:line="232"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TABLE OF CONTENTS</w:t>
      </w:r>
    </w:p>
    <w:p>
      <w:pPr>
        <w:spacing w:after="0" w:line="306" w:lineRule="exact"/>
        <w:rPr>
          <w:sz w:val="20"/>
          <w:szCs w:val="20"/>
          <w:color w:val="auto"/>
        </w:rPr>
      </w:pPr>
    </w:p>
    <w:p>
      <w:pPr>
        <w:ind w:left="380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FINANCIAL INFORMATION</w:t>
        </w:r>
      </w:hyperlink>
    </w:p>
    <w:p>
      <w:pPr>
        <w:spacing w:after="0" w:line="324" w:lineRule="exact"/>
        <w:rPr>
          <w:sz w:val="20"/>
          <w:szCs w:val="20"/>
          <w:color w:val="auto"/>
        </w:rPr>
      </w:pPr>
    </w:p>
    <w:p>
      <w:pPr>
        <w:ind w:left="120"/>
        <w:spacing w:after="0"/>
        <w:tabs>
          <w:tab w:leader="none" w:pos="1280" w:val="left"/>
        </w:tabs>
        <w:rPr>
          <w:rFonts w:ascii="Arial" w:cs="Arial" w:eastAsia="Arial" w:hAnsi="Arial"/>
          <w:sz w:val="16"/>
          <w:szCs w:val="16"/>
          <w:u w:val="single" w:color="auto"/>
          <w:color w:val="0000EE"/>
        </w:rPr>
      </w:pPr>
      <w:hyperlink w:anchor="page3">
        <w:r>
          <w:rPr>
            <w:rFonts w:ascii="Arial" w:cs="Arial" w:eastAsia="Arial" w:hAnsi="Arial"/>
            <w:sz w:val="18"/>
            <w:szCs w:val="18"/>
            <w:u w:val="single" w:color="auto"/>
            <w:color w:val="0000EE"/>
          </w:rPr>
          <w:t>ITEM 1</w:t>
        </w:r>
      </w:hyperlink>
      <w:r>
        <w:rPr>
          <w:rFonts w:ascii="Arial" w:cs="Arial" w:eastAsia="Arial" w:hAnsi="Arial"/>
          <w:sz w:val="18"/>
          <w:szCs w:val="18"/>
          <w:color w:val="000000"/>
        </w:rPr>
        <w:t>.</w:t>
      </w:r>
      <w:r>
        <w:rPr>
          <w:rFonts w:ascii="Arial" w:cs="Arial" w:eastAsia="Arial" w:hAnsi="Arial"/>
          <w:sz w:val="18"/>
          <w:szCs w:val="18"/>
          <w:color w:val="0000EE"/>
        </w:rPr>
        <w:tab/>
      </w:r>
      <w:hyperlink w:anchor="page3">
        <w:r>
          <w:rPr>
            <w:rFonts w:ascii="Arial" w:cs="Arial" w:eastAsia="Arial" w:hAnsi="Arial"/>
            <w:sz w:val="16"/>
            <w:szCs w:val="16"/>
            <w:u w:val="single" w:color="auto"/>
            <w:color w:val="0000EE"/>
          </w:rPr>
          <w:t>Unaudited Condensed Consolidated Financial Statements</w:t>
        </w:r>
      </w:hyperlink>
      <w:r>
        <w:rPr>
          <w:rFonts w:ascii="Arial" w:cs="Arial" w:eastAsia="Arial" w:hAnsi="Arial"/>
          <w:sz w:val="16"/>
          <w:szCs w:val="16"/>
          <w:color w:val="000000"/>
        </w:rPr>
        <w:t>:</w:t>
      </w:r>
    </w:p>
    <w:p>
      <w:pPr>
        <w:spacing w:after="0" w:line="144" w:lineRule="exact"/>
        <w:rPr>
          <w:sz w:val="20"/>
          <w:szCs w:val="20"/>
          <w:color w:val="auto"/>
        </w:rPr>
      </w:pPr>
    </w:p>
    <w:p>
      <w:pPr>
        <w:ind w:left="13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Sheets–September 30, 2017 and December 31, 2016</w:t>
        </w:r>
      </w:hyperlink>
    </w:p>
    <w:p>
      <w:pPr>
        <w:spacing w:after="0" w:line="185" w:lineRule="exact"/>
        <w:rPr>
          <w:sz w:val="20"/>
          <w:szCs w:val="20"/>
          <w:color w:val="auto"/>
        </w:rPr>
      </w:pPr>
    </w:p>
    <w:p>
      <w:pPr>
        <w:ind w:left="1300"/>
        <w:spacing w:after="0" w:line="454" w:lineRule="auto"/>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Statements of Income–Three and Nine Months Ended September 30, 2017 and 2016</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Condensed Consolidated Statements of Cash Flows–Nine Months Ended September 30, 2017 and 2016</w:t>
        </w:r>
      </w:hyperlink>
      <w:r>
        <w:rPr>
          <w:rFonts w:ascii="Arial" w:cs="Arial" w:eastAsia="Arial" w:hAnsi="Arial"/>
          <w:sz w:val="18"/>
          <w:szCs w:val="18"/>
          <w:u w:val="single" w:color="auto"/>
          <w:color w:val="0000EE"/>
        </w:rPr>
        <w:t xml:space="preserve"> </w:t>
      </w:r>
      <w:hyperlink w:anchor="page6">
        <w:r>
          <w:rPr>
            <w:rFonts w:ascii="Arial" w:cs="Arial" w:eastAsia="Arial" w:hAnsi="Arial"/>
            <w:sz w:val="18"/>
            <w:szCs w:val="18"/>
            <w:u w:val="single" w:color="auto"/>
            <w:color w:val="0000EE"/>
          </w:rPr>
          <w:t>Notes to Unaudited Condensed Consolidated Financial Statements</w:t>
        </w:r>
      </w:hyperlink>
    </w:p>
    <w:p>
      <w:pPr>
        <w:ind w:left="120"/>
        <w:spacing w:after="0"/>
        <w:tabs>
          <w:tab w:leader="none" w:pos="1280" w:val="left"/>
        </w:tabs>
        <w:rPr>
          <w:rFonts w:ascii="Arial" w:cs="Arial" w:eastAsia="Arial" w:hAnsi="Arial"/>
          <w:sz w:val="16"/>
          <w:szCs w:val="16"/>
          <w:u w:val="single" w:color="auto"/>
          <w:color w:val="0000EE"/>
        </w:rPr>
      </w:pPr>
      <w:hyperlink w:anchor="page13">
        <w:r>
          <w:rPr>
            <w:rFonts w:ascii="Arial" w:cs="Arial" w:eastAsia="Arial" w:hAnsi="Arial"/>
            <w:sz w:val="18"/>
            <w:szCs w:val="18"/>
            <w:u w:val="single" w:color="auto"/>
            <w:color w:val="0000EE"/>
          </w:rPr>
          <w:t>ITEM 2</w:t>
        </w:r>
      </w:hyperlink>
      <w:r>
        <w:rPr>
          <w:rFonts w:ascii="Arial" w:cs="Arial" w:eastAsia="Arial" w:hAnsi="Arial"/>
          <w:sz w:val="18"/>
          <w:szCs w:val="18"/>
          <w:color w:val="000000"/>
        </w:rPr>
        <w:t>.</w:t>
      </w:r>
      <w:r>
        <w:rPr>
          <w:rFonts w:ascii="Arial" w:cs="Arial" w:eastAsia="Arial" w:hAnsi="Arial"/>
          <w:sz w:val="18"/>
          <w:szCs w:val="18"/>
          <w:color w:val="0000EE"/>
        </w:rPr>
        <w:tab/>
      </w:r>
      <w:hyperlink w:anchor="page13">
        <w:r>
          <w:rPr>
            <w:rFonts w:ascii="Arial" w:cs="Arial" w:eastAsia="Arial" w:hAnsi="Arial"/>
            <w:sz w:val="16"/>
            <w:szCs w:val="16"/>
            <w:u w:val="single" w:color="auto"/>
            <w:color w:val="0000EE"/>
          </w:rPr>
          <w:t>Management’s Discussion and Analysis of Financial Condition and Results of Operations</w:t>
        </w:r>
      </w:hyperlink>
      <w:r>
        <w:rPr>
          <w:rFonts w:ascii="Arial" w:cs="Arial" w:eastAsia="Arial" w:hAnsi="Arial"/>
          <w:sz w:val="16"/>
          <w:szCs w:val="16"/>
          <w:color w:val="000000"/>
        </w:rPr>
        <w:t>.</w:t>
      </w:r>
    </w:p>
    <w:p>
      <w:pPr>
        <w:spacing w:after="0" w:line="185" w:lineRule="exact"/>
        <w:rPr>
          <w:sz w:val="20"/>
          <w:szCs w:val="20"/>
          <w:color w:val="auto"/>
        </w:rPr>
      </w:pPr>
    </w:p>
    <w:p>
      <w:pPr>
        <w:ind w:left="120"/>
        <w:spacing w:after="0"/>
        <w:tabs>
          <w:tab w:leader="none" w:pos="1280" w:val="left"/>
        </w:tabs>
        <w:rPr>
          <w:rFonts w:ascii="Arial" w:cs="Arial" w:eastAsia="Arial" w:hAnsi="Arial"/>
          <w:sz w:val="16"/>
          <w:szCs w:val="16"/>
          <w:u w:val="single" w:color="auto"/>
          <w:color w:val="0000EE"/>
        </w:rPr>
      </w:pPr>
      <w:hyperlink w:anchor="page23">
        <w:r>
          <w:rPr>
            <w:rFonts w:ascii="Arial" w:cs="Arial" w:eastAsia="Arial" w:hAnsi="Arial"/>
            <w:sz w:val="18"/>
            <w:szCs w:val="18"/>
            <w:u w:val="single" w:color="auto"/>
            <w:color w:val="0000EE"/>
          </w:rPr>
          <w:t>ITEM 3</w:t>
        </w:r>
      </w:hyperlink>
      <w:r>
        <w:rPr>
          <w:rFonts w:ascii="Arial" w:cs="Arial" w:eastAsia="Arial" w:hAnsi="Arial"/>
          <w:sz w:val="18"/>
          <w:szCs w:val="18"/>
          <w:color w:val="000000"/>
        </w:rPr>
        <w:t>.</w:t>
      </w:r>
      <w:r>
        <w:rPr>
          <w:rFonts w:ascii="Arial" w:cs="Arial" w:eastAsia="Arial" w:hAnsi="Arial"/>
          <w:sz w:val="18"/>
          <w:szCs w:val="18"/>
          <w:color w:val="0000EE"/>
        </w:rPr>
        <w:tab/>
      </w:r>
      <w:hyperlink w:anchor="page23">
        <w:r>
          <w:rPr>
            <w:rFonts w:ascii="Arial" w:cs="Arial" w:eastAsia="Arial" w:hAnsi="Arial"/>
            <w:sz w:val="16"/>
            <w:szCs w:val="16"/>
            <w:u w:val="single" w:color="auto"/>
            <w:color w:val="0000EE"/>
          </w:rPr>
          <w:t>Quantitative and Qualitative Disclosures About Market Risk</w:t>
        </w:r>
      </w:hyperlink>
    </w:p>
    <w:p>
      <w:pPr>
        <w:spacing w:after="0" w:line="185" w:lineRule="exact"/>
        <w:rPr>
          <w:sz w:val="20"/>
          <w:szCs w:val="20"/>
          <w:color w:val="auto"/>
        </w:rPr>
      </w:pPr>
    </w:p>
    <w:p>
      <w:pPr>
        <w:ind w:left="120"/>
        <w:spacing w:after="0"/>
        <w:tabs>
          <w:tab w:leader="none" w:pos="1280" w:val="left"/>
        </w:tabs>
        <w:rPr>
          <w:rFonts w:ascii="Arial" w:cs="Arial" w:eastAsia="Arial" w:hAnsi="Arial"/>
          <w:sz w:val="16"/>
          <w:szCs w:val="16"/>
          <w:u w:val="single" w:color="auto"/>
          <w:color w:val="0000EE"/>
        </w:rPr>
      </w:pPr>
      <w:hyperlink w:anchor="page24">
        <w:r>
          <w:rPr>
            <w:rFonts w:ascii="Arial" w:cs="Arial" w:eastAsia="Arial" w:hAnsi="Arial"/>
            <w:sz w:val="18"/>
            <w:szCs w:val="18"/>
            <w:u w:val="single" w:color="auto"/>
            <w:color w:val="0000EE"/>
          </w:rPr>
          <w:t>ITEM 4</w:t>
        </w:r>
      </w:hyperlink>
      <w:r>
        <w:rPr>
          <w:rFonts w:ascii="Arial" w:cs="Arial" w:eastAsia="Arial" w:hAnsi="Arial"/>
          <w:sz w:val="18"/>
          <w:szCs w:val="18"/>
          <w:color w:val="000000"/>
        </w:rPr>
        <w:t>.</w:t>
      </w:r>
      <w:r>
        <w:rPr>
          <w:rFonts w:ascii="Arial" w:cs="Arial" w:eastAsia="Arial" w:hAnsi="Arial"/>
          <w:sz w:val="18"/>
          <w:szCs w:val="18"/>
          <w:color w:val="0000EE"/>
        </w:rPr>
        <w:tab/>
      </w:r>
      <w:hyperlink w:anchor="page24">
        <w:r>
          <w:rPr>
            <w:rFonts w:ascii="Arial" w:cs="Arial" w:eastAsia="Arial" w:hAnsi="Arial"/>
            <w:sz w:val="16"/>
            <w:szCs w:val="16"/>
            <w:u w:val="single" w:color="auto"/>
            <w:color w:val="0000EE"/>
          </w:rPr>
          <w:t>Controls and Procedures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920"/>
        <w:spacing w:after="0"/>
        <w:rPr>
          <w:rFonts w:ascii="Arial" w:cs="Arial" w:eastAsia="Arial" w:hAnsi="Arial"/>
          <w:sz w:val="18"/>
          <w:szCs w:val="18"/>
          <w:b w:val="1"/>
          <w:bCs w:val="1"/>
          <w:u w:val="single" w:color="auto"/>
          <w:color w:val="0000EE"/>
        </w:rPr>
      </w:pPr>
      <w:hyperlink w:anchor="page25">
        <w:r>
          <w:rPr>
            <w:rFonts w:ascii="Arial" w:cs="Arial" w:eastAsia="Arial" w:hAnsi="Arial"/>
            <w:sz w:val="18"/>
            <w:szCs w:val="18"/>
            <w:b w:val="1"/>
            <w:bCs w:val="1"/>
            <w:u w:val="single" w:color="auto"/>
            <w:color w:val="0000EE"/>
          </w:rPr>
          <w:t>PART II OTHER INFORMATION</w:t>
        </w:r>
      </w:hyperlink>
    </w:p>
    <w:p>
      <w:pPr>
        <w:spacing w:after="0" w:line="131"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160" w:type="dxa"/>
            <w:vAlign w:val="bottom"/>
            <w:gridSpan w:val="3"/>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1A</w:t>
              </w:r>
            </w:hyperlink>
            <w:r>
              <w:rPr>
                <w:rFonts w:ascii="Arial" w:cs="Arial" w:eastAsia="Arial" w:hAnsi="Arial"/>
                <w:sz w:val="18"/>
                <w:szCs w:val="18"/>
                <w:color w:val="000000"/>
              </w:rPr>
              <w:t>.</w:t>
            </w:r>
          </w:p>
        </w:tc>
        <w:tc>
          <w:tcPr>
            <w:tcW w:w="920" w:type="dxa"/>
            <w:vAlign w:val="bottom"/>
            <w:gridSpan w:val="3"/>
          </w:tcPr>
          <w:p>
            <w:pPr>
              <w:ind w:left="20"/>
              <w:spacing w:after="0"/>
              <w:rPr>
                <w:rFonts w:ascii="Arial" w:cs="Arial" w:eastAsia="Arial" w:hAnsi="Arial"/>
                <w:sz w:val="18"/>
                <w:szCs w:val="18"/>
                <w:color w:val="0000EE"/>
                <w:w w:val="87"/>
              </w:rPr>
            </w:pPr>
            <w:hyperlink w:anchor="page25">
              <w:r>
                <w:rPr>
                  <w:rFonts w:ascii="Arial" w:cs="Arial" w:eastAsia="Arial" w:hAnsi="Arial"/>
                  <w:sz w:val="18"/>
                  <w:szCs w:val="18"/>
                  <w:color w:val="0000EE"/>
                  <w:w w:val="87"/>
                </w:rPr>
                <w:t>Risk Factors</w:t>
              </w:r>
            </w:hyperlink>
          </w:p>
        </w:tc>
      </w:tr>
      <w:tr>
        <w:trPr>
          <w:trHeight w:val="372"/>
        </w:trPr>
        <w:tc>
          <w:tcPr>
            <w:tcW w:w="700" w:type="dxa"/>
            <w:vAlign w:val="bottom"/>
            <w:tcBorders>
              <w:top w:val="single" w:sz="8" w:color="0000EE"/>
            </w:tcBorders>
            <w:gridSpan w:val="2"/>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6</w:t>
              </w:r>
            </w:hyperlink>
            <w:r>
              <w:rPr>
                <w:rFonts w:ascii="Arial" w:cs="Arial" w:eastAsia="Arial" w:hAnsi="Arial"/>
                <w:sz w:val="18"/>
                <w:szCs w:val="18"/>
                <w:color w:val="000000"/>
              </w:rPr>
              <w: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Borders>
              <w:top w:val="single" w:sz="8" w:color="0000EE"/>
            </w:tcBorders>
            <w:gridSpan w:val="2"/>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Exhibits</w:t>
              </w:r>
            </w:hyperlink>
          </w:p>
        </w:tc>
      </w:tr>
      <w:tr>
        <w:trPr>
          <w:trHeight w:val="20"/>
        </w:trPr>
        <w:tc>
          <w:tcPr>
            <w:tcW w:w="58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72"/>
        </w:trPr>
        <w:tc>
          <w:tcPr>
            <w:tcW w:w="1160" w:type="dxa"/>
            <w:vAlign w:val="bottom"/>
            <w:tcBorders>
              <w:bottom w:val="single" w:sz="8" w:color="0000EE"/>
            </w:tcBorders>
            <w:gridSpan w:val="3"/>
          </w:tcPr>
          <w:p>
            <w:pPr>
              <w:spacing w:after="0"/>
              <w:rPr>
                <w:rFonts w:ascii="Arial" w:cs="Arial" w:eastAsia="Arial" w:hAnsi="Arial"/>
                <w:sz w:val="18"/>
                <w:szCs w:val="18"/>
                <w:b w:val="1"/>
                <w:bCs w:val="1"/>
                <w:color w:val="0000EE"/>
                <w:w w:val="96"/>
              </w:rPr>
            </w:pPr>
            <w:hyperlink w:anchor="page26">
              <w:r>
                <w:rPr>
                  <w:rFonts w:ascii="Arial" w:cs="Arial" w:eastAsia="Arial" w:hAnsi="Arial"/>
                  <w:sz w:val="18"/>
                  <w:szCs w:val="18"/>
                  <w:b w:val="1"/>
                  <w:bCs w:val="1"/>
                  <w:color w:val="0000EE"/>
                  <w:w w:val="96"/>
                </w:rPr>
                <w:t>SIGNATURES</w:t>
              </w:r>
            </w:hyperlink>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514350</wp:posOffset>
            </wp:positionV>
            <wp:extent cx="638873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Page</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23</w:t>
      </w:r>
    </w:p>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23</w:t>
      </w:r>
    </w:p>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24</w:t>
      </w:r>
    </w:p>
    <w:p>
      <w:pPr>
        <w:sectPr>
          <w:pgSz w:w="11900" w:h="16838" w:orient="portrait"/>
          <w:cols w:equalWidth="0" w:num="2">
            <w:col w:w="9220" w:space="300"/>
            <w:col w:w="540"/>
          </w:cols>
          <w:pgMar w:left="920" w:top="111" w:right="9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PC CONNECTION, INC. AND SUBSIDIARIES</w:t>
      </w:r>
    </w:p>
    <w:p>
      <w:pPr>
        <w:jc w:val="center"/>
        <w:spacing w:after="0" w:line="203" w:lineRule="auto"/>
        <w:rPr>
          <w:sz w:val="20"/>
          <w:szCs w:val="20"/>
          <w:color w:val="auto"/>
        </w:rPr>
      </w:pPr>
      <w:r>
        <w:rPr>
          <w:rFonts w:ascii="Arial" w:cs="Arial" w:eastAsia="Arial" w:hAnsi="Arial"/>
          <w:sz w:val="18"/>
          <w:szCs w:val="18"/>
          <w:b w:val="1"/>
          <w:bCs w:val="1"/>
          <w:color w:val="auto"/>
        </w:rPr>
        <w:t>PART I - FINANCIAL INFORMATION</w:t>
      </w:r>
    </w:p>
    <w:p>
      <w:pPr>
        <w:jc w:val="center"/>
        <w:spacing w:after="0" w:line="204" w:lineRule="auto"/>
        <w:rPr>
          <w:sz w:val="20"/>
          <w:szCs w:val="20"/>
          <w:color w:val="auto"/>
        </w:rPr>
      </w:pPr>
      <w:r>
        <w:rPr>
          <w:rFonts w:ascii="Arial" w:cs="Arial" w:eastAsia="Arial" w:hAnsi="Arial"/>
          <w:sz w:val="18"/>
          <w:szCs w:val="18"/>
          <w:b w:val="1"/>
          <w:bCs w:val="1"/>
          <w:color w:val="auto"/>
        </w:rPr>
        <w:t>Item 1 - Financial Statements</w:t>
      </w:r>
    </w:p>
    <w:p>
      <w:pPr>
        <w:jc w:val="center"/>
        <w:ind w:right="80"/>
        <w:spacing w:after="0" w:line="203" w:lineRule="auto"/>
        <w:rPr>
          <w:sz w:val="20"/>
          <w:szCs w:val="20"/>
          <w:color w:val="auto"/>
        </w:rPr>
      </w:pPr>
      <w:r>
        <w:rPr>
          <w:rFonts w:ascii="Arial" w:cs="Arial" w:eastAsia="Arial" w:hAnsi="Arial"/>
          <w:sz w:val="18"/>
          <w:szCs w:val="18"/>
          <w:b w:val="1"/>
          <w:bCs w:val="1"/>
          <w:color w:val="auto"/>
        </w:rPr>
        <w:t>CONDENSED CONSOLIDATED BALANCE SHEETS</w:t>
      </w:r>
    </w:p>
    <w:p>
      <w:pPr>
        <w:jc w:val="center"/>
        <w:spacing w:after="0" w:line="204" w:lineRule="auto"/>
        <w:rPr>
          <w:sz w:val="20"/>
          <w:szCs w:val="20"/>
          <w:color w:val="auto"/>
        </w:rPr>
      </w:pPr>
      <w:r>
        <w:rPr>
          <w:rFonts w:ascii="Arial" w:cs="Arial" w:eastAsia="Arial" w:hAnsi="Arial"/>
          <w:sz w:val="18"/>
          <w:szCs w:val="18"/>
          <w:b w:val="1"/>
          <w:bCs w:val="1"/>
          <w:color w:val="auto"/>
        </w:rPr>
        <w:t>(Unaudited)</w:t>
      </w:r>
    </w:p>
    <w:p>
      <w:pPr>
        <w:jc w:val="center"/>
        <w:spacing w:after="0"/>
        <w:rPr>
          <w:sz w:val="20"/>
          <w:szCs w:val="20"/>
          <w:color w:val="auto"/>
        </w:rPr>
      </w:pPr>
      <w:r>
        <w:rPr>
          <w:rFonts w:ascii="Arial" w:cs="Arial" w:eastAsia="Arial" w:hAnsi="Arial"/>
          <w:sz w:val="18"/>
          <w:szCs w:val="18"/>
          <w:b w:val="1"/>
          <w:bCs w:val="1"/>
          <w:i w:val="1"/>
          <w:iCs w:val="1"/>
          <w:color w:val="auto"/>
        </w:rPr>
        <w:t>(amounts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29"/>
        </w:trPr>
        <w:tc>
          <w:tcPr>
            <w:tcW w:w="6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31"/>
              <w:spacing w:after="0" w:line="129"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31"/>
              <w:spacing w:after="0" w:line="129"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1"/>
                <w:szCs w:val="11"/>
                <w:color w:val="auto"/>
              </w:rPr>
            </w:pPr>
          </w:p>
        </w:tc>
      </w:tr>
      <w:tr>
        <w:trPr>
          <w:trHeight w:val="345"/>
        </w:trPr>
        <w:tc>
          <w:tcPr>
            <w:tcW w:w="6840" w:type="dxa"/>
            <w:vAlign w:val="bottom"/>
          </w:tcPr>
          <w:p>
            <w:pPr>
              <w:ind w:left="3480"/>
              <w:spacing w:after="0"/>
              <w:rPr>
                <w:sz w:val="20"/>
                <w:szCs w:val="20"/>
                <w:color w:val="auto"/>
              </w:rPr>
            </w:pPr>
            <w:r>
              <w:rPr>
                <w:rFonts w:ascii="Arial" w:cs="Arial" w:eastAsia="Arial" w:hAnsi="Arial"/>
                <w:sz w:val="18"/>
                <w:szCs w:val="18"/>
                <w:b w:val="1"/>
                <w:bCs w:val="1"/>
                <w:color w:val="auto"/>
              </w:rPr>
              <w:t>ASSETS</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6"/>
        </w:trPr>
        <w:tc>
          <w:tcPr>
            <w:tcW w:w="6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Current Assets:</w:t>
            </w: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76"/>
        </w:trPr>
        <w:tc>
          <w:tcPr>
            <w:tcW w:w="6840" w:type="dxa"/>
            <w:vAlign w:val="bottom"/>
          </w:tcPr>
          <w:p>
            <w:pPr>
              <w:ind w:left="220"/>
              <w:spacing w:after="0" w:line="176" w:lineRule="exact"/>
              <w:rPr>
                <w:sz w:val="20"/>
                <w:szCs w:val="20"/>
                <w:color w:val="auto"/>
              </w:rPr>
            </w:pPr>
            <w:r>
              <w:rPr>
                <w:rFonts w:ascii="Arial" w:cs="Arial" w:eastAsia="Arial" w:hAnsi="Arial"/>
                <w:sz w:val="18"/>
                <w:szCs w:val="18"/>
                <w:color w:val="auto"/>
              </w:rPr>
              <w:t>Cash and cash equivalents</w:t>
            </w:r>
          </w:p>
        </w:tc>
        <w:tc>
          <w:tcPr>
            <w:tcW w:w="1260" w:type="dxa"/>
            <w:vAlign w:val="bottom"/>
            <w:gridSpan w:val="2"/>
          </w:tcPr>
          <w:p>
            <w:pPr>
              <w:ind w:left="1060"/>
              <w:spacing w:after="0" w:line="176"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62,338</w:t>
            </w:r>
          </w:p>
        </w:tc>
        <w:tc>
          <w:tcPr>
            <w:tcW w:w="160" w:type="dxa"/>
            <w:vAlign w:val="bottom"/>
          </w:tcPr>
          <w:p>
            <w:pPr>
              <w:spacing w:after="0"/>
              <w:rPr>
                <w:sz w:val="15"/>
                <w:szCs w:val="15"/>
                <w:color w:val="auto"/>
              </w:rPr>
            </w:pPr>
          </w:p>
        </w:tc>
        <w:tc>
          <w:tcPr>
            <w:tcW w:w="200" w:type="dxa"/>
            <w:vAlign w:val="bottom"/>
            <w:gridSpan w:val="2"/>
          </w:tcPr>
          <w:p>
            <w:pPr>
              <w:jc w:val="right"/>
              <w:ind w:right="6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49,180</w:t>
            </w:r>
          </w:p>
        </w:tc>
        <w:tc>
          <w:tcPr>
            <w:tcW w:w="120" w:type="dxa"/>
            <w:vAlign w:val="bottom"/>
          </w:tcPr>
          <w:p>
            <w:pPr>
              <w:spacing w:after="0"/>
              <w:rPr>
                <w:sz w:val="15"/>
                <w:szCs w:val="15"/>
                <w:color w:val="auto"/>
              </w:rPr>
            </w:pPr>
          </w:p>
        </w:tc>
      </w:tr>
      <w:tr>
        <w:trPr>
          <w:trHeight w:val="176"/>
        </w:trPr>
        <w:tc>
          <w:tcPr>
            <w:tcW w:w="68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Accounts receivable, net</w:t>
            </w: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382,666</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411,883</w:t>
            </w:r>
          </w:p>
        </w:tc>
        <w:tc>
          <w:tcPr>
            <w:tcW w:w="120" w:type="dxa"/>
            <w:vAlign w:val="bottom"/>
            <w:shd w:val="clear" w:color="auto" w:fill="CCEEFF"/>
          </w:tcPr>
          <w:p>
            <w:pPr>
              <w:spacing w:after="0"/>
              <w:rPr>
                <w:sz w:val="15"/>
                <w:szCs w:val="15"/>
                <w:color w:val="auto"/>
              </w:rPr>
            </w:pPr>
          </w:p>
        </w:tc>
      </w:tr>
      <w:tr>
        <w:trPr>
          <w:trHeight w:val="176"/>
        </w:trPr>
        <w:tc>
          <w:tcPr>
            <w:tcW w:w="6840" w:type="dxa"/>
            <w:vAlign w:val="bottom"/>
          </w:tcPr>
          <w:p>
            <w:pPr>
              <w:ind w:left="220"/>
              <w:spacing w:after="0" w:line="176" w:lineRule="exact"/>
              <w:rPr>
                <w:sz w:val="20"/>
                <w:szCs w:val="20"/>
                <w:color w:val="auto"/>
              </w:rPr>
            </w:pPr>
            <w:r>
              <w:rPr>
                <w:rFonts w:ascii="Arial" w:cs="Arial" w:eastAsia="Arial" w:hAnsi="Arial"/>
                <w:sz w:val="18"/>
                <w:szCs w:val="18"/>
                <w:color w:val="auto"/>
              </w:rPr>
              <w:t>Inventories</w:t>
            </w: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106,724</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90,535</w:t>
            </w:r>
          </w:p>
        </w:tc>
        <w:tc>
          <w:tcPr>
            <w:tcW w:w="120" w:type="dxa"/>
            <w:vAlign w:val="bottom"/>
          </w:tcPr>
          <w:p>
            <w:pPr>
              <w:spacing w:after="0"/>
              <w:rPr>
                <w:sz w:val="15"/>
                <w:szCs w:val="15"/>
                <w:color w:val="auto"/>
              </w:rPr>
            </w:pPr>
          </w:p>
        </w:tc>
      </w:tr>
      <w:tr>
        <w:trPr>
          <w:trHeight w:val="176"/>
        </w:trPr>
        <w:tc>
          <w:tcPr>
            <w:tcW w:w="68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Prepaid expenses and other current assets</w:t>
            </w: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5,185</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5,453</w:t>
            </w:r>
          </w:p>
        </w:tc>
        <w:tc>
          <w:tcPr>
            <w:tcW w:w="120" w:type="dxa"/>
            <w:vAlign w:val="bottom"/>
            <w:shd w:val="clear" w:color="auto" w:fill="CCEEFF"/>
          </w:tcPr>
          <w:p>
            <w:pPr>
              <w:spacing w:after="0"/>
              <w:rPr>
                <w:sz w:val="15"/>
                <w:szCs w:val="15"/>
                <w:color w:val="auto"/>
              </w:rPr>
            </w:pPr>
          </w:p>
        </w:tc>
      </w:tr>
      <w:tr>
        <w:trPr>
          <w:trHeight w:val="176"/>
        </w:trPr>
        <w:tc>
          <w:tcPr>
            <w:tcW w:w="684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Income taxes receivable</w:t>
            </w:r>
          </w:p>
        </w:tc>
        <w:tc>
          <w:tcPr>
            <w:tcW w:w="10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4,579</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2,120</w:t>
            </w:r>
          </w:p>
        </w:tc>
        <w:tc>
          <w:tcPr>
            <w:tcW w:w="120" w:type="dxa"/>
            <w:vAlign w:val="bottom"/>
            <w:tcBorders>
              <w:bottom w:val="single" w:sz="8" w:color="CCEEFF"/>
            </w:tcBorders>
          </w:tcPr>
          <w:p>
            <w:pPr>
              <w:spacing w:after="0"/>
              <w:rPr>
                <w:sz w:val="15"/>
                <w:szCs w:val="15"/>
                <w:color w:val="auto"/>
              </w:rPr>
            </w:pPr>
          </w:p>
        </w:tc>
      </w:tr>
      <w:tr>
        <w:trPr>
          <w:trHeight w:val="169"/>
        </w:trPr>
        <w:tc>
          <w:tcPr>
            <w:tcW w:w="6840" w:type="dxa"/>
            <w:vAlign w:val="bottom"/>
            <w:shd w:val="clear" w:color="auto" w:fill="CCEEFF"/>
          </w:tcPr>
          <w:p>
            <w:pPr>
              <w:ind w:left="320"/>
              <w:spacing w:after="0" w:line="170" w:lineRule="exact"/>
              <w:rPr>
                <w:sz w:val="20"/>
                <w:szCs w:val="20"/>
                <w:color w:val="auto"/>
              </w:rPr>
            </w:pPr>
            <w:r>
              <w:rPr>
                <w:rFonts w:ascii="Arial" w:cs="Arial" w:eastAsia="Arial" w:hAnsi="Arial"/>
                <w:sz w:val="18"/>
                <w:szCs w:val="18"/>
                <w:color w:val="auto"/>
              </w:rPr>
              <w:t>Total current assets</w:t>
            </w:r>
          </w:p>
        </w:tc>
        <w:tc>
          <w:tcPr>
            <w:tcW w:w="1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561,492</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559,171</w:t>
            </w:r>
          </w:p>
        </w:tc>
        <w:tc>
          <w:tcPr>
            <w:tcW w:w="120" w:type="dxa"/>
            <w:vAlign w:val="bottom"/>
            <w:shd w:val="clear" w:color="auto" w:fill="CCEEFF"/>
          </w:tcPr>
          <w:p>
            <w:pPr>
              <w:spacing w:after="0"/>
              <w:rPr>
                <w:sz w:val="14"/>
                <w:szCs w:val="14"/>
                <w:color w:val="auto"/>
              </w:rPr>
            </w:pPr>
          </w:p>
        </w:tc>
      </w:tr>
      <w:tr>
        <w:trPr>
          <w:trHeight w:val="176"/>
        </w:trPr>
        <w:tc>
          <w:tcPr>
            <w:tcW w:w="6840" w:type="dxa"/>
            <w:vAlign w:val="bottom"/>
          </w:tcPr>
          <w:p>
            <w:pPr>
              <w:spacing w:after="0" w:line="176" w:lineRule="exact"/>
              <w:rPr>
                <w:sz w:val="20"/>
                <w:szCs w:val="20"/>
                <w:color w:val="auto"/>
              </w:rPr>
            </w:pPr>
            <w:r>
              <w:rPr>
                <w:rFonts w:ascii="Arial" w:cs="Arial" w:eastAsia="Arial" w:hAnsi="Arial"/>
                <w:sz w:val="18"/>
                <w:szCs w:val="18"/>
                <w:color w:val="auto"/>
              </w:rPr>
              <w:t>Property and equipment, net</w:t>
            </w: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40,077</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39,402</w:t>
            </w:r>
          </w:p>
        </w:tc>
        <w:tc>
          <w:tcPr>
            <w:tcW w:w="120" w:type="dxa"/>
            <w:vAlign w:val="bottom"/>
          </w:tcPr>
          <w:p>
            <w:pPr>
              <w:spacing w:after="0"/>
              <w:rPr>
                <w:sz w:val="15"/>
                <w:szCs w:val="15"/>
                <w:color w:val="auto"/>
              </w:rPr>
            </w:pPr>
          </w:p>
        </w:tc>
      </w:tr>
      <w:tr>
        <w:trPr>
          <w:trHeight w:val="176"/>
        </w:trPr>
        <w:tc>
          <w:tcPr>
            <w:tcW w:w="6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Goodwill</w:t>
            </w: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73,602</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73,602</w:t>
            </w:r>
          </w:p>
        </w:tc>
        <w:tc>
          <w:tcPr>
            <w:tcW w:w="120" w:type="dxa"/>
            <w:vAlign w:val="bottom"/>
            <w:shd w:val="clear" w:color="auto" w:fill="CCEEFF"/>
          </w:tcPr>
          <w:p>
            <w:pPr>
              <w:spacing w:after="0"/>
              <w:rPr>
                <w:sz w:val="15"/>
                <w:szCs w:val="15"/>
                <w:color w:val="auto"/>
              </w:rPr>
            </w:pPr>
          </w:p>
        </w:tc>
      </w:tr>
      <w:tr>
        <w:trPr>
          <w:trHeight w:val="176"/>
        </w:trPr>
        <w:tc>
          <w:tcPr>
            <w:tcW w:w="6840" w:type="dxa"/>
            <w:vAlign w:val="bottom"/>
          </w:tcPr>
          <w:p>
            <w:pPr>
              <w:spacing w:after="0" w:line="176" w:lineRule="exact"/>
              <w:rPr>
                <w:sz w:val="20"/>
                <w:szCs w:val="20"/>
                <w:color w:val="auto"/>
              </w:rPr>
            </w:pPr>
            <w:r>
              <w:rPr>
                <w:rFonts w:ascii="Arial" w:cs="Arial" w:eastAsia="Arial" w:hAnsi="Arial"/>
                <w:sz w:val="18"/>
                <w:szCs w:val="18"/>
                <w:color w:val="auto"/>
              </w:rPr>
              <w:t>Other intangibles, net</w:t>
            </w: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11,393</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12,586</w:t>
            </w:r>
          </w:p>
        </w:tc>
        <w:tc>
          <w:tcPr>
            <w:tcW w:w="120" w:type="dxa"/>
            <w:vAlign w:val="bottom"/>
          </w:tcPr>
          <w:p>
            <w:pPr>
              <w:spacing w:after="0"/>
              <w:rPr>
                <w:sz w:val="15"/>
                <w:szCs w:val="15"/>
                <w:color w:val="auto"/>
              </w:rPr>
            </w:pPr>
          </w:p>
        </w:tc>
      </w:tr>
      <w:tr>
        <w:trPr>
          <w:trHeight w:val="176"/>
        </w:trPr>
        <w:tc>
          <w:tcPr>
            <w:tcW w:w="6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Other assets</w:t>
            </w:r>
          </w:p>
        </w:tc>
        <w:tc>
          <w:tcPr>
            <w:tcW w:w="106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5,318</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1,373</w:t>
            </w:r>
          </w:p>
        </w:tc>
        <w:tc>
          <w:tcPr>
            <w:tcW w:w="120" w:type="dxa"/>
            <w:vAlign w:val="bottom"/>
            <w:shd w:val="clear" w:color="auto" w:fill="CCEEFF"/>
          </w:tcPr>
          <w:p>
            <w:pPr>
              <w:spacing w:after="0"/>
              <w:rPr>
                <w:sz w:val="15"/>
                <w:szCs w:val="15"/>
                <w:color w:val="auto"/>
              </w:rPr>
            </w:pPr>
          </w:p>
        </w:tc>
      </w:tr>
      <w:tr>
        <w:trPr>
          <w:trHeight w:val="176"/>
        </w:trPr>
        <w:tc>
          <w:tcPr>
            <w:tcW w:w="6840" w:type="dxa"/>
            <w:vAlign w:val="bottom"/>
            <w:tcBorders>
              <w:bottom w:val="single" w:sz="8" w:color="CCEEFF"/>
            </w:tcBorders>
          </w:tcPr>
          <w:p>
            <w:pPr>
              <w:ind w:left="320"/>
              <w:spacing w:after="0" w:line="170" w:lineRule="exact"/>
              <w:rPr>
                <w:sz w:val="20"/>
                <w:szCs w:val="20"/>
                <w:color w:val="auto"/>
              </w:rPr>
            </w:pPr>
            <w:r>
              <w:rPr>
                <w:rFonts w:ascii="Arial" w:cs="Arial" w:eastAsia="Arial" w:hAnsi="Arial"/>
                <w:sz w:val="18"/>
                <w:szCs w:val="18"/>
                <w:color w:val="auto"/>
              </w:rPr>
              <w:t>Total Assets</w:t>
            </w:r>
          </w:p>
        </w:tc>
        <w:tc>
          <w:tcPr>
            <w:tcW w:w="10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691,882</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63"/>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686,134</w:t>
            </w:r>
          </w:p>
        </w:tc>
        <w:tc>
          <w:tcPr>
            <w:tcW w:w="120" w:type="dxa"/>
            <w:vAlign w:val="bottom"/>
            <w:tcBorders>
              <w:bottom w:val="single" w:sz="8" w:color="CCEEFF"/>
            </w:tcBorders>
          </w:tcPr>
          <w:p>
            <w:pPr>
              <w:spacing w:after="0"/>
              <w:rPr>
                <w:sz w:val="15"/>
                <w:szCs w:val="15"/>
                <w:color w:val="auto"/>
              </w:rPr>
            </w:pPr>
          </w:p>
        </w:tc>
      </w:tr>
      <w:tr>
        <w:trPr>
          <w:trHeight w:val="176"/>
        </w:trPr>
        <w:tc>
          <w:tcPr>
            <w:tcW w:w="6840" w:type="dxa"/>
            <w:vAlign w:val="bottom"/>
            <w:shd w:val="clear" w:color="auto" w:fill="CCEEFF"/>
          </w:tcPr>
          <w:p>
            <w:pPr>
              <w:ind w:left="1860"/>
              <w:spacing w:after="0" w:line="176" w:lineRule="exact"/>
              <w:rPr>
                <w:sz w:val="20"/>
                <w:szCs w:val="20"/>
                <w:color w:val="auto"/>
              </w:rPr>
            </w:pPr>
            <w:r>
              <w:rPr>
                <w:rFonts w:ascii="Arial" w:cs="Arial" w:eastAsia="Arial" w:hAnsi="Arial"/>
                <w:sz w:val="18"/>
                <w:szCs w:val="18"/>
                <w:b w:val="1"/>
                <w:bCs w:val="1"/>
                <w:color w:val="auto"/>
              </w:rPr>
              <w:t>LIABILITIES AND STOCKHOLDERS’ EQUITY</w:t>
            </w: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76"/>
        </w:trPr>
        <w:tc>
          <w:tcPr>
            <w:tcW w:w="6840" w:type="dxa"/>
            <w:vAlign w:val="bottom"/>
          </w:tcPr>
          <w:p>
            <w:pPr>
              <w:spacing w:after="0" w:line="176" w:lineRule="exact"/>
              <w:rPr>
                <w:sz w:val="20"/>
                <w:szCs w:val="20"/>
                <w:color w:val="auto"/>
              </w:rPr>
            </w:pPr>
            <w:r>
              <w:rPr>
                <w:rFonts w:ascii="Arial" w:cs="Arial" w:eastAsia="Arial" w:hAnsi="Arial"/>
                <w:sz w:val="18"/>
                <w:szCs w:val="18"/>
                <w:color w:val="auto"/>
              </w:rPr>
              <w:t>Current Liabilities:</w:t>
            </w: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6"/>
        </w:trPr>
        <w:tc>
          <w:tcPr>
            <w:tcW w:w="68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Accounts payable</w:t>
            </w:r>
          </w:p>
        </w:tc>
        <w:tc>
          <w:tcPr>
            <w:tcW w:w="1260" w:type="dxa"/>
            <w:vAlign w:val="bottom"/>
            <w:gridSpan w:val="2"/>
            <w:shd w:val="clear" w:color="auto" w:fill="CCEEFF"/>
          </w:tcPr>
          <w:p>
            <w:pPr>
              <w:ind w:left="1060"/>
              <w:spacing w:after="0" w:line="17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164,883</w:t>
            </w:r>
          </w:p>
        </w:tc>
        <w:tc>
          <w:tcPr>
            <w:tcW w:w="16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177,862</w:t>
            </w:r>
          </w:p>
        </w:tc>
        <w:tc>
          <w:tcPr>
            <w:tcW w:w="120" w:type="dxa"/>
            <w:vAlign w:val="bottom"/>
            <w:shd w:val="clear" w:color="auto" w:fill="CCEEFF"/>
          </w:tcPr>
          <w:p>
            <w:pPr>
              <w:spacing w:after="0"/>
              <w:rPr>
                <w:sz w:val="15"/>
                <w:szCs w:val="15"/>
                <w:color w:val="auto"/>
              </w:rPr>
            </w:pPr>
          </w:p>
        </w:tc>
      </w:tr>
      <w:tr>
        <w:trPr>
          <w:trHeight w:val="176"/>
        </w:trPr>
        <w:tc>
          <w:tcPr>
            <w:tcW w:w="6840" w:type="dxa"/>
            <w:vAlign w:val="bottom"/>
          </w:tcPr>
          <w:p>
            <w:pPr>
              <w:ind w:left="220"/>
              <w:spacing w:after="0" w:line="176" w:lineRule="exact"/>
              <w:rPr>
                <w:sz w:val="20"/>
                <w:szCs w:val="20"/>
                <w:color w:val="auto"/>
              </w:rPr>
            </w:pPr>
            <w:r>
              <w:rPr>
                <w:rFonts w:ascii="Arial" w:cs="Arial" w:eastAsia="Arial" w:hAnsi="Arial"/>
                <w:sz w:val="18"/>
                <w:szCs w:val="18"/>
                <w:color w:val="auto"/>
              </w:rPr>
              <w:t>Accrued expenses and other liabilities</w:t>
            </w: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18,294</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31,047</w:t>
            </w:r>
          </w:p>
        </w:tc>
        <w:tc>
          <w:tcPr>
            <w:tcW w:w="120" w:type="dxa"/>
            <w:vAlign w:val="bottom"/>
          </w:tcPr>
          <w:p>
            <w:pPr>
              <w:spacing w:after="0"/>
              <w:rPr>
                <w:sz w:val="15"/>
                <w:szCs w:val="15"/>
                <w:color w:val="auto"/>
              </w:rPr>
            </w:pPr>
          </w:p>
        </w:tc>
      </w:tr>
      <w:tr>
        <w:trPr>
          <w:trHeight w:val="176"/>
        </w:trPr>
        <w:tc>
          <w:tcPr>
            <w:tcW w:w="68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Accrued payroll</w:t>
            </w:r>
          </w:p>
        </w:tc>
        <w:tc>
          <w:tcPr>
            <w:tcW w:w="106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16,938</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21,345</w:t>
            </w:r>
          </w:p>
        </w:tc>
        <w:tc>
          <w:tcPr>
            <w:tcW w:w="120" w:type="dxa"/>
            <w:vAlign w:val="bottom"/>
            <w:shd w:val="clear" w:color="auto" w:fill="CCEEFF"/>
          </w:tcPr>
          <w:p>
            <w:pPr>
              <w:spacing w:after="0"/>
              <w:rPr>
                <w:sz w:val="15"/>
                <w:szCs w:val="15"/>
                <w:color w:val="auto"/>
              </w:rPr>
            </w:pPr>
          </w:p>
        </w:tc>
      </w:tr>
      <w:tr>
        <w:trPr>
          <w:trHeight w:val="169"/>
        </w:trPr>
        <w:tc>
          <w:tcPr>
            <w:tcW w:w="6840" w:type="dxa"/>
            <w:vAlign w:val="bottom"/>
          </w:tcPr>
          <w:p>
            <w:pPr>
              <w:ind w:left="320"/>
              <w:spacing w:after="0" w:line="170" w:lineRule="exact"/>
              <w:rPr>
                <w:sz w:val="20"/>
                <w:szCs w:val="20"/>
                <w:color w:val="auto"/>
              </w:rPr>
            </w:pPr>
            <w:r>
              <w:rPr>
                <w:rFonts w:ascii="Arial" w:cs="Arial" w:eastAsia="Arial" w:hAnsi="Arial"/>
                <w:sz w:val="18"/>
                <w:szCs w:val="18"/>
                <w:color w:val="auto"/>
              </w:rPr>
              <w:t>Total current liabilities</w:t>
            </w: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line="170" w:lineRule="exact"/>
              <w:rPr>
                <w:sz w:val="20"/>
                <w:szCs w:val="20"/>
                <w:color w:val="auto"/>
              </w:rPr>
            </w:pPr>
            <w:r>
              <w:rPr>
                <w:rFonts w:ascii="Arial" w:cs="Arial" w:eastAsia="Arial" w:hAnsi="Arial"/>
                <w:sz w:val="18"/>
                <w:szCs w:val="18"/>
                <w:color w:val="auto"/>
              </w:rPr>
              <w:t>200,115</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line="170" w:lineRule="exact"/>
              <w:rPr>
                <w:sz w:val="20"/>
                <w:szCs w:val="20"/>
                <w:color w:val="auto"/>
              </w:rPr>
            </w:pPr>
            <w:r>
              <w:rPr>
                <w:rFonts w:ascii="Arial" w:cs="Arial" w:eastAsia="Arial" w:hAnsi="Arial"/>
                <w:sz w:val="18"/>
                <w:szCs w:val="18"/>
                <w:color w:val="auto"/>
              </w:rPr>
              <w:t>230,254</w:t>
            </w:r>
          </w:p>
        </w:tc>
        <w:tc>
          <w:tcPr>
            <w:tcW w:w="120" w:type="dxa"/>
            <w:vAlign w:val="bottom"/>
          </w:tcPr>
          <w:p>
            <w:pPr>
              <w:spacing w:after="0"/>
              <w:rPr>
                <w:sz w:val="14"/>
                <w:szCs w:val="14"/>
                <w:color w:val="auto"/>
              </w:rPr>
            </w:pPr>
          </w:p>
        </w:tc>
      </w:tr>
      <w:tr>
        <w:trPr>
          <w:trHeight w:val="176"/>
        </w:trPr>
        <w:tc>
          <w:tcPr>
            <w:tcW w:w="6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Deferred income taxes</w:t>
            </w: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19,766</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19,602</w:t>
            </w:r>
          </w:p>
        </w:tc>
        <w:tc>
          <w:tcPr>
            <w:tcW w:w="120" w:type="dxa"/>
            <w:vAlign w:val="bottom"/>
            <w:shd w:val="clear" w:color="auto" w:fill="CCEEFF"/>
          </w:tcPr>
          <w:p>
            <w:pPr>
              <w:spacing w:after="0"/>
              <w:rPr>
                <w:sz w:val="15"/>
                <w:szCs w:val="15"/>
                <w:color w:val="auto"/>
              </w:rPr>
            </w:pPr>
          </w:p>
        </w:tc>
      </w:tr>
      <w:tr>
        <w:trPr>
          <w:trHeight w:val="176"/>
        </w:trPr>
        <w:tc>
          <w:tcPr>
            <w:tcW w:w="684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Other liabilities</w:t>
            </w:r>
          </w:p>
        </w:tc>
        <w:tc>
          <w:tcPr>
            <w:tcW w:w="10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2,083</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2,836</w:t>
            </w:r>
          </w:p>
        </w:tc>
        <w:tc>
          <w:tcPr>
            <w:tcW w:w="120" w:type="dxa"/>
            <w:vAlign w:val="bottom"/>
            <w:tcBorders>
              <w:bottom w:val="single" w:sz="8" w:color="CCEEFF"/>
            </w:tcBorders>
          </w:tcPr>
          <w:p>
            <w:pPr>
              <w:spacing w:after="0"/>
              <w:rPr>
                <w:sz w:val="15"/>
                <w:szCs w:val="15"/>
                <w:color w:val="auto"/>
              </w:rPr>
            </w:pPr>
          </w:p>
        </w:tc>
      </w:tr>
      <w:tr>
        <w:trPr>
          <w:trHeight w:val="169"/>
        </w:trPr>
        <w:tc>
          <w:tcPr>
            <w:tcW w:w="6840" w:type="dxa"/>
            <w:vAlign w:val="bottom"/>
            <w:shd w:val="clear" w:color="auto" w:fill="CCEEFF"/>
          </w:tcPr>
          <w:p>
            <w:pPr>
              <w:ind w:left="320"/>
              <w:spacing w:after="0" w:line="170" w:lineRule="exact"/>
              <w:rPr>
                <w:sz w:val="20"/>
                <w:szCs w:val="20"/>
                <w:color w:val="auto"/>
              </w:rPr>
            </w:pPr>
            <w:r>
              <w:rPr>
                <w:rFonts w:ascii="Arial" w:cs="Arial" w:eastAsia="Arial" w:hAnsi="Arial"/>
                <w:sz w:val="18"/>
                <w:szCs w:val="18"/>
                <w:color w:val="auto"/>
              </w:rPr>
              <w:t>Total Liabilities</w:t>
            </w:r>
          </w:p>
        </w:tc>
        <w:tc>
          <w:tcPr>
            <w:tcW w:w="10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221,964</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252,692</w:t>
            </w:r>
          </w:p>
        </w:tc>
        <w:tc>
          <w:tcPr>
            <w:tcW w:w="120" w:type="dxa"/>
            <w:vAlign w:val="bottom"/>
            <w:shd w:val="clear" w:color="auto" w:fill="CCEEFF"/>
          </w:tcPr>
          <w:p>
            <w:pPr>
              <w:spacing w:after="0"/>
              <w:rPr>
                <w:sz w:val="14"/>
                <w:szCs w:val="14"/>
                <w:color w:val="auto"/>
              </w:rPr>
            </w:pPr>
          </w:p>
        </w:tc>
      </w:tr>
      <w:tr>
        <w:trPr>
          <w:trHeight w:val="169"/>
        </w:trPr>
        <w:tc>
          <w:tcPr>
            <w:tcW w:w="6840" w:type="dxa"/>
            <w:vAlign w:val="bottom"/>
          </w:tcPr>
          <w:p>
            <w:pPr>
              <w:spacing w:after="0" w:line="170" w:lineRule="exact"/>
              <w:rPr>
                <w:sz w:val="20"/>
                <w:szCs w:val="20"/>
                <w:color w:val="auto"/>
              </w:rPr>
            </w:pPr>
            <w:r>
              <w:rPr>
                <w:rFonts w:ascii="Arial" w:cs="Arial" w:eastAsia="Arial" w:hAnsi="Arial"/>
                <w:sz w:val="18"/>
                <w:szCs w:val="18"/>
                <w:color w:val="auto"/>
              </w:rPr>
              <w:t>Stockholders’ Equity:</w:t>
            </w: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6"/>
        </w:trPr>
        <w:tc>
          <w:tcPr>
            <w:tcW w:w="68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Common stock</w:t>
            </w: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287</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285</w:t>
            </w:r>
          </w:p>
        </w:tc>
        <w:tc>
          <w:tcPr>
            <w:tcW w:w="120" w:type="dxa"/>
            <w:vAlign w:val="bottom"/>
            <w:shd w:val="clear" w:color="auto" w:fill="CCEEFF"/>
          </w:tcPr>
          <w:p>
            <w:pPr>
              <w:spacing w:after="0"/>
              <w:rPr>
                <w:sz w:val="15"/>
                <w:szCs w:val="15"/>
                <w:color w:val="auto"/>
              </w:rPr>
            </w:pPr>
          </w:p>
        </w:tc>
      </w:tr>
      <w:tr>
        <w:trPr>
          <w:trHeight w:val="176"/>
        </w:trPr>
        <w:tc>
          <w:tcPr>
            <w:tcW w:w="6840" w:type="dxa"/>
            <w:vAlign w:val="bottom"/>
          </w:tcPr>
          <w:p>
            <w:pPr>
              <w:ind w:left="220"/>
              <w:spacing w:after="0" w:line="176" w:lineRule="exact"/>
              <w:rPr>
                <w:sz w:val="20"/>
                <w:szCs w:val="20"/>
                <w:color w:val="auto"/>
              </w:rPr>
            </w:pPr>
            <w:r>
              <w:rPr>
                <w:rFonts w:ascii="Arial" w:cs="Arial" w:eastAsia="Arial" w:hAnsi="Arial"/>
                <w:sz w:val="18"/>
                <w:szCs w:val="18"/>
                <w:color w:val="auto"/>
              </w:rPr>
              <w:t>Additional paid-in capital</w:t>
            </w: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113,421</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111,081</w:t>
            </w:r>
          </w:p>
        </w:tc>
        <w:tc>
          <w:tcPr>
            <w:tcW w:w="120" w:type="dxa"/>
            <w:vAlign w:val="bottom"/>
          </w:tcPr>
          <w:p>
            <w:pPr>
              <w:spacing w:after="0"/>
              <w:rPr>
                <w:sz w:val="15"/>
                <w:szCs w:val="15"/>
                <w:color w:val="auto"/>
              </w:rPr>
            </w:pPr>
          </w:p>
        </w:tc>
      </w:tr>
      <w:tr>
        <w:trPr>
          <w:trHeight w:val="176"/>
        </w:trPr>
        <w:tc>
          <w:tcPr>
            <w:tcW w:w="68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Retained earnings</w:t>
            </w: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372,072</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337,938</w:t>
            </w:r>
          </w:p>
        </w:tc>
        <w:tc>
          <w:tcPr>
            <w:tcW w:w="120" w:type="dxa"/>
            <w:vAlign w:val="bottom"/>
            <w:shd w:val="clear" w:color="auto" w:fill="CCEEFF"/>
          </w:tcPr>
          <w:p>
            <w:pPr>
              <w:spacing w:after="0"/>
              <w:rPr>
                <w:sz w:val="15"/>
                <w:szCs w:val="15"/>
                <w:color w:val="auto"/>
              </w:rPr>
            </w:pPr>
          </w:p>
        </w:tc>
      </w:tr>
      <w:tr>
        <w:trPr>
          <w:trHeight w:val="176"/>
        </w:trPr>
        <w:tc>
          <w:tcPr>
            <w:tcW w:w="684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Treasury stock, at cost</w:t>
            </w:r>
          </w:p>
        </w:tc>
        <w:tc>
          <w:tcPr>
            <w:tcW w:w="10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(15,862)</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(15,862)</w:t>
            </w:r>
          </w:p>
        </w:tc>
        <w:tc>
          <w:tcPr>
            <w:tcW w:w="120" w:type="dxa"/>
            <w:vAlign w:val="bottom"/>
            <w:tcBorders>
              <w:bottom w:val="single" w:sz="8" w:color="CCEEFF"/>
            </w:tcBorders>
          </w:tcPr>
          <w:p>
            <w:pPr>
              <w:spacing w:after="0"/>
              <w:rPr>
                <w:sz w:val="15"/>
                <w:szCs w:val="15"/>
                <w:color w:val="auto"/>
              </w:rPr>
            </w:pPr>
          </w:p>
        </w:tc>
      </w:tr>
      <w:tr>
        <w:trPr>
          <w:trHeight w:val="169"/>
        </w:trPr>
        <w:tc>
          <w:tcPr>
            <w:tcW w:w="6840" w:type="dxa"/>
            <w:vAlign w:val="bottom"/>
            <w:shd w:val="clear" w:color="auto" w:fill="CCEEFF"/>
          </w:tcPr>
          <w:p>
            <w:pPr>
              <w:ind w:left="320"/>
              <w:spacing w:after="0" w:line="170" w:lineRule="exact"/>
              <w:rPr>
                <w:sz w:val="20"/>
                <w:szCs w:val="20"/>
                <w:color w:val="auto"/>
              </w:rPr>
            </w:pPr>
            <w:r>
              <w:rPr>
                <w:rFonts w:ascii="Arial" w:cs="Arial" w:eastAsia="Arial" w:hAnsi="Arial"/>
                <w:sz w:val="18"/>
                <w:szCs w:val="18"/>
                <w:color w:val="auto"/>
              </w:rPr>
              <w:t>Total Stockholders’ Equity</w:t>
            </w:r>
          </w:p>
        </w:tc>
        <w:tc>
          <w:tcPr>
            <w:tcW w:w="10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469,918</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433,442</w:t>
            </w:r>
          </w:p>
        </w:tc>
        <w:tc>
          <w:tcPr>
            <w:tcW w:w="120" w:type="dxa"/>
            <w:vAlign w:val="bottom"/>
            <w:shd w:val="clear" w:color="auto" w:fill="CCEEFF"/>
          </w:tcPr>
          <w:p>
            <w:pPr>
              <w:spacing w:after="0"/>
              <w:rPr>
                <w:sz w:val="14"/>
                <w:szCs w:val="14"/>
                <w:color w:val="auto"/>
              </w:rPr>
            </w:pPr>
          </w:p>
        </w:tc>
      </w:tr>
      <w:tr>
        <w:trPr>
          <w:trHeight w:val="176"/>
        </w:trPr>
        <w:tc>
          <w:tcPr>
            <w:tcW w:w="6840" w:type="dxa"/>
            <w:vAlign w:val="bottom"/>
          </w:tcPr>
          <w:p>
            <w:pPr>
              <w:ind w:left="320"/>
              <w:spacing w:after="0" w:line="170" w:lineRule="exact"/>
              <w:rPr>
                <w:sz w:val="20"/>
                <w:szCs w:val="20"/>
                <w:color w:val="auto"/>
              </w:rPr>
            </w:pPr>
            <w:r>
              <w:rPr>
                <w:rFonts w:ascii="Arial" w:cs="Arial" w:eastAsia="Arial" w:hAnsi="Arial"/>
                <w:sz w:val="18"/>
                <w:szCs w:val="18"/>
                <w:color w:val="auto"/>
              </w:rPr>
              <w:t>Total Liabilities and Stockholders’ Equity</w:t>
            </w:r>
          </w:p>
        </w:tc>
        <w:tc>
          <w:tcPr>
            <w:tcW w:w="1060" w:type="dxa"/>
            <w:vAlign w:val="bottom"/>
          </w:tcPr>
          <w:p>
            <w:pPr>
              <w:spacing w:after="0"/>
              <w:rPr>
                <w:sz w:val="15"/>
                <w:szCs w:val="15"/>
                <w:color w:val="auto"/>
              </w:rPr>
            </w:pPr>
          </w:p>
        </w:tc>
        <w:tc>
          <w:tcPr>
            <w:tcW w:w="20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691,882</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jc w:val="right"/>
              <w:ind w:right="63"/>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686,134</w:t>
            </w:r>
          </w:p>
        </w:tc>
        <w:tc>
          <w:tcPr>
            <w:tcW w:w="120" w:type="dxa"/>
            <w:vAlign w:val="bottom"/>
          </w:tcPr>
          <w:p>
            <w:pPr>
              <w:spacing w:after="0"/>
              <w:rPr>
                <w:sz w:val="15"/>
                <w:szCs w:val="15"/>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8873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111" w:right="9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PC CONNECTION, INC. AND SUBSIDIARIES</w:t>
      </w:r>
    </w:p>
    <w:p>
      <w:pPr>
        <w:jc w:val="center"/>
        <w:ind w:right="-19"/>
        <w:spacing w:after="0" w:line="203" w:lineRule="auto"/>
        <w:rPr>
          <w:sz w:val="20"/>
          <w:szCs w:val="20"/>
          <w:color w:val="auto"/>
        </w:rPr>
      </w:pPr>
      <w:r>
        <w:rPr>
          <w:rFonts w:ascii="Arial" w:cs="Arial" w:eastAsia="Arial" w:hAnsi="Arial"/>
          <w:sz w:val="18"/>
          <w:szCs w:val="18"/>
          <w:b w:val="1"/>
          <w:bCs w:val="1"/>
          <w:color w:val="auto"/>
        </w:rPr>
        <w:t>PART I―FINANCIAL INFORMATION</w:t>
      </w:r>
    </w:p>
    <w:p>
      <w:pPr>
        <w:jc w:val="center"/>
        <w:spacing w:after="0" w:line="204" w:lineRule="auto"/>
        <w:rPr>
          <w:sz w:val="20"/>
          <w:szCs w:val="20"/>
          <w:color w:val="auto"/>
        </w:rPr>
      </w:pPr>
      <w:r>
        <w:rPr>
          <w:rFonts w:ascii="Arial" w:cs="Arial" w:eastAsia="Arial" w:hAnsi="Arial"/>
          <w:sz w:val="18"/>
          <w:szCs w:val="18"/>
          <w:b w:val="1"/>
          <w:bCs w:val="1"/>
          <w:color w:val="auto"/>
        </w:rPr>
        <w:t>Item 1―Financial Statements</w:t>
      </w:r>
    </w:p>
    <w:p>
      <w:pPr>
        <w:jc w:val="center"/>
        <w:ind w:right="80"/>
        <w:spacing w:after="0" w:line="203" w:lineRule="auto"/>
        <w:rPr>
          <w:sz w:val="20"/>
          <w:szCs w:val="20"/>
          <w:color w:val="auto"/>
        </w:rPr>
      </w:pPr>
      <w:r>
        <w:rPr>
          <w:rFonts w:ascii="Arial" w:cs="Arial" w:eastAsia="Arial" w:hAnsi="Arial"/>
          <w:sz w:val="18"/>
          <w:szCs w:val="18"/>
          <w:b w:val="1"/>
          <w:bCs w:val="1"/>
          <w:color w:val="auto"/>
        </w:rPr>
        <w:t>CONDENSED CONSOLIDATED STATEMENTS OF INCOME</w:t>
      </w:r>
    </w:p>
    <w:p>
      <w:pPr>
        <w:jc w:val="center"/>
        <w:spacing w:after="0" w:line="204" w:lineRule="auto"/>
        <w:rPr>
          <w:sz w:val="20"/>
          <w:szCs w:val="20"/>
          <w:color w:val="auto"/>
        </w:rPr>
      </w:pPr>
      <w:r>
        <w:rPr>
          <w:rFonts w:ascii="Arial" w:cs="Arial" w:eastAsia="Arial" w:hAnsi="Arial"/>
          <w:sz w:val="18"/>
          <w:szCs w:val="18"/>
          <w:b w:val="1"/>
          <w:bCs w:val="1"/>
          <w:color w:val="auto"/>
        </w:rPr>
        <w:t>(Unaudited)</w:t>
      </w:r>
    </w:p>
    <w:p>
      <w:pPr>
        <w:jc w:val="center"/>
        <w:spacing w:after="0"/>
        <w:rPr>
          <w:sz w:val="20"/>
          <w:szCs w:val="20"/>
          <w:color w:val="auto"/>
        </w:rPr>
      </w:pPr>
      <w:r>
        <w:rPr>
          <w:rFonts w:ascii="Arial" w:cs="Arial" w:eastAsia="Arial" w:hAnsi="Arial"/>
          <w:sz w:val="18"/>
          <w:szCs w:val="18"/>
          <w:b w:val="1"/>
          <w:bCs w:val="1"/>
          <w:i w:val="1"/>
          <w:iCs w:val="1"/>
          <w:color w:val="auto"/>
        </w:rPr>
        <w:t>(amounts in thousands, except per share data)</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4"/>
          </w:tcPr>
          <w:p>
            <w:pPr>
              <w:jc w:val="right"/>
              <w:ind w:right="151"/>
              <w:spacing w:after="0"/>
              <w:rPr>
                <w:sz w:val="20"/>
                <w:szCs w:val="20"/>
                <w:color w:val="auto"/>
              </w:rPr>
            </w:pPr>
            <w:r>
              <w:rPr>
                <w:rFonts w:ascii="Arial" w:cs="Arial" w:eastAsia="Arial" w:hAnsi="Arial"/>
                <w:sz w:val="14"/>
                <w:szCs w:val="14"/>
                <w:b w:val="1"/>
                <w:bCs w:val="1"/>
                <w:color w:val="auto"/>
                <w:w w:val="99"/>
              </w:rPr>
              <w:t>Three Months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40" w:type="dxa"/>
            <w:vAlign w:val="bottom"/>
            <w:tcBorders>
              <w:bottom w:val="single" w:sz="8" w:color="CCEEFF"/>
            </w:tcBorders>
          </w:tcPr>
          <w:p>
            <w:pPr>
              <w:spacing w:after="0"/>
              <w:rPr>
                <w:sz w:val="11"/>
                <w:szCs w:val="11"/>
                <w:color w:val="auto"/>
              </w:rPr>
            </w:pPr>
          </w:p>
        </w:tc>
        <w:tc>
          <w:tcPr>
            <w:tcW w:w="90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73"/>
              <w:spacing w:after="0" w:line="129"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71"/>
              <w:spacing w:after="0" w:line="129"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253"/>
              <w:spacing w:after="0" w:line="129"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251"/>
              <w:spacing w:after="0" w:line="129" w:lineRule="exact"/>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1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Net sales</w:t>
            </w: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2"/>
              </w:rPr>
              <w:t>729,230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2"/>
              </w:rPr>
              <w:t>708,485</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2"/>
              </w:rPr>
              <w:t>2,149,616</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2"/>
              </w:rPr>
              <w:t>1,957,044</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4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Cost of sales</w:t>
            </w:r>
          </w:p>
        </w:tc>
        <w:tc>
          <w:tcPr>
            <w:tcW w:w="9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92"/>
              </w:rPr>
              <w:t>633,087</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92"/>
              </w:rPr>
              <w:t>611,518</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92"/>
              </w:rPr>
              <w:t>1,867,070</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92"/>
              </w:rPr>
              <w:t>1,684,010</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140" w:type="dxa"/>
            <w:vAlign w:val="bottom"/>
            <w:shd w:val="clear" w:color="auto" w:fill="CCEEFF"/>
          </w:tcPr>
          <w:p>
            <w:pPr>
              <w:ind w:left="300"/>
              <w:spacing w:after="0" w:line="170" w:lineRule="exact"/>
              <w:rPr>
                <w:sz w:val="20"/>
                <w:szCs w:val="20"/>
                <w:color w:val="auto"/>
              </w:rPr>
            </w:pPr>
            <w:r>
              <w:rPr>
                <w:rFonts w:ascii="Arial" w:cs="Arial" w:eastAsia="Arial" w:hAnsi="Arial"/>
                <w:sz w:val="18"/>
                <w:szCs w:val="18"/>
                <w:color w:val="auto"/>
              </w:rPr>
              <w:t>Gross profit</w:t>
            </w: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96,143</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96,967</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282,546</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273,034</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4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Selling, general and administrative expenses</w:t>
            </w:r>
          </w:p>
        </w:tc>
        <w:tc>
          <w:tcPr>
            <w:tcW w:w="9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74,404</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74,522</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226,915</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214,415</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140" w:type="dxa"/>
            <w:vAlign w:val="bottom"/>
            <w:shd w:val="clear" w:color="auto" w:fill="CCEEFF"/>
          </w:tcPr>
          <w:p>
            <w:pPr>
              <w:ind w:left="300"/>
              <w:spacing w:after="0" w:line="170" w:lineRule="exact"/>
              <w:rPr>
                <w:sz w:val="20"/>
                <w:szCs w:val="20"/>
                <w:color w:val="auto"/>
              </w:rPr>
            </w:pPr>
            <w:r>
              <w:rPr>
                <w:rFonts w:ascii="Arial" w:cs="Arial" w:eastAsia="Arial" w:hAnsi="Arial"/>
                <w:sz w:val="18"/>
                <w:szCs w:val="18"/>
                <w:color w:val="auto"/>
              </w:rPr>
              <w:t>Income from operations</w:t>
            </w: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21,739</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22,445</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55,631</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58,619</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4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Interest income (expense)</w:t>
            </w:r>
          </w:p>
        </w:tc>
        <w:tc>
          <w:tcPr>
            <w:tcW w:w="9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(8)</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(27)</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20</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(53)</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140" w:type="dxa"/>
            <w:vAlign w:val="bottom"/>
            <w:shd w:val="clear" w:color="auto" w:fill="CCEEFF"/>
          </w:tcPr>
          <w:p>
            <w:pPr>
              <w:ind w:left="300"/>
              <w:spacing w:after="0" w:line="170" w:lineRule="exact"/>
              <w:rPr>
                <w:sz w:val="20"/>
                <w:szCs w:val="20"/>
                <w:color w:val="auto"/>
              </w:rPr>
            </w:pPr>
            <w:r>
              <w:rPr>
                <w:rFonts w:ascii="Arial" w:cs="Arial" w:eastAsia="Arial" w:hAnsi="Arial"/>
                <w:sz w:val="18"/>
                <w:szCs w:val="18"/>
                <w:color w:val="auto"/>
              </w:rPr>
              <w:t>Income before taxes</w:t>
            </w: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21,731</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22,418</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55,651</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58,566</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4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Income tax provision</w:t>
            </w:r>
          </w:p>
        </w:tc>
        <w:tc>
          <w:tcPr>
            <w:tcW w:w="9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(8,614)</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(8,825)</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(21,517)</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(23,452)</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40" w:type="dxa"/>
            <w:vAlign w:val="bottom"/>
            <w:tcBorders>
              <w:bottom w:val="single" w:sz="8" w:color="CCEEFF"/>
            </w:tcBorders>
            <w:shd w:val="clear" w:color="auto" w:fill="CCEEFF"/>
          </w:tcPr>
          <w:p>
            <w:pPr>
              <w:ind w:left="300"/>
              <w:spacing w:after="0" w:line="170" w:lineRule="exact"/>
              <w:rPr>
                <w:sz w:val="20"/>
                <w:szCs w:val="20"/>
                <w:color w:val="auto"/>
              </w:rPr>
            </w:pPr>
            <w:r>
              <w:rPr>
                <w:rFonts w:ascii="Arial" w:cs="Arial" w:eastAsia="Arial" w:hAnsi="Arial"/>
                <w:sz w:val="18"/>
                <w:szCs w:val="18"/>
                <w:color w:val="auto"/>
              </w:rPr>
              <w:t>Net income</w:t>
            </w:r>
          </w:p>
        </w:tc>
        <w:tc>
          <w:tcPr>
            <w:tcW w:w="9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13,117</w:t>
            </w: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13,593</w:t>
            </w: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34,134</w:t>
            </w: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35,114</w:t>
            </w:r>
          </w:p>
        </w:tc>
        <w:tc>
          <w:tcPr>
            <w:tcW w:w="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5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Earnings per common share:</w:t>
            </w: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40" w:type="dxa"/>
            <w:vAlign w:val="bottom"/>
          </w:tcPr>
          <w:p>
            <w:pPr>
              <w:ind w:left="300"/>
              <w:spacing w:after="0" w:line="176" w:lineRule="exact"/>
              <w:rPr>
                <w:sz w:val="20"/>
                <w:szCs w:val="20"/>
                <w:color w:val="auto"/>
              </w:rPr>
            </w:pPr>
            <w:r>
              <w:rPr>
                <w:rFonts w:ascii="Arial" w:cs="Arial" w:eastAsia="Arial" w:hAnsi="Arial"/>
                <w:sz w:val="18"/>
                <w:szCs w:val="18"/>
                <w:color w:val="auto"/>
              </w:rPr>
              <w:t>Basic</w:t>
            </w:r>
          </w:p>
        </w:tc>
        <w:tc>
          <w:tcPr>
            <w:tcW w:w="10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0.49</w:t>
            </w:r>
          </w:p>
        </w:tc>
        <w:tc>
          <w:tcPr>
            <w:tcW w:w="2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0.51</w:t>
            </w:r>
          </w:p>
        </w:tc>
        <w:tc>
          <w:tcPr>
            <w:tcW w:w="2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1.28</w:t>
            </w:r>
          </w:p>
        </w:tc>
        <w:tc>
          <w:tcPr>
            <w:tcW w:w="2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1.32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40" w:type="dxa"/>
            <w:vAlign w:val="bottom"/>
            <w:tcBorders>
              <w:top w:val="single" w:sz="8" w:color="CCEEFF"/>
              <w:bottom w:val="single" w:sz="8" w:color="CCEEFF"/>
            </w:tcBorders>
            <w:shd w:val="clear" w:color="auto" w:fill="CCEEFF"/>
          </w:tcPr>
          <w:p>
            <w:pPr>
              <w:ind w:left="300"/>
              <w:spacing w:after="0" w:line="176" w:lineRule="exact"/>
              <w:rPr>
                <w:sz w:val="20"/>
                <w:szCs w:val="20"/>
                <w:color w:val="auto"/>
              </w:rPr>
            </w:pPr>
            <w:r>
              <w:rPr>
                <w:rFonts w:ascii="Arial" w:cs="Arial" w:eastAsia="Arial" w:hAnsi="Arial"/>
                <w:sz w:val="18"/>
                <w:szCs w:val="18"/>
                <w:color w:val="auto"/>
              </w:rPr>
              <w:t>Diluted</w:t>
            </w:r>
          </w:p>
        </w:tc>
        <w:tc>
          <w:tcPr>
            <w:tcW w:w="9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0.49</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0.51</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1.27</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1.32</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5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Shares used in computation of earnings per common share:</w:t>
            </w: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40" w:type="dxa"/>
            <w:vAlign w:val="bottom"/>
            <w:tcBorders>
              <w:bottom w:val="single" w:sz="8" w:color="CCEEFF"/>
            </w:tcBorders>
          </w:tcPr>
          <w:p>
            <w:pPr>
              <w:ind w:left="300"/>
              <w:spacing w:after="0" w:line="176" w:lineRule="exact"/>
              <w:rPr>
                <w:sz w:val="20"/>
                <w:szCs w:val="20"/>
                <w:color w:val="auto"/>
              </w:rPr>
            </w:pPr>
            <w:r>
              <w:rPr>
                <w:rFonts w:ascii="Arial" w:cs="Arial" w:eastAsia="Arial" w:hAnsi="Arial"/>
                <w:sz w:val="18"/>
                <w:szCs w:val="18"/>
                <w:color w:val="auto"/>
              </w:rPr>
              <w:t>Basic</w:t>
            </w:r>
          </w:p>
        </w:tc>
        <w:tc>
          <w:tcPr>
            <w:tcW w:w="9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26,802</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26,542</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26,754</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26,514</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40" w:type="dxa"/>
            <w:vAlign w:val="bottom"/>
            <w:tcBorders>
              <w:bottom w:val="single" w:sz="8" w:color="CCEEFF"/>
            </w:tcBorders>
            <w:shd w:val="clear" w:color="auto" w:fill="CCEEFF"/>
          </w:tcPr>
          <w:p>
            <w:pPr>
              <w:ind w:left="300"/>
              <w:spacing w:after="0" w:line="176" w:lineRule="exact"/>
              <w:rPr>
                <w:sz w:val="20"/>
                <w:szCs w:val="20"/>
                <w:color w:val="auto"/>
              </w:rPr>
            </w:pPr>
            <w:r>
              <w:rPr>
                <w:rFonts w:ascii="Arial" w:cs="Arial" w:eastAsia="Arial" w:hAnsi="Arial"/>
                <w:sz w:val="18"/>
                <w:szCs w:val="18"/>
                <w:color w:val="auto"/>
              </w:rPr>
              <w:t>Diluted</w:t>
            </w:r>
          </w:p>
        </w:tc>
        <w:tc>
          <w:tcPr>
            <w:tcW w:w="9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26,899</w:t>
            </w: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26,736</w:t>
            </w: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26,886</w:t>
            </w: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26,699</w:t>
            </w:r>
          </w:p>
        </w:tc>
        <w:tc>
          <w:tcPr>
            <w:tcW w:w="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8873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PC CONNECTION, INC. AND SUBSIDIARIES</w:t>
      </w:r>
    </w:p>
    <w:p>
      <w:pPr>
        <w:jc w:val="center"/>
        <w:spacing w:after="0" w:line="203" w:lineRule="auto"/>
        <w:rPr>
          <w:sz w:val="20"/>
          <w:szCs w:val="20"/>
          <w:color w:val="auto"/>
        </w:rPr>
      </w:pPr>
      <w:r>
        <w:rPr>
          <w:rFonts w:ascii="Arial" w:cs="Arial" w:eastAsia="Arial" w:hAnsi="Arial"/>
          <w:sz w:val="18"/>
          <w:szCs w:val="18"/>
          <w:b w:val="1"/>
          <w:bCs w:val="1"/>
          <w:color w:val="auto"/>
        </w:rPr>
        <w:t>PART I―FINANCIAL INFORMATION</w:t>
      </w:r>
    </w:p>
    <w:p>
      <w:pPr>
        <w:jc w:val="center"/>
        <w:spacing w:after="0" w:line="204" w:lineRule="auto"/>
        <w:rPr>
          <w:sz w:val="20"/>
          <w:szCs w:val="20"/>
          <w:color w:val="auto"/>
        </w:rPr>
      </w:pPr>
      <w:r>
        <w:rPr>
          <w:rFonts w:ascii="Arial" w:cs="Arial" w:eastAsia="Arial" w:hAnsi="Arial"/>
          <w:sz w:val="18"/>
          <w:szCs w:val="18"/>
          <w:b w:val="1"/>
          <w:bCs w:val="1"/>
          <w:color w:val="auto"/>
        </w:rPr>
        <w:t>Item 1―Financial Statements</w:t>
      </w:r>
    </w:p>
    <w:p>
      <w:pPr>
        <w:jc w:val="center"/>
        <w:ind w:right="80"/>
        <w:spacing w:after="0" w:line="203" w:lineRule="auto"/>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04" w:lineRule="auto"/>
        <w:rPr>
          <w:sz w:val="20"/>
          <w:szCs w:val="20"/>
          <w:color w:val="auto"/>
        </w:rPr>
      </w:pPr>
      <w:r>
        <w:rPr>
          <w:rFonts w:ascii="Arial" w:cs="Arial" w:eastAsia="Arial" w:hAnsi="Arial"/>
          <w:sz w:val="18"/>
          <w:szCs w:val="18"/>
          <w:b w:val="1"/>
          <w:bCs w:val="1"/>
          <w:color w:val="auto"/>
        </w:rPr>
        <w:t>(Unaudited)</w:t>
      </w:r>
    </w:p>
    <w:p>
      <w:pPr>
        <w:jc w:val="center"/>
        <w:spacing w:after="0"/>
        <w:rPr>
          <w:sz w:val="20"/>
          <w:szCs w:val="20"/>
          <w:color w:val="auto"/>
        </w:rPr>
      </w:pPr>
      <w:r>
        <w:rPr>
          <w:rFonts w:ascii="Arial" w:cs="Arial" w:eastAsia="Arial" w:hAnsi="Arial"/>
          <w:sz w:val="18"/>
          <w:szCs w:val="18"/>
          <w:b w:val="1"/>
          <w:bCs w:val="1"/>
          <w:i w:val="1"/>
          <w:iCs w:val="1"/>
          <w:color w:val="auto"/>
        </w:rPr>
        <w:t>(amounts in thousands)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8280"/>
        <w:spacing w:after="0"/>
        <w:rPr>
          <w:sz w:val="20"/>
          <w:szCs w:val="20"/>
          <w:color w:val="auto"/>
        </w:rPr>
      </w:pPr>
      <w:r>
        <w:rPr>
          <w:rFonts w:ascii="Arial" w:cs="Arial" w:eastAsia="Arial" w:hAnsi="Arial"/>
          <w:sz w:val="14"/>
          <w:szCs w:val="14"/>
          <w:b w:val="1"/>
          <w:bCs w:val="1"/>
          <w:color w:val="auto"/>
        </w:rPr>
        <w:t>Nine Months Ended</w:t>
      </w:r>
    </w:p>
    <w:p>
      <w:pPr>
        <w:ind w:left="8440"/>
        <w:spacing w:after="0" w:line="221" w:lineRule="auto"/>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36"/>
        </w:trPr>
        <w:tc>
          <w:tcPr>
            <w:tcW w:w="6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80" w:type="dxa"/>
            <w:vAlign w:val="bottom"/>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31"/>
              <w:spacing w:after="0" w:line="136"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31"/>
              <w:spacing w:after="0" w:line="136"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6920" w:type="dxa"/>
            <w:vAlign w:val="bottom"/>
            <w:gridSpan w:val="2"/>
            <w:vMerge w:val="continue"/>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0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Net income</w:t>
            </w:r>
          </w:p>
        </w:tc>
        <w:tc>
          <w:tcPr>
            <w:tcW w:w="1180" w:type="dxa"/>
            <w:vAlign w:val="bottom"/>
            <w:gridSpan w:val="2"/>
            <w:shd w:val="clear" w:color="auto" w:fill="CCEEFF"/>
          </w:tcPr>
          <w:p>
            <w:pPr>
              <w:jc w:val="right"/>
              <w:ind w:right="45"/>
              <w:spacing w:after="0" w:line="17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34,134</w:t>
            </w:r>
          </w:p>
        </w:tc>
        <w:tc>
          <w:tcPr>
            <w:tcW w:w="340" w:type="dxa"/>
            <w:vAlign w:val="bottom"/>
            <w:gridSpan w:val="2"/>
            <w:shd w:val="clear" w:color="auto" w:fill="CCEEFF"/>
          </w:tcPr>
          <w:p>
            <w:pPr>
              <w:jc w:val="right"/>
              <w:ind w:right="25"/>
              <w:spacing w:after="0" w:line="17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35,114</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00" w:type="dxa"/>
            <w:vAlign w:val="bottom"/>
          </w:tcPr>
          <w:p>
            <w:pPr>
              <w:spacing w:after="0" w:line="176"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00" w:type="dxa"/>
            <w:vAlign w:val="bottom"/>
            <w:shd w:val="clear" w:color="auto" w:fill="CCEEFF"/>
          </w:tcPr>
          <w:p>
            <w:pPr>
              <w:ind w:left="520"/>
              <w:spacing w:after="0" w:line="176" w:lineRule="exact"/>
              <w:rPr>
                <w:sz w:val="20"/>
                <w:szCs w:val="20"/>
                <w:color w:val="auto"/>
              </w:rPr>
            </w:pPr>
            <w:r>
              <w:rPr>
                <w:rFonts w:ascii="Arial" w:cs="Arial" w:eastAsia="Arial" w:hAnsi="Arial"/>
                <w:sz w:val="18"/>
                <w:szCs w:val="18"/>
                <w:color w:val="auto"/>
              </w:rPr>
              <w:t>Depreciation and amortization</w:t>
            </w: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8,645</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7,504</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00" w:type="dxa"/>
            <w:vAlign w:val="bottom"/>
          </w:tcPr>
          <w:p>
            <w:pPr>
              <w:ind w:left="520"/>
              <w:spacing w:after="0" w:line="176" w:lineRule="exact"/>
              <w:rPr>
                <w:sz w:val="20"/>
                <w:szCs w:val="20"/>
                <w:color w:val="auto"/>
              </w:rPr>
            </w:pPr>
            <w:r>
              <w:rPr>
                <w:rFonts w:ascii="Arial" w:cs="Arial" w:eastAsia="Arial" w:hAnsi="Arial"/>
                <w:sz w:val="18"/>
                <w:szCs w:val="18"/>
                <w:color w:val="auto"/>
              </w:rPr>
              <w:t>Provision for doubtful accounts</w:t>
            </w: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1,116</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239</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00" w:type="dxa"/>
            <w:vAlign w:val="bottom"/>
            <w:shd w:val="clear" w:color="auto" w:fill="CCEEFF"/>
          </w:tcPr>
          <w:p>
            <w:pPr>
              <w:ind w:left="520"/>
              <w:spacing w:after="0" w:line="176" w:lineRule="exact"/>
              <w:rPr>
                <w:sz w:val="20"/>
                <w:szCs w:val="20"/>
                <w:color w:val="auto"/>
              </w:rPr>
            </w:pPr>
            <w:r>
              <w:rPr>
                <w:rFonts w:ascii="Arial" w:cs="Arial" w:eastAsia="Arial" w:hAnsi="Arial"/>
                <w:sz w:val="18"/>
                <w:szCs w:val="18"/>
                <w:color w:val="auto"/>
              </w:rPr>
              <w:t>Stock-based compensation expense</w:t>
            </w: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560</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975</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00" w:type="dxa"/>
            <w:vAlign w:val="bottom"/>
          </w:tcPr>
          <w:p>
            <w:pPr>
              <w:ind w:left="520"/>
              <w:spacing w:after="0" w:line="176" w:lineRule="exact"/>
              <w:rPr>
                <w:sz w:val="20"/>
                <w:szCs w:val="20"/>
                <w:color w:val="auto"/>
              </w:rPr>
            </w:pPr>
            <w:r>
              <w:rPr>
                <w:rFonts w:ascii="Arial" w:cs="Arial" w:eastAsia="Arial" w:hAnsi="Arial"/>
                <w:sz w:val="18"/>
                <w:szCs w:val="18"/>
                <w:color w:val="auto"/>
              </w:rPr>
              <w:t>Deferred income taxes</w:t>
            </w: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164</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165</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00" w:type="dxa"/>
            <w:vAlign w:val="bottom"/>
            <w:shd w:val="clear" w:color="auto" w:fill="CCEEFF"/>
          </w:tcPr>
          <w:p>
            <w:pPr>
              <w:ind w:left="520"/>
              <w:spacing w:after="0" w:line="176" w:lineRule="exact"/>
              <w:rPr>
                <w:sz w:val="20"/>
                <w:szCs w:val="20"/>
                <w:color w:val="auto"/>
              </w:rPr>
            </w:pPr>
            <w:r>
              <w:rPr>
                <w:rFonts w:ascii="Arial" w:cs="Arial" w:eastAsia="Arial" w:hAnsi="Arial"/>
                <w:sz w:val="18"/>
                <w:szCs w:val="18"/>
                <w:color w:val="auto"/>
              </w:rPr>
              <w:t>Excess tax benefit from exercise of equity awards</w:t>
            </w: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(385)</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00" w:type="dxa"/>
            <w:vAlign w:val="bottom"/>
          </w:tcPr>
          <w:p>
            <w:pPr>
              <w:ind w:left="200"/>
              <w:spacing w:after="0" w:line="176" w:lineRule="exact"/>
              <w:rPr>
                <w:sz w:val="20"/>
                <w:szCs w:val="20"/>
                <w:color w:val="auto"/>
              </w:rPr>
            </w:pPr>
            <w:r>
              <w:rPr>
                <w:rFonts w:ascii="Arial" w:cs="Arial" w:eastAsia="Arial" w:hAnsi="Arial"/>
                <w:sz w:val="18"/>
                <w:szCs w:val="18"/>
                <w:color w:val="auto"/>
              </w:rPr>
              <w:t>Changes in assets and liabilities:</w:t>
            </w: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00" w:type="dxa"/>
            <w:vAlign w:val="bottom"/>
            <w:shd w:val="clear" w:color="auto" w:fill="CCEEFF"/>
          </w:tcPr>
          <w:p>
            <w:pPr>
              <w:ind w:left="520"/>
              <w:spacing w:after="0" w:line="176" w:lineRule="exact"/>
              <w:rPr>
                <w:sz w:val="20"/>
                <w:szCs w:val="20"/>
                <w:color w:val="auto"/>
              </w:rPr>
            </w:pPr>
            <w:r>
              <w:rPr>
                <w:rFonts w:ascii="Arial" w:cs="Arial" w:eastAsia="Arial" w:hAnsi="Arial"/>
                <w:sz w:val="18"/>
                <w:szCs w:val="18"/>
                <w:color w:val="auto"/>
              </w:rPr>
              <w:t>Accounts receivable</w:t>
            </w: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28,101</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19,530</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00" w:type="dxa"/>
            <w:vAlign w:val="bottom"/>
          </w:tcPr>
          <w:p>
            <w:pPr>
              <w:ind w:left="520"/>
              <w:spacing w:after="0" w:line="176" w:lineRule="exact"/>
              <w:rPr>
                <w:sz w:val="20"/>
                <w:szCs w:val="20"/>
                <w:color w:val="auto"/>
              </w:rPr>
            </w:pPr>
            <w:r>
              <w:rPr>
                <w:rFonts w:ascii="Arial" w:cs="Arial" w:eastAsia="Arial" w:hAnsi="Arial"/>
                <w:sz w:val="18"/>
                <w:szCs w:val="18"/>
                <w:color w:val="auto"/>
              </w:rPr>
              <w:t>Inventories</w:t>
            </w: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(16,189)</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954</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00" w:type="dxa"/>
            <w:vAlign w:val="bottom"/>
            <w:shd w:val="clear" w:color="auto" w:fill="CCEEFF"/>
          </w:tcPr>
          <w:p>
            <w:pPr>
              <w:ind w:left="520"/>
              <w:spacing w:after="0" w:line="176" w:lineRule="exact"/>
              <w:rPr>
                <w:sz w:val="20"/>
                <w:szCs w:val="20"/>
                <w:color w:val="auto"/>
              </w:rPr>
            </w:pPr>
            <w:r>
              <w:rPr>
                <w:rFonts w:ascii="Arial" w:cs="Arial" w:eastAsia="Arial" w:hAnsi="Arial"/>
                <w:sz w:val="18"/>
                <w:szCs w:val="18"/>
                <w:color w:val="auto"/>
              </w:rPr>
              <w:t>Prepaid expenses and other current assets</w:t>
            </w: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(2,191)</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506</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00" w:type="dxa"/>
            <w:vAlign w:val="bottom"/>
          </w:tcPr>
          <w:p>
            <w:pPr>
              <w:ind w:left="520"/>
              <w:spacing w:after="0" w:line="176" w:lineRule="exact"/>
              <w:rPr>
                <w:sz w:val="20"/>
                <w:szCs w:val="20"/>
                <w:color w:val="auto"/>
              </w:rPr>
            </w:pPr>
            <w:r>
              <w:rPr>
                <w:rFonts w:ascii="Arial" w:cs="Arial" w:eastAsia="Arial" w:hAnsi="Arial"/>
                <w:sz w:val="18"/>
                <w:szCs w:val="18"/>
                <w:color w:val="auto"/>
              </w:rPr>
              <w:t>Other non-current assets</w:t>
            </w: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(3,945)</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(141)</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00" w:type="dxa"/>
            <w:vAlign w:val="bottom"/>
            <w:shd w:val="clear" w:color="auto" w:fill="CCEEFF"/>
          </w:tcPr>
          <w:p>
            <w:pPr>
              <w:ind w:left="520"/>
              <w:spacing w:after="0" w:line="176" w:lineRule="exact"/>
              <w:rPr>
                <w:sz w:val="20"/>
                <w:szCs w:val="20"/>
                <w:color w:val="auto"/>
              </w:rPr>
            </w:pPr>
            <w:r>
              <w:rPr>
                <w:rFonts w:ascii="Arial" w:cs="Arial" w:eastAsia="Arial" w:hAnsi="Arial"/>
                <w:sz w:val="18"/>
                <w:szCs w:val="18"/>
                <w:color w:val="auto"/>
              </w:rPr>
              <w:t>Accounts payable</w:t>
            </w: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(13,162)</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(20,922)</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00" w:type="dxa"/>
            <w:vAlign w:val="bottom"/>
            <w:tcBorders>
              <w:bottom w:val="single" w:sz="8" w:color="CCEEFF"/>
            </w:tcBorders>
          </w:tcPr>
          <w:p>
            <w:pPr>
              <w:ind w:left="520"/>
              <w:spacing w:after="0" w:line="176" w:lineRule="exact"/>
              <w:rPr>
                <w:sz w:val="20"/>
                <w:szCs w:val="20"/>
                <w:color w:val="auto"/>
              </w:rPr>
            </w:pPr>
            <w:r>
              <w:rPr>
                <w:rFonts w:ascii="Arial" w:cs="Arial" w:eastAsia="Arial" w:hAnsi="Arial"/>
                <w:sz w:val="18"/>
                <w:szCs w:val="18"/>
                <w:color w:val="auto"/>
              </w:rPr>
              <w:t>Accrued expenses and other liabilities</w:t>
            </w:r>
          </w:p>
        </w:tc>
        <w:tc>
          <w:tcPr>
            <w:tcW w:w="9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(8,872)</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(3,757)</w:t>
            </w: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900" w:type="dxa"/>
            <w:vAlign w:val="bottom"/>
            <w:shd w:val="clear" w:color="auto" w:fill="CCEEFF"/>
          </w:tcPr>
          <w:p>
            <w:pPr>
              <w:ind w:left="200"/>
              <w:spacing w:after="0" w:line="170" w:lineRule="exact"/>
              <w:rPr>
                <w:sz w:val="20"/>
                <w:szCs w:val="20"/>
                <w:color w:val="auto"/>
              </w:rPr>
            </w:pPr>
            <w:r>
              <w:rPr>
                <w:rFonts w:ascii="Arial" w:cs="Arial" w:eastAsia="Arial" w:hAnsi="Arial"/>
                <w:sz w:val="18"/>
                <w:szCs w:val="18"/>
                <w:color w:val="auto"/>
              </w:rPr>
              <w:t>Net cash provided by operating activities</w:t>
            </w:r>
          </w:p>
        </w:tc>
        <w:tc>
          <w:tcPr>
            <w:tcW w:w="9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28,361</w:t>
            </w:r>
          </w:p>
        </w:tc>
        <w:tc>
          <w:tcPr>
            <w:tcW w:w="1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39,782</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900" w:type="dxa"/>
            <w:vAlign w:val="bottom"/>
          </w:tcPr>
          <w:p>
            <w:pPr>
              <w:spacing w:after="0" w:line="170" w:lineRule="exact"/>
              <w:rPr>
                <w:sz w:val="20"/>
                <w:szCs w:val="20"/>
                <w:color w:val="auto"/>
              </w:rPr>
            </w:pPr>
            <w:r>
              <w:rPr>
                <w:rFonts w:ascii="Arial" w:cs="Arial" w:eastAsia="Arial" w:hAnsi="Arial"/>
                <w:sz w:val="18"/>
                <w:szCs w:val="18"/>
                <w:b w:val="1"/>
                <w:bCs w:val="1"/>
                <w:color w:val="auto"/>
              </w:rPr>
              <w:t>Cash Flows from Investing Activities:</w:t>
            </w: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0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Purchases of equipment</w:t>
            </w: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(7,944)</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(8,746)</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00" w:type="dxa"/>
            <w:vAlign w:val="bottom"/>
            <w:tcBorders>
              <w:bottom w:val="single" w:sz="8" w:color="CCEEFF"/>
            </w:tcBorders>
          </w:tcPr>
          <w:p>
            <w:pPr>
              <w:ind w:left="200"/>
              <w:spacing w:after="0" w:line="176" w:lineRule="exact"/>
              <w:rPr>
                <w:sz w:val="20"/>
                <w:szCs w:val="20"/>
                <w:color w:val="auto"/>
              </w:rPr>
            </w:pPr>
            <w:r>
              <w:rPr>
                <w:rFonts w:ascii="Arial" w:cs="Arial" w:eastAsia="Arial" w:hAnsi="Arial"/>
                <w:sz w:val="18"/>
                <w:szCs w:val="18"/>
                <w:color w:val="auto"/>
              </w:rPr>
              <w:t>Cash paid for Softmart</w:t>
            </w:r>
          </w:p>
        </w:tc>
        <w:tc>
          <w:tcPr>
            <w:tcW w:w="9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(33,983)</w:t>
            </w: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900" w:type="dxa"/>
            <w:vAlign w:val="bottom"/>
            <w:shd w:val="clear" w:color="auto" w:fill="CCEEFF"/>
          </w:tcPr>
          <w:p>
            <w:pPr>
              <w:ind w:left="200"/>
              <w:spacing w:after="0" w:line="170" w:lineRule="exact"/>
              <w:rPr>
                <w:sz w:val="20"/>
                <w:szCs w:val="20"/>
                <w:color w:val="auto"/>
              </w:rPr>
            </w:pPr>
            <w:r>
              <w:rPr>
                <w:rFonts w:ascii="Arial" w:cs="Arial" w:eastAsia="Arial" w:hAnsi="Arial"/>
                <w:sz w:val="18"/>
                <w:szCs w:val="18"/>
                <w:color w:val="auto"/>
              </w:rPr>
              <w:t>Net cash used for investing activities</w:t>
            </w:r>
          </w:p>
        </w:tc>
        <w:tc>
          <w:tcPr>
            <w:tcW w:w="9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(7,944)</w:t>
            </w:r>
          </w:p>
        </w:tc>
        <w:tc>
          <w:tcPr>
            <w:tcW w:w="1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(42,729)</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900" w:type="dxa"/>
            <w:vAlign w:val="bottom"/>
          </w:tcPr>
          <w:p>
            <w:pPr>
              <w:spacing w:after="0" w:line="170" w:lineRule="exact"/>
              <w:rPr>
                <w:sz w:val="20"/>
                <w:szCs w:val="20"/>
                <w:color w:val="auto"/>
              </w:rPr>
            </w:pPr>
            <w:r>
              <w:rPr>
                <w:rFonts w:ascii="Arial" w:cs="Arial" w:eastAsia="Arial" w:hAnsi="Arial"/>
                <w:sz w:val="18"/>
                <w:szCs w:val="18"/>
                <w:b w:val="1"/>
                <w:bCs w:val="1"/>
                <w:color w:val="auto"/>
              </w:rPr>
              <w:t>Cash Flows from Financing Activities:</w:t>
            </w: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0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Dividend payment</w:t>
            </w: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(9,041)</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(10,591)</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00" w:type="dxa"/>
            <w:vAlign w:val="bottom"/>
          </w:tcPr>
          <w:p>
            <w:pPr>
              <w:ind w:left="200"/>
              <w:spacing w:after="0" w:line="176" w:lineRule="exact"/>
              <w:rPr>
                <w:sz w:val="20"/>
                <w:szCs w:val="20"/>
                <w:color w:val="auto"/>
              </w:rPr>
            </w:pPr>
            <w:r>
              <w:rPr>
                <w:rFonts w:ascii="Arial" w:cs="Arial" w:eastAsia="Arial" w:hAnsi="Arial"/>
                <w:sz w:val="18"/>
                <w:szCs w:val="18"/>
                <w:color w:val="auto"/>
              </w:rPr>
              <w:t>Exercise of stock options</w:t>
            </w: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1,679</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0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Issuance of stock under Employee Stock Purchase Plan</w:t>
            </w: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603</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473</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00" w:type="dxa"/>
            <w:vAlign w:val="bottom"/>
          </w:tcPr>
          <w:p>
            <w:pPr>
              <w:ind w:left="200"/>
              <w:spacing w:after="0" w:line="176" w:lineRule="exact"/>
              <w:rPr>
                <w:sz w:val="20"/>
                <w:szCs w:val="20"/>
                <w:color w:val="auto"/>
              </w:rPr>
            </w:pPr>
            <w:r>
              <w:rPr>
                <w:rFonts w:ascii="Arial" w:cs="Arial" w:eastAsia="Arial" w:hAnsi="Arial"/>
                <w:sz w:val="18"/>
                <w:szCs w:val="18"/>
                <w:color w:val="auto"/>
              </w:rPr>
              <w:t>Excess tax benefit from exercise of equity awards</w:t>
            </w: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385</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0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Payment of payroll taxes on stock-based compensation through shares withheld</w:t>
            </w:r>
          </w:p>
        </w:tc>
        <w:tc>
          <w:tcPr>
            <w:tcW w:w="9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(500)</w:t>
            </w:r>
          </w:p>
        </w:tc>
        <w:tc>
          <w:tcPr>
            <w:tcW w:w="16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(625)</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900" w:type="dxa"/>
            <w:vAlign w:val="bottom"/>
            <w:tcBorders>
              <w:bottom w:val="single" w:sz="8" w:color="CCEEFF"/>
            </w:tcBorders>
          </w:tcPr>
          <w:p>
            <w:pPr>
              <w:ind w:left="200"/>
              <w:spacing w:after="0" w:line="170" w:lineRule="exact"/>
              <w:rPr>
                <w:sz w:val="20"/>
                <w:szCs w:val="20"/>
                <w:color w:val="auto"/>
              </w:rPr>
            </w:pPr>
            <w:r>
              <w:rPr>
                <w:rFonts w:ascii="Arial" w:cs="Arial" w:eastAsia="Arial" w:hAnsi="Arial"/>
                <w:sz w:val="18"/>
                <w:szCs w:val="18"/>
                <w:color w:val="auto"/>
              </w:rPr>
              <w:t>Net cash used for financing activities</w:t>
            </w:r>
          </w:p>
        </w:tc>
        <w:tc>
          <w:tcPr>
            <w:tcW w:w="9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(7,259)</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(10,358)</w:t>
            </w: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900" w:type="dxa"/>
            <w:vAlign w:val="bottom"/>
            <w:shd w:val="clear" w:color="auto" w:fill="CCEEFF"/>
          </w:tcPr>
          <w:p>
            <w:pPr>
              <w:ind w:left="200"/>
              <w:spacing w:after="0" w:line="170" w:lineRule="exact"/>
              <w:rPr>
                <w:sz w:val="20"/>
                <w:szCs w:val="20"/>
                <w:color w:val="auto"/>
              </w:rPr>
            </w:pPr>
            <w:r>
              <w:rPr>
                <w:rFonts w:ascii="Arial" w:cs="Arial" w:eastAsia="Arial" w:hAnsi="Arial"/>
                <w:sz w:val="18"/>
                <w:szCs w:val="18"/>
                <w:color w:val="auto"/>
              </w:rPr>
              <w:t>Increase (decrease) in cash and cash equivalents</w:t>
            </w: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13,158</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(13,305)</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00" w:type="dxa"/>
            <w:vAlign w:val="bottom"/>
            <w:tcBorders>
              <w:bottom w:val="single" w:sz="8" w:color="CCEEFF"/>
            </w:tcBorders>
          </w:tcPr>
          <w:p>
            <w:pPr>
              <w:ind w:left="200"/>
              <w:spacing w:after="0" w:line="176" w:lineRule="exact"/>
              <w:rPr>
                <w:sz w:val="20"/>
                <w:szCs w:val="20"/>
                <w:color w:val="auto"/>
              </w:rPr>
            </w:pPr>
            <w:r>
              <w:rPr>
                <w:rFonts w:ascii="Arial" w:cs="Arial" w:eastAsia="Arial" w:hAnsi="Arial"/>
                <w:sz w:val="18"/>
                <w:szCs w:val="18"/>
                <w:color w:val="auto"/>
              </w:rPr>
              <w:t>Cash and cash equivalents, beginning of period</w:t>
            </w:r>
          </w:p>
        </w:tc>
        <w:tc>
          <w:tcPr>
            <w:tcW w:w="9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49,180</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80,188</w:t>
            </w: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00" w:type="dxa"/>
            <w:vAlign w:val="bottom"/>
            <w:tcBorders>
              <w:bottom w:val="single" w:sz="8" w:color="CCEEFF"/>
            </w:tcBorders>
            <w:shd w:val="clear" w:color="auto" w:fill="CCEEFF"/>
          </w:tcPr>
          <w:p>
            <w:pPr>
              <w:ind w:left="200"/>
              <w:spacing w:after="0" w:line="170" w:lineRule="exact"/>
              <w:rPr>
                <w:sz w:val="20"/>
                <w:szCs w:val="20"/>
                <w:color w:val="auto"/>
              </w:rPr>
            </w:pPr>
            <w:r>
              <w:rPr>
                <w:rFonts w:ascii="Arial" w:cs="Arial" w:eastAsia="Arial" w:hAnsi="Arial"/>
                <w:sz w:val="18"/>
                <w:szCs w:val="18"/>
                <w:color w:val="auto"/>
              </w:rPr>
              <w:t>Cash and cash equivalents, end of period</w:t>
            </w:r>
          </w:p>
        </w:tc>
        <w:tc>
          <w:tcPr>
            <w:tcW w:w="9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5"/>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62,338</w:t>
            </w: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66,883</w:t>
            </w:r>
          </w:p>
        </w:tc>
        <w:tc>
          <w:tcPr>
            <w:tcW w:w="1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69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90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Non-cash Investing and Financing Activities:</w:t>
            </w: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00" w:type="dxa"/>
            <w:vAlign w:val="bottom"/>
          </w:tcPr>
          <w:p>
            <w:pPr>
              <w:ind w:left="200"/>
              <w:spacing w:after="0" w:line="176" w:lineRule="exact"/>
              <w:rPr>
                <w:sz w:val="20"/>
                <w:szCs w:val="20"/>
                <w:color w:val="auto"/>
              </w:rPr>
            </w:pPr>
            <w:r>
              <w:rPr>
                <w:rFonts w:ascii="Arial" w:cs="Arial" w:eastAsia="Arial" w:hAnsi="Arial"/>
                <w:sz w:val="18"/>
                <w:szCs w:val="18"/>
                <w:color w:val="auto"/>
              </w:rPr>
              <w:t>Accrued capital expenditures</w:t>
            </w:r>
          </w:p>
        </w:tc>
        <w:tc>
          <w:tcPr>
            <w:tcW w:w="1180" w:type="dxa"/>
            <w:vAlign w:val="bottom"/>
            <w:gridSpan w:val="2"/>
          </w:tcPr>
          <w:p>
            <w:pPr>
              <w:jc w:val="right"/>
              <w:ind w:right="45"/>
              <w:spacing w:after="0" w:line="176"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294</w:t>
            </w:r>
          </w:p>
        </w:tc>
        <w:tc>
          <w:tcPr>
            <w:tcW w:w="340" w:type="dxa"/>
            <w:vAlign w:val="bottom"/>
            <w:gridSpan w:val="2"/>
          </w:tcPr>
          <w:p>
            <w:pPr>
              <w:jc w:val="right"/>
              <w:ind w:right="25"/>
              <w:spacing w:after="0" w:line="176"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160</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0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Supplemental Cash Flow Information:</w:t>
            </w: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00" w:type="dxa"/>
            <w:vAlign w:val="bottom"/>
          </w:tcPr>
          <w:p>
            <w:pPr>
              <w:ind w:left="200"/>
              <w:spacing w:after="0"/>
              <w:rPr>
                <w:sz w:val="20"/>
                <w:szCs w:val="20"/>
                <w:color w:val="auto"/>
              </w:rPr>
            </w:pPr>
            <w:r>
              <w:rPr>
                <w:rFonts w:ascii="Arial" w:cs="Arial" w:eastAsia="Arial" w:hAnsi="Arial"/>
                <w:sz w:val="18"/>
                <w:szCs w:val="18"/>
                <w:color w:val="auto"/>
              </w:rPr>
              <w:t>Income taxes paid</w:t>
            </w:r>
          </w:p>
        </w:tc>
        <w:tc>
          <w:tcPr>
            <w:tcW w:w="11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24,293</w:t>
            </w:r>
          </w:p>
        </w:tc>
        <w:tc>
          <w:tcPr>
            <w:tcW w:w="3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23,953</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8873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PC CONNECTION, INC. AND SUBSIDIARIES</w:t>
      </w:r>
    </w:p>
    <w:p>
      <w:pPr>
        <w:jc w:val="center"/>
        <w:spacing w:after="0" w:line="203" w:lineRule="auto"/>
        <w:rPr>
          <w:sz w:val="20"/>
          <w:szCs w:val="20"/>
          <w:color w:val="auto"/>
        </w:rPr>
      </w:pPr>
      <w:r>
        <w:rPr>
          <w:rFonts w:ascii="Arial" w:cs="Arial" w:eastAsia="Arial" w:hAnsi="Arial"/>
          <w:sz w:val="18"/>
          <w:szCs w:val="18"/>
          <w:b w:val="1"/>
          <w:bCs w:val="1"/>
          <w:color w:val="auto"/>
        </w:rPr>
        <w:t>PART I―FINANCIAL INFORMATION</w:t>
      </w:r>
    </w:p>
    <w:p>
      <w:pPr>
        <w:jc w:val="center"/>
        <w:spacing w:after="0" w:line="204" w:lineRule="auto"/>
        <w:rPr>
          <w:sz w:val="20"/>
          <w:szCs w:val="20"/>
          <w:color w:val="auto"/>
        </w:rPr>
      </w:pPr>
      <w:r>
        <w:rPr>
          <w:rFonts w:ascii="Arial" w:cs="Arial" w:eastAsia="Arial" w:hAnsi="Arial"/>
          <w:sz w:val="18"/>
          <w:szCs w:val="18"/>
          <w:b w:val="1"/>
          <w:bCs w:val="1"/>
          <w:color w:val="auto"/>
        </w:rPr>
        <w:t>Item 1―Financial Statements</w:t>
      </w:r>
    </w:p>
    <w:p>
      <w:pPr>
        <w:jc w:val="center"/>
        <w:ind w:right="80"/>
        <w:spacing w:after="0" w:line="203" w:lineRule="auto"/>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(amounts in thousands, except per share data)</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1–Basis of Presentation</w:t>
      </w:r>
    </w:p>
    <w:p>
      <w:pPr>
        <w:spacing w:after="0" w:line="148" w:lineRule="exact"/>
        <w:rPr>
          <w:sz w:val="20"/>
          <w:szCs w:val="20"/>
          <w:color w:val="auto"/>
        </w:rPr>
      </w:pPr>
    </w:p>
    <w:p>
      <w:pPr>
        <w:jc w:val="both"/>
        <w:ind w:firstLine="324"/>
        <w:spacing w:after="0" w:line="226" w:lineRule="auto"/>
        <w:rPr>
          <w:sz w:val="20"/>
          <w:szCs w:val="20"/>
          <w:color w:val="auto"/>
        </w:rPr>
      </w:pPr>
      <w:r>
        <w:rPr>
          <w:rFonts w:ascii="Arial" w:cs="Arial" w:eastAsia="Arial" w:hAnsi="Arial"/>
          <w:sz w:val="17"/>
          <w:szCs w:val="17"/>
          <w:color w:val="auto"/>
        </w:rPr>
        <w:t>The accompanying condensed consolidated financial statements of PC Connection, Inc. and its subsidiaries (the “Company,” “we,” “us,” or “our”) have been prepared in accordance with accounting principles generally accepted in the United States of America. Such principles were applied on a basis consistent with the accounting policies described in our Annual Report on Form 10-K for the year ended December 31, 2016, filed with the Securities and Exchange Commission (the “SEC”). The accompanying condensed consolidated financial statements should be read in conjunction with the financial statements contained in our Annual Report on Form 10-K.</w:t>
      </w:r>
    </w:p>
    <w:p>
      <w:pPr>
        <w:spacing w:after="0" w:line="125" w:lineRule="exact"/>
        <w:rPr>
          <w:sz w:val="20"/>
          <w:szCs w:val="20"/>
          <w:color w:val="auto"/>
        </w:rPr>
      </w:pPr>
    </w:p>
    <w:p>
      <w:pPr>
        <w:ind w:right="20" w:firstLine="324"/>
        <w:spacing w:after="0" w:line="233" w:lineRule="auto"/>
        <w:rPr>
          <w:sz w:val="20"/>
          <w:szCs w:val="20"/>
          <w:color w:val="auto"/>
        </w:rPr>
      </w:pPr>
      <w:r>
        <w:rPr>
          <w:rFonts w:ascii="Arial" w:cs="Arial" w:eastAsia="Arial" w:hAnsi="Arial"/>
          <w:sz w:val="16"/>
          <w:szCs w:val="16"/>
          <w:color w:val="auto"/>
        </w:rPr>
        <w:t>In the opinion of management, the accompanying unaudited condensed consolidated financial statements contain all adjustments (consisting only of normal recurring adjustments) necessary for a fair presentation of the results of operations for the interim periods reported and of the Company’s financial condition as of the date of the interim balance sheet. The Company considers events or transactions that occur after the balance sheet date but before the financial statements are issued to provide additional evidence relative to certain estimates or to identify matters that require additional</w:t>
      </w:r>
    </w:p>
    <w:p>
      <w:pPr>
        <w:spacing w:after="0" w:line="1" w:lineRule="exact"/>
        <w:rPr>
          <w:sz w:val="20"/>
          <w:szCs w:val="20"/>
          <w:color w:val="auto"/>
        </w:rPr>
      </w:pPr>
    </w:p>
    <w:p>
      <w:pPr>
        <w:ind w:right="60"/>
        <w:spacing w:after="0" w:line="218" w:lineRule="auto"/>
        <w:rPr>
          <w:sz w:val="20"/>
          <w:szCs w:val="20"/>
          <w:color w:val="auto"/>
        </w:rPr>
      </w:pPr>
      <w:r>
        <w:rPr>
          <w:rFonts w:ascii="Arial" w:cs="Arial" w:eastAsia="Arial" w:hAnsi="Arial"/>
          <w:sz w:val="18"/>
          <w:szCs w:val="18"/>
          <w:color w:val="auto"/>
        </w:rPr>
        <w:t>disclosure. Subsequent events have been evaluated through the date of issuance of these financial statements. The operating results for the three and nine months ended September 30, 2017 may not be indicative of the results expected for any succeeding quarter or the entire year ending December 31, 2017.</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Use of Estimates in the Preparation of Financial Statements</w:t>
      </w:r>
    </w:p>
    <w:p>
      <w:pPr>
        <w:spacing w:after="0" w:line="144" w:lineRule="exact"/>
        <w:rPr>
          <w:sz w:val="20"/>
          <w:szCs w:val="20"/>
          <w:color w:val="auto"/>
        </w:rPr>
      </w:pPr>
    </w:p>
    <w:p>
      <w:pPr>
        <w:ind w:right="80" w:firstLine="324"/>
        <w:spacing w:after="0" w:line="259"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estimates and assumptions. These estimates and assumptions affect the amounts reported in the accompanying condensed consolidated financial statements. Actual results could differ from those estimates.</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1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had no items of comprehensive income, other than our net income for each of the periods presented.</w:t>
      </w:r>
    </w:p>
    <w:p>
      <w:pPr>
        <w:spacing w:after="0" w:line="14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Recently Issued Financial Accounting Standards</w:t>
      </w:r>
    </w:p>
    <w:p>
      <w:pPr>
        <w:spacing w:after="0" w:line="144" w:lineRule="exact"/>
        <w:rPr>
          <w:sz w:val="20"/>
          <w:szCs w:val="20"/>
          <w:color w:val="auto"/>
        </w:rPr>
      </w:pPr>
    </w:p>
    <w:p>
      <w:pPr>
        <w:ind w:right="20" w:firstLine="324"/>
        <w:spacing w:after="0" w:line="234" w:lineRule="auto"/>
        <w:rPr>
          <w:sz w:val="20"/>
          <w:szCs w:val="20"/>
          <w:color w:val="auto"/>
        </w:rPr>
      </w:pPr>
      <w:r>
        <w:rPr>
          <w:rFonts w:ascii="Arial" w:cs="Arial" w:eastAsia="Arial" w:hAnsi="Arial"/>
          <w:sz w:val="16"/>
          <w:szCs w:val="16"/>
          <w:color w:val="auto"/>
        </w:rPr>
        <w:t>On May 28, 2014, the Financial Accounting Standards Board, or the FASB, issued Accounting Standards Update (“ASU”) No. 2014-09, “Revenue from Contracts with Customers,” which amends the existing accounting standards for revenue recognition. The core principle of the guidance is that an entity should recognize revenue to depict the transfer of promised goods or services to customers in an amount that reflects the consideration to which the entity expects to be entitled in exchange for those goods or services. In July 2015, the FASB voted to amend ASU 2014-09 by approving a one-year deferral of the mandatory effective date as well as providing the option to early adopt the standard on the original effective date. Accordingly, the Company will adopt the standard in its first quarter of 2018. An entity may choose to adopt the new standard either through a full retrospective method with application to all periods presented or on a modified retrospective method through a cumulative effect adjustment as of the start of the first period for which it applies the new standard. We are in the process of determining the effect that the adoption will have on our consolidated financial statements. Based on our analysis to date, we have reached the following tentative conclusions regarding the new standard and how we expect it to affect our consolidated financial statements and related disclosures:</w:t>
      </w:r>
    </w:p>
    <w:p>
      <w:pPr>
        <w:spacing w:after="0" w:line="130" w:lineRule="exact"/>
        <w:rPr>
          <w:sz w:val="20"/>
          <w:szCs w:val="20"/>
          <w:color w:val="auto"/>
        </w:rPr>
      </w:pPr>
    </w:p>
    <w:p>
      <w:pPr>
        <w:ind w:left="660" w:hanging="33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expect to adopt the standard in the first quarter of 2018 and will not early adopt.</w:t>
      </w:r>
    </w:p>
    <w:p>
      <w:pPr>
        <w:spacing w:after="0" w:line="144" w:lineRule="exact"/>
        <w:rPr>
          <w:rFonts w:ascii="Arial" w:cs="Arial" w:eastAsia="Arial" w:hAnsi="Arial"/>
          <w:sz w:val="18"/>
          <w:szCs w:val="18"/>
          <w:color w:val="auto"/>
        </w:rPr>
      </w:pPr>
    </w:p>
    <w:p>
      <w:pPr>
        <w:ind w:left="660" w:right="160" w:hanging="333"/>
        <w:spacing w:after="0" w:line="22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expect to use the full retrospective method. Such method provides that upon applying the new standard, prior periods will be retrospectively adjusted and the cumulative effect of the change recognized in the opening retained earnings and other accounts as of January 1, 2016.</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right="160" w:hanging="333"/>
        <w:spacing w:after="0" w:line="23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believe that since substantially all of our revenue is contractual, substantially all of our revenue falls within the scope of ASU No. 2014-09, as amended.</w:t>
      </w:r>
    </w:p>
    <w:p>
      <w:pPr>
        <w:spacing w:after="0" w:line="121" w:lineRule="exact"/>
        <w:rPr>
          <w:rFonts w:ascii="Arial" w:cs="Arial" w:eastAsia="Arial" w:hAnsi="Arial"/>
          <w:sz w:val="18"/>
          <w:szCs w:val="18"/>
          <w:color w:val="auto"/>
        </w:rPr>
      </w:pPr>
    </w:p>
    <w:p>
      <w:pPr>
        <w:ind w:left="660" w:right="160" w:hanging="333"/>
        <w:spacing w:after="0" w:line="21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hardware revenue is generally recognized on a gross basis upon delivery. Upon adoption of the new standard, we do expect to recognize revenue at an earlier point in time than we are recognizing under current accounting standards for contracts where shipping terms are FOB shipping point. However, we are continuing to analyze each of our other revenue streams, including software to determine any changes that may be required under the new standard.</w:t>
      </w:r>
    </w:p>
    <w:p>
      <w:pPr>
        <w:spacing w:after="0" w:line="121" w:lineRule="exact"/>
        <w:rPr>
          <w:rFonts w:ascii="Arial" w:cs="Arial" w:eastAsia="Arial" w:hAnsi="Arial"/>
          <w:sz w:val="18"/>
          <w:szCs w:val="18"/>
          <w:color w:val="auto"/>
        </w:rPr>
      </w:pPr>
    </w:p>
    <w:p>
      <w:pPr>
        <w:ind w:left="660" w:right="40" w:hanging="333"/>
        <w:spacing w:after="0" w:line="244"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hold inventories not available for sale related to certain product sales transactions in which we are warehousing the product and will be deploying the product to our clients’ designated locations subsequent to period-end. We are currently evaluating the effect of the new standard on our inventories not available for sale to identify the differing performance obligations within the underlying contracts and to determine if a portion of revenue under the contracts should be recognized at an earlier point in time than we are recognizing under current accounting standards.</w:t>
      </w:r>
    </w:p>
    <w:p>
      <w:pPr>
        <w:spacing w:after="0" w:line="118" w:lineRule="exact"/>
        <w:rPr>
          <w:rFonts w:ascii="Arial" w:cs="Arial" w:eastAsia="Arial" w:hAnsi="Arial"/>
          <w:sz w:val="16"/>
          <w:szCs w:val="16"/>
          <w:color w:val="auto"/>
        </w:rPr>
      </w:pPr>
    </w:p>
    <w:p>
      <w:pPr>
        <w:ind w:left="660" w:right="220" w:hanging="333"/>
        <w:spacing w:after="0" w:line="23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expect that our disclosures in our notes to our consolidated financial statements related to revenue recognition will be significantly expanded under the new standard.</w:t>
      </w:r>
    </w:p>
    <w:p>
      <w:pPr>
        <w:spacing w:after="0" w:line="121" w:lineRule="exact"/>
        <w:rPr>
          <w:sz w:val="20"/>
          <w:szCs w:val="20"/>
          <w:color w:val="auto"/>
        </w:rPr>
      </w:pPr>
    </w:p>
    <w:p>
      <w:pPr>
        <w:ind w:right="100"/>
        <w:spacing w:after="0" w:line="219" w:lineRule="auto"/>
        <w:rPr>
          <w:sz w:val="20"/>
          <w:szCs w:val="20"/>
          <w:color w:val="auto"/>
        </w:rPr>
      </w:pPr>
      <w:r>
        <w:rPr>
          <w:rFonts w:ascii="Arial" w:cs="Arial" w:eastAsia="Arial" w:hAnsi="Arial"/>
          <w:sz w:val="18"/>
          <w:szCs w:val="18"/>
          <w:color w:val="auto"/>
        </w:rPr>
        <w:t>Our analysis and evaluation of the new standard will continue through its effective date in the first quarter of 2018. A substantial amount of work remains to be completed due to the complexity of the new standard, the application of judgment, and the requirement for the use of estimates in applying the new standard, as well as the volume of our client portfolio and the related terms and conditions of our contracts that must be reviewed.</w:t>
      </w:r>
    </w:p>
    <w:p>
      <w:pPr>
        <w:spacing w:after="0" w:line="122" w:lineRule="exact"/>
        <w:rPr>
          <w:sz w:val="20"/>
          <w:szCs w:val="20"/>
          <w:color w:val="auto"/>
        </w:rPr>
      </w:pPr>
    </w:p>
    <w:p>
      <w:pPr>
        <w:ind w:firstLine="324"/>
        <w:spacing w:after="0" w:line="223"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The new standard establishes a right-of-use (ROU) model that requires a lessee to record a ROU asset and a lease liability on the balance sheet for all leases with terms longer than twelve months. Leases will be classified as either finance or operating, with classification affecting the pattern of expense recognition in the income statement. The new standard is effective for fiscal years beginning after December 15, 2018, including interim periods within those fiscal years. A modified retrospective transition approach is required for lessees for capital and operating leases existing at, or entered into after, the beginning of the earliest comparative period presented in the financial statements, with certain practical expedients available. We are currently assessing the potential impact of the adoption of ASU 2016-02 on our consolidated financial statements.</w:t>
      </w:r>
    </w:p>
    <w:p>
      <w:pPr>
        <w:spacing w:after="0" w:line="127" w:lineRule="exact"/>
        <w:rPr>
          <w:sz w:val="20"/>
          <w:szCs w:val="20"/>
          <w:color w:val="auto"/>
        </w:rPr>
      </w:pPr>
    </w:p>
    <w:p>
      <w:pPr>
        <w:ind w:right="140" w:firstLine="324"/>
        <w:spacing w:after="0" w:line="236" w:lineRule="auto"/>
        <w:rPr>
          <w:sz w:val="20"/>
          <w:szCs w:val="20"/>
          <w:color w:val="auto"/>
        </w:rPr>
      </w:pPr>
      <w:r>
        <w:rPr>
          <w:rFonts w:ascii="Arial" w:cs="Arial" w:eastAsia="Arial" w:hAnsi="Arial"/>
          <w:sz w:val="16"/>
          <w:szCs w:val="16"/>
          <w:color w:val="auto"/>
        </w:rPr>
        <w:t xml:space="preserve">In January 2017, the FASB issued ASU 2017-04, </w:t>
      </w:r>
      <w:r>
        <w:rPr>
          <w:rFonts w:ascii="Arial" w:cs="Arial" w:eastAsia="Arial" w:hAnsi="Arial"/>
          <w:sz w:val="16"/>
          <w:szCs w:val="16"/>
          <w:i w:val="1"/>
          <w:iCs w:val="1"/>
          <w:color w:val="auto"/>
        </w:rPr>
        <w:t>Simplifying the Test for Goodwill Impairment</w:t>
      </w:r>
      <w:r>
        <w:rPr>
          <w:rFonts w:ascii="Arial" w:cs="Arial" w:eastAsia="Arial" w:hAnsi="Arial"/>
          <w:sz w:val="16"/>
          <w:szCs w:val="16"/>
          <w:color w:val="auto"/>
        </w:rPr>
        <w:t>, which simplifies the accounting for goodwill impairments by eliminating step two from the goodwill impairment test. Instead, if the carrying amount of a reporting unit exceeds its fair value, an impairment loss shall be recognized in an amount equal to that excess, limited to the total amount of goodwill allocated to that reporting unit. ASU 2017-04 also clarifies the requirements for excluding and allocating foreign currency translation adjustments to reporting units related to an entity's testing of reporting units for goodwill impairment and clarifies that an entity should consider income tax effects from any tax deductible goodwill on the carrying amount of the reporting unit when measuring the goodwill impairment loss, if applicable. ASU 2017-04 is effective for us beginning January 1, 2020 for both interim and annual reporting periods. We are currently assessing the potential impact of the adoption of ASC 2017-04 on our consolidated financial statements.</w:t>
      </w:r>
    </w:p>
    <w:p>
      <w:pPr>
        <w:spacing w:after="0" w:line="127" w:lineRule="exact"/>
        <w:rPr>
          <w:sz w:val="20"/>
          <w:szCs w:val="20"/>
          <w:color w:val="auto"/>
        </w:rPr>
      </w:pPr>
    </w:p>
    <w:p>
      <w:pPr>
        <w:ind w:firstLine="324"/>
        <w:spacing w:after="0" w:line="223" w:lineRule="auto"/>
        <w:rPr>
          <w:sz w:val="20"/>
          <w:szCs w:val="20"/>
          <w:color w:val="auto"/>
        </w:rPr>
      </w:pPr>
      <w:r>
        <w:rPr>
          <w:rFonts w:ascii="Arial" w:cs="Arial" w:eastAsia="Arial" w:hAnsi="Arial"/>
          <w:sz w:val="17"/>
          <w:szCs w:val="17"/>
          <w:color w:val="auto"/>
        </w:rPr>
        <w:t xml:space="preserve">In July 2015, the FASB issued ASU 2015-11, </w:t>
      </w:r>
      <w:r>
        <w:rPr>
          <w:rFonts w:ascii="Arial" w:cs="Arial" w:eastAsia="Arial" w:hAnsi="Arial"/>
          <w:sz w:val="17"/>
          <w:szCs w:val="17"/>
          <w:i w:val="1"/>
          <w:iCs w:val="1"/>
          <w:color w:val="auto"/>
        </w:rPr>
        <w:t>Simplifying the Measurement of Inventory</w:t>
      </w:r>
      <w:r>
        <w:rPr>
          <w:rFonts w:ascii="Arial" w:cs="Arial" w:eastAsia="Arial" w:hAnsi="Arial"/>
          <w:sz w:val="17"/>
          <w:szCs w:val="17"/>
          <w:color w:val="auto"/>
        </w:rPr>
        <w:t>, which modifies existing requirements regarding measuring inventory at the lower of cost or market. Under prior standards, the market amount required consideration of replacement cost, net realizable value (NRV), and NRV less an approximately normal profit margin. The new ASU replaces market with NRV, defined as estimated selling prices in the ordinary course of business, less reasonably predictable costs of completion, disposal, and transportation. This eliminates the need to determine and consider replacement cost or NRV less an approximately normal profit margin when measuring inventory. We adopted the standard in the first quarter of 2017 and applied the provisions prospectively. The adoption of ASU 2015-11 did not have a material impact on our consolidated financial statements.</w:t>
      </w:r>
    </w:p>
    <w:p>
      <w:pPr>
        <w:spacing w:after="0" w:line="127" w:lineRule="exact"/>
        <w:rPr>
          <w:sz w:val="20"/>
          <w:szCs w:val="20"/>
          <w:color w:val="auto"/>
        </w:rPr>
      </w:pPr>
    </w:p>
    <w:p>
      <w:pPr>
        <w:ind w:right="20" w:firstLine="324"/>
        <w:spacing w:after="0" w:line="232" w:lineRule="auto"/>
        <w:rPr>
          <w:sz w:val="20"/>
          <w:szCs w:val="20"/>
          <w:color w:val="auto"/>
        </w:rPr>
      </w:pPr>
      <w:r>
        <w:rPr>
          <w:rFonts w:ascii="Arial" w:cs="Arial" w:eastAsia="Arial" w:hAnsi="Arial"/>
          <w:sz w:val="17"/>
          <w:szCs w:val="17"/>
          <w:color w:val="auto"/>
        </w:rPr>
        <w:t xml:space="preserve">In March 2016, the FASB issued ASU 2016-09, </w:t>
      </w:r>
      <w:r>
        <w:rPr>
          <w:rFonts w:ascii="Arial" w:cs="Arial" w:eastAsia="Arial" w:hAnsi="Arial"/>
          <w:sz w:val="17"/>
          <w:szCs w:val="17"/>
          <w:i w:val="1"/>
          <w:iCs w:val="1"/>
          <w:color w:val="auto"/>
        </w:rPr>
        <w:t>Improvements to Employee Share-Based Payment Accounting</w:t>
      </w:r>
      <w:r>
        <w:rPr>
          <w:rFonts w:ascii="Arial" w:cs="Arial" w:eastAsia="Arial" w:hAnsi="Arial"/>
          <w:sz w:val="17"/>
          <w:szCs w:val="17"/>
          <w:color w:val="auto"/>
        </w:rPr>
        <w:t>. The new standard simplifies several aspects of the accounting for employee share-based payment transactions, including the accounting for income taxes, forfeitures, and statutory tax withholding requirements, as well as classification in the statement of cash flows. Under this guidance, a company recognizes all excess tax benefits and tax deficiencies as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spacing w:after="0" w:line="234" w:lineRule="auto"/>
        <w:rPr>
          <w:sz w:val="20"/>
          <w:szCs w:val="20"/>
          <w:color w:val="auto"/>
        </w:rPr>
      </w:pPr>
      <w:r>
        <w:rPr>
          <w:rFonts w:ascii="Arial" w:cs="Arial" w:eastAsia="Arial" w:hAnsi="Arial"/>
          <w:sz w:val="16"/>
          <w:szCs w:val="16"/>
          <w:color w:val="auto"/>
        </w:rPr>
        <w:t>income tax expense or benefit in the income statement. This change eliminates the notion of the additional paid-in capital pool and reduces the complexity in accounting for excess tax benefits and tax deficiencies. The primary impact of our adoption was the recognition of excess tax benefits related to equity compensation in our provision for income taxes rather than paid-in capital, which is a change required to be applied on a prospective basis in accordance with the new guidance. There were no unrecognized excess tax benefits at implementation. Accordingly, we recorded discrete income tax benefits in the consolidated statements of income of $995 during the nine months ended September 30, 2017, for excess tax benefits related to equity compensation. The corresponding cash flows are reflected in cash provided by operating activities instead of financing activities, as was previously required. We adopted the cash flow presentation that requires presentation of excess tax benefits within operating activities on a prospective basis. Additionally, under ASU 2016-09, we have elected to continue to estimate equity award forfeitures expected to occur to determine the amount of compensation cost to be recognized in each period. Additional amendments to the accounting for income taxes and minimum statutory withholding tax requirements had no impact on our results of operations. The presentation requirements for cash flows related to employee taxes paid for withheld shares also had no impact to any of the periods presented in our condensed consolidated statements of cash flows since such cash flows have historically been presented as a financing activity.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2–Earnings Per Share</w:t>
      </w:r>
    </w:p>
    <w:p>
      <w:pPr>
        <w:spacing w:after="0" w:line="148" w:lineRule="exact"/>
        <w:rPr>
          <w:sz w:val="20"/>
          <w:szCs w:val="20"/>
          <w:color w:val="auto"/>
        </w:rPr>
      </w:pPr>
    </w:p>
    <w:p>
      <w:pPr>
        <w:ind w:right="100" w:firstLine="324"/>
        <w:spacing w:after="0" w:line="224" w:lineRule="auto"/>
        <w:rPr>
          <w:sz w:val="20"/>
          <w:szCs w:val="20"/>
          <w:color w:val="auto"/>
        </w:rPr>
      </w:pPr>
      <w:r>
        <w:rPr>
          <w:rFonts w:ascii="Arial" w:cs="Arial" w:eastAsia="Arial" w:hAnsi="Arial"/>
          <w:sz w:val="18"/>
          <w:szCs w:val="18"/>
          <w:color w:val="auto"/>
        </w:rPr>
        <w:t>Basic earnings per common share is computed using the weighted average number of shares outstanding. Diluted earnings per share is computed using the weighted average number of shares outstanding adjusted for the incremental shares attributable to nonvested stock units and stock options outstanding, if dilutive.</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93"/>
              </w:rPr>
              <w:t>September 30,</w:t>
            </w:r>
          </w:p>
        </w:tc>
        <w:tc>
          <w:tcPr>
            <w:tcW w:w="3600" w:type="dxa"/>
            <w:vAlign w:val="bottom"/>
            <w:vMerge w:val="restart"/>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4"/>
          </w:tcPr>
          <w:p>
            <w:pPr>
              <w:jc w:val="right"/>
              <w:ind w:right="53"/>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5"/>
          </w:tcPr>
          <w:p>
            <w:pPr>
              <w:ind w:left="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5"/>
        </w:trPr>
        <w:tc>
          <w:tcPr>
            <w:tcW w:w="920" w:type="dxa"/>
            <w:vAlign w:val="bottom"/>
            <w:tcBorders>
              <w:bottom w:val="single" w:sz="8" w:color="auto"/>
            </w:tcBorders>
            <w:vMerge w:val="continue"/>
          </w:tcPr>
          <w:p>
            <w:pPr>
              <w:spacing w:after="0"/>
              <w:rPr>
                <w:sz w:val="11"/>
                <w:szCs w:val="11"/>
                <w:color w:val="auto"/>
              </w:rPr>
            </w:pPr>
          </w:p>
        </w:tc>
        <w:tc>
          <w:tcPr>
            <w:tcW w:w="3600" w:type="dxa"/>
            <w:vAlign w:val="bottom"/>
            <w:vMerge w:val="continue"/>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135"/>
              <w:spacing w:after="0" w:line="115" w:lineRule="exact"/>
              <w:rPr>
                <w:sz w:val="20"/>
                <w:szCs w:val="20"/>
                <w:color w:val="auto"/>
              </w:rPr>
            </w:pPr>
            <w:r>
              <w:rPr>
                <w:rFonts w:ascii="Arial" w:cs="Arial" w:eastAsia="Arial" w:hAnsi="Arial"/>
                <w:sz w:val="13"/>
                <w:szCs w:val="13"/>
                <w:b w:val="1"/>
                <w:bCs w:val="1"/>
                <w:color w:val="auto"/>
              </w:rPr>
              <w:t>2017</w:t>
            </w: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33"/>
              <w:spacing w:after="0" w:line="115" w:lineRule="exact"/>
              <w:rPr>
                <w:sz w:val="20"/>
                <w:szCs w:val="20"/>
                <w:color w:val="auto"/>
              </w:rPr>
            </w:pPr>
            <w:r>
              <w:rPr>
                <w:rFonts w:ascii="Arial" w:cs="Arial" w:eastAsia="Arial" w:hAnsi="Arial"/>
                <w:sz w:val="13"/>
                <w:szCs w:val="13"/>
                <w:b w:val="1"/>
                <w:bCs w:val="1"/>
                <w:color w:val="auto"/>
              </w:rPr>
              <w:t>2016</w:t>
            </w: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15"/>
              <w:spacing w:after="0" w:line="115" w:lineRule="exact"/>
              <w:rPr>
                <w:sz w:val="20"/>
                <w:szCs w:val="20"/>
                <w:color w:val="auto"/>
              </w:rPr>
            </w:pPr>
            <w:r>
              <w:rPr>
                <w:rFonts w:ascii="Arial" w:cs="Arial" w:eastAsia="Arial" w:hAnsi="Arial"/>
                <w:sz w:val="13"/>
                <w:szCs w:val="13"/>
                <w:b w:val="1"/>
                <w:bCs w:val="1"/>
                <w:color w:val="auto"/>
              </w:rPr>
              <w:t>2017</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133"/>
              <w:spacing w:after="0" w:line="115" w:lineRule="exact"/>
              <w:rPr>
                <w:sz w:val="20"/>
                <w:szCs w:val="20"/>
                <w:color w:val="auto"/>
              </w:rPr>
            </w:pPr>
            <w:r>
              <w:rPr>
                <w:rFonts w:ascii="Arial" w:cs="Arial" w:eastAsia="Arial" w:hAnsi="Arial"/>
                <w:sz w:val="13"/>
                <w:szCs w:val="13"/>
                <w:b w:val="1"/>
                <w:bCs w:val="1"/>
                <w:color w:val="auto"/>
              </w:rPr>
              <w:t>2016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520" w:type="dxa"/>
            <w:vAlign w:val="bottom"/>
            <w:tcBorders>
              <w:top w:val="single" w:sz="8" w:color="CCEEFF"/>
            </w:tcBorders>
            <w:gridSpan w:val="2"/>
            <w:shd w:val="clear" w:color="auto" w:fill="CCEEFF"/>
          </w:tcPr>
          <w:p>
            <w:pPr>
              <w:spacing w:after="0" w:line="163" w:lineRule="exact"/>
              <w:rPr>
                <w:sz w:val="20"/>
                <w:szCs w:val="20"/>
                <w:color w:val="auto"/>
              </w:rPr>
            </w:pPr>
            <w:r>
              <w:rPr>
                <w:rFonts w:ascii="Arial" w:cs="Arial" w:eastAsia="Arial" w:hAnsi="Arial"/>
                <w:sz w:val="18"/>
                <w:szCs w:val="18"/>
                <w:color w:val="auto"/>
              </w:rPr>
              <w:t>Numerator:</w:t>
            </w:r>
          </w:p>
        </w:tc>
        <w:tc>
          <w:tcPr>
            <w:tcW w:w="1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520" w:type="dxa"/>
            <w:vAlign w:val="bottom"/>
            <w:gridSpan w:val="2"/>
          </w:tcPr>
          <w:p>
            <w:pPr>
              <w:ind w:left="220"/>
              <w:spacing w:after="0" w:line="176" w:lineRule="exact"/>
              <w:rPr>
                <w:sz w:val="20"/>
                <w:szCs w:val="20"/>
                <w:color w:val="auto"/>
              </w:rPr>
            </w:pPr>
            <w:r>
              <w:rPr>
                <w:rFonts w:ascii="Arial" w:cs="Arial" w:eastAsia="Arial" w:hAnsi="Arial"/>
                <w:sz w:val="18"/>
                <w:szCs w:val="18"/>
                <w:color w:val="auto"/>
              </w:rPr>
              <w:t>Net income</w:t>
            </w:r>
          </w:p>
        </w:tc>
        <w:tc>
          <w:tcPr>
            <w:tcW w:w="13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176" w:lineRule="exact"/>
              <w:rPr>
                <w:sz w:val="20"/>
                <w:szCs w:val="20"/>
                <w:color w:val="auto"/>
              </w:rPr>
            </w:pPr>
            <w:r>
              <w:rPr>
                <w:rFonts w:ascii="Arial" w:cs="Arial" w:eastAsia="Arial" w:hAnsi="Arial"/>
                <w:sz w:val="18"/>
                <w:szCs w:val="18"/>
                <w:color w:val="auto"/>
                <w:w w:val="94"/>
              </w:rPr>
              <w:t>13,117</w:t>
            </w:r>
          </w:p>
        </w:tc>
        <w:tc>
          <w:tcPr>
            <w:tcW w:w="2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w w:val="90"/>
              </w:rPr>
              <w:t>13,593</w:t>
            </w:r>
          </w:p>
        </w:tc>
        <w:tc>
          <w:tcPr>
            <w:tcW w:w="2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w w:val="94"/>
              </w:rPr>
              <w:t>34,134</w:t>
            </w:r>
          </w:p>
        </w:tc>
        <w:tc>
          <w:tcPr>
            <w:tcW w:w="2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176" w:lineRule="exact"/>
              <w:rPr>
                <w:sz w:val="20"/>
                <w:szCs w:val="20"/>
                <w:color w:val="auto"/>
              </w:rPr>
            </w:pPr>
            <w:r>
              <w:rPr>
                <w:rFonts w:ascii="Arial" w:cs="Arial" w:eastAsia="Arial" w:hAnsi="Arial"/>
                <w:sz w:val="18"/>
                <w:szCs w:val="18"/>
                <w:color w:val="auto"/>
                <w:w w:val="94"/>
              </w:rPr>
              <w:t>35,114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2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Denominator:</w:t>
            </w:r>
          </w:p>
        </w:tc>
        <w:tc>
          <w:tcPr>
            <w:tcW w:w="1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20" w:type="dxa"/>
            <w:vAlign w:val="bottom"/>
            <w:gridSpan w:val="2"/>
          </w:tcPr>
          <w:p>
            <w:pPr>
              <w:ind w:left="220"/>
              <w:spacing w:after="0" w:line="176" w:lineRule="exact"/>
              <w:rPr>
                <w:sz w:val="20"/>
                <w:szCs w:val="20"/>
                <w:color w:val="auto"/>
              </w:rPr>
            </w:pPr>
            <w:r>
              <w:rPr>
                <w:rFonts w:ascii="Arial" w:cs="Arial" w:eastAsia="Arial" w:hAnsi="Arial"/>
                <w:sz w:val="18"/>
                <w:szCs w:val="18"/>
                <w:color w:val="auto"/>
              </w:rPr>
              <w:t>Denominator for basic earnings per share</w:t>
            </w: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Arial" w:cs="Arial" w:eastAsia="Arial" w:hAnsi="Arial"/>
                <w:sz w:val="18"/>
                <w:szCs w:val="18"/>
                <w:color w:val="auto"/>
                <w:w w:val="94"/>
              </w:rPr>
              <w:t>26,802</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w w:val="90"/>
              </w:rPr>
              <w:t>26,542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w w:val="94"/>
              </w:rPr>
              <w:t>26,754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Arial" w:cs="Arial" w:eastAsia="Arial" w:hAnsi="Arial"/>
                <w:sz w:val="18"/>
                <w:szCs w:val="18"/>
                <w:color w:val="auto"/>
                <w:w w:val="94"/>
              </w:rPr>
              <w:t>26,514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2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Dilutive effect of employee stock awards</w:t>
            </w:r>
          </w:p>
        </w:tc>
        <w:tc>
          <w:tcPr>
            <w:tcW w:w="11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97</w:t>
            </w:r>
          </w:p>
        </w:tc>
        <w:tc>
          <w:tcPr>
            <w:tcW w:w="1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194</w:t>
            </w:r>
          </w:p>
        </w:tc>
        <w:tc>
          <w:tcPr>
            <w:tcW w:w="1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132</w:t>
            </w:r>
          </w:p>
        </w:tc>
        <w:tc>
          <w:tcPr>
            <w:tcW w:w="1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185</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20" w:type="dxa"/>
            <w:vAlign w:val="bottom"/>
            <w:tcBorders>
              <w:bottom w:val="single" w:sz="8" w:color="CCEEFF"/>
            </w:tcBorders>
            <w:gridSpan w:val="2"/>
          </w:tcPr>
          <w:p>
            <w:pPr>
              <w:ind w:left="220"/>
              <w:spacing w:after="0" w:line="170" w:lineRule="exact"/>
              <w:rPr>
                <w:sz w:val="20"/>
                <w:szCs w:val="20"/>
                <w:color w:val="auto"/>
              </w:rPr>
            </w:pPr>
            <w:r>
              <w:rPr>
                <w:rFonts w:ascii="Arial" w:cs="Arial" w:eastAsia="Arial" w:hAnsi="Arial"/>
                <w:sz w:val="18"/>
                <w:szCs w:val="18"/>
                <w:color w:val="auto"/>
              </w:rPr>
              <w:t>Denominator for diluted earnings per share</w:t>
            </w:r>
          </w:p>
        </w:tc>
        <w:tc>
          <w:tcPr>
            <w:tcW w:w="1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4"/>
              </w:rPr>
              <w:t>26,899</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0"/>
              </w:rPr>
              <w:t>26,736</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4"/>
              </w:rPr>
              <w:t>26,886</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4"/>
              </w:rPr>
              <w:t>26,699</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Earnings per share:</w:t>
            </w: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520" w:type="dxa"/>
            <w:vAlign w:val="bottom"/>
            <w:gridSpan w:val="2"/>
          </w:tcPr>
          <w:p>
            <w:pPr>
              <w:ind w:left="220"/>
              <w:spacing w:after="0" w:line="176" w:lineRule="exact"/>
              <w:rPr>
                <w:sz w:val="20"/>
                <w:szCs w:val="20"/>
                <w:color w:val="auto"/>
              </w:rPr>
            </w:pPr>
            <w:r>
              <w:rPr>
                <w:rFonts w:ascii="Arial" w:cs="Arial" w:eastAsia="Arial" w:hAnsi="Arial"/>
                <w:sz w:val="18"/>
                <w:szCs w:val="18"/>
                <w:color w:val="auto"/>
              </w:rPr>
              <w:t>Basic</w:t>
            </w:r>
          </w:p>
        </w:tc>
        <w:tc>
          <w:tcPr>
            <w:tcW w:w="13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176" w:lineRule="exact"/>
              <w:rPr>
                <w:sz w:val="20"/>
                <w:szCs w:val="20"/>
                <w:color w:val="auto"/>
              </w:rPr>
            </w:pPr>
            <w:r>
              <w:rPr>
                <w:rFonts w:ascii="Arial" w:cs="Arial" w:eastAsia="Arial" w:hAnsi="Arial"/>
                <w:sz w:val="18"/>
                <w:szCs w:val="18"/>
                <w:color w:val="auto"/>
              </w:rPr>
              <w:t>0.49</w:t>
            </w:r>
          </w:p>
        </w:tc>
        <w:tc>
          <w:tcPr>
            <w:tcW w:w="2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51</w:t>
            </w:r>
          </w:p>
        </w:tc>
        <w:tc>
          <w:tcPr>
            <w:tcW w:w="2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28</w:t>
            </w:r>
          </w:p>
        </w:tc>
        <w:tc>
          <w:tcPr>
            <w:tcW w:w="2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176" w:lineRule="exact"/>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32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520" w:type="dxa"/>
            <w:vAlign w:val="bottom"/>
            <w:tcBorders>
              <w:top w:val="single" w:sz="8" w:color="CCEEFF"/>
              <w:bottom w:val="single" w:sz="8" w:color="CCEEFF"/>
            </w:tcBorders>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Diluted</w:t>
            </w:r>
          </w:p>
        </w:tc>
        <w:tc>
          <w:tcPr>
            <w:tcW w:w="11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0.49</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51</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27</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32</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240" w:firstLine="324"/>
        <w:spacing w:after="0" w:line="224" w:lineRule="auto"/>
        <w:rPr>
          <w:sz w:val="20"/>
          <w:szCs w:val="20"/>
          <w:color w:val="auto"/>
        </w:rPr>
      </w:pPr>
      <w:r>
        <w:rPr>
          <w:rFonts w:ascii="Arial" w:cs="Arial" w:eastAsia="Arial" w:hAnsi="Arial"/>
          <w:sz w:val="18"/>
          <w:szCs w:val="18"/>
          <w:color w:val="auto"/>
        </w:rPr>
        <w:t>For the three and nine months ended September 30, 2017 and 2016, the following outstanding nonvested stock units were excluded from the computation of diluted earnings per share because including them would have had an anti-dilutive effect: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93"/>
              </w:rPr>
              <w:t>September 30,</w:t>
            </w:r>
          </w:p>
        </w:tc>
        <w:tc>
          <w:tcPr>
            <w:tcW w:w="3120" w:type="dxa"/>
            <w:vAlign w:val="bottom"/>
            <w:vMerge w:val="restart"/>
          </w:tcPr>
          <w:p>
            <w:pPr>
              <w:spacing w:after="0"/>
              <w:rPr>
                <w:sz w:val="14"/>
                <w:szCs w:val="14"/>
                <w:color w:val="auto"/>
              </w:rPr>
            </w:pPr>
          </w:p>
        </w:tc>
        <w:tc>
          <w:tcPr>
            <w:tcW w:w="1880" w:type="dxa"/>
            <w:vAlign w:val="bottom"/>
          </w:tcPr>
          <w:p>
            <w:pPr>
              <w:spacing w:after="0"/>
              <w:rPr>
                <w:sz w:val="14"/>
                <w:szCs w:val="14"/>
                <w:color w:val="auto"/>
              </w:rPr>
            </w:pPr>
          </w:p>
        </w:tc>
        <w:tc>
          <w:tcPr>
            <w:tcW w:w="1720" w:type="dxa"/>
            <w:vAlign w:val="bottom"/>
            <w:gridSpan w:val="7"/>
          </w:tcPr>
          <w:p>
            <w:pPr>
              <w:jc w:val="right"/>
              <w:ind w:right="250"/>
              <w:spacing w:after="0"/>
              <w:rPr>
                <w:sz w:val="20"/>
                <w:szCs w:val="20"/>
                <w:color w:val="auto"/>
              </w:rPr>
            </w:pPr>
            <w:r>
              <w:rPr>
                <w:rFonts w:ascii="Arial" w:cs="Arial" w:eastAsia="Arial" w:hAnsi="Arial"/>
                <w:sz w:val="14"/>
                <w:szCs w:val="14"/>
                <w:b w:val="1"/>
                <w:bCs w:val="1"/>
                <w:color w:val="auto"/>
                <w:w w:val="98"/>
              </w:rPr>
              <w:t>Three Months Ended</w:t>
            </w:r>
          </w:p>
        </w:tc>
        <w:tc>
          <w:tcPr>
            <w:tcW w:w="1420" w:type="dxa"/>
            <w:vAlign w:val="bottom"/>
            <w:gridSpan w:val="5"/>
          </w:tcPr>
          <w:p>
            <w:pPr>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5"/>
        </w:trPr>
        <w:tc>
          <w:tcPr>
            <w:tcW w:w="920" w:type="dxa"/>
            <w:vAlign w:val="bottom"/>
            <w:tcBorders>
              <w:bottom w:val="single" w:sz="8" w:color="auto"/>
            </w:tcBorders>
            <w:vMerge w:val="continue"/>
          </w:tcPr>
          <w:p>
            <w:pPr>
              <w:spacing w:after="0"/>
              <w:rPr>
                <w:sz w:val="11"/>
                <w:szCs w:val="11"/>
                <w:color w:val="auto"/>
              </w:rPr>
            </w:pPr>
          </w:p>
        </w:tc>
        <w:tc>
          <w:tcPr>
            <w:tcW w:w="3120" w:type="dxa"/>
            <w:vAlign w:val="bottom"/>
            <w:vMerge w:val="continue"/>
          </w:tcPr>
          <w:p>
            <w:pPr>
              <w:spacing w:after="0"/>
              <w:rPr>
                <w:sz w:val="11"/>
                <w:szCs w:val="11"/>
                <w:color w:val="auto"/>
              </w:rPr>
            </w:pPr>
          </w:p>
        </w:tc>
        <w:tc>
          <w:tcPr>
            <w:tcW w:w="18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102"/>
              <w:spacing w:after="0" w:line="115" w:lineRule="exact"/>
              <w:rPr>
                <w:sz w:val="20"/>
                <w:szCs w:val="20"/>
                <w:color w:val="auto"/>
              </w:rPr>
            </w:pPr>
            <w:r>
              <w:rPr>
                <w:rFonts w:ascii="Arial" w:cs="Arial" w:eastAsia="Arial" w:hAnsi="Arial"/>
                <w:sz w:val="13"/>
                <w:szCs w:val="13"/>
                <w:b w:val="1"/>
                <w:bCs w:val="1"/>
                <w:color w:val="auto"/>
              </w:rPr>
              <w:t>2017</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122"/>
              <w:spacing w:after="0" w:line="115" w:lineRule="exact"/>
              <w:rPr>
                <w:sz w:val="20"/>
                <w:szCs w:val="20"/>
                <w:color w:val="auto"/>
              </w:rPr>
            </w:pPr>
            <w:r>
              <w:rPr>
                <w:rFonts w:ascii="Arial" w:cs="Arial" w:eastAsia="Arial" w:hAnsi="Arial"/>
                <w:sz w:val="13"/>
                <w:szCs w:val="13"/>
                <w:b w:val="1"/>
                <w:bCs w:val="1"/>
                <w:color w:val="auto"/>
              </w:rPr>
              <w:t>2016</w:t>
            </w: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104"/>
              <w:spacing w:after="0" w:line="115" w:lineRule="exact"/>
              <w:rPr>
                <w:sz w:val="20"/>
                <w:szCs w:val="20"/>
                <w:color w:val="auto"/>
              </w:rPr>
            </w:pPr>
            <w:r>
              <w:rPr>
                <w:rFonts w:ascii="Arial" w:cs="Arial" w:eastAsia="Arial" w:hAnsi="Arial"/>
                <w:sz w:val="13"/>
                <w:szCs w:val="13"/>
                <w:b w:val="1"/>
                <w:bCs w:val="1"/>
                <w:color w:val="auto"/>
              </w:rPr>
              <w:t>2017</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102"/>
              <w:spacing w:after="0" w:line="115" w:lineRule="exact"/>
              <w:rPr>
                <w:sz w:val="20"/>
                <w:szCs w:val="20"/>
                <w:color w:val="auto"/>
              </w:rPr>
            </w:pPr>
            <w:r>
              <w:rPr>
                <w:rFonts w:ascii="Arial" w:cs="Arial" w:eastAsia="Arial" w:hAnsi="Arial"/>
                <w:sz w:val="13"/>
                <w:szCs w:val="13"/>
                <w:b w:val="1"/>
                <w:bCs w:val="1"/>
                <w:color w:val="auto"/>
              </w:rPr>
              <w:t>2016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4040" w:type="dxa"/>
            <w:vAlign w:val="bottom"/>
            <w:tcBorders>
              <w:top w:val="single" w:sz="8" w:color="CCEEFF"/>
              <w:bottom w:val="single" w:sz="8" w:color="CCEEFF"/>
            </w:tcBorders>
            <w:gridSpan w:val="2"/>
            <w:shd w:val="clear" w:color="auto" w:fill="CCEEFF"/>
          </w:tcPr>
          <w:p>
            <w:pPr>
              <w:spacing w:after="0" w:line="163" w:lineRule="exact"/>
              <w:rPr>
                <w:sz w:val="20"/>
                <w:szCs w:val="20"/>
                <w:color w:val="auto"/>
              </w:rPr>
            </w:pPr>
            <w:r>
              <w:rPr>
                <w:rFonts w:ascii="Arial" w:cs="Arial" w:eastAsia="Arial" w:hAnsi="Arial"/>
                <w:sz w:val="18"/>
                <w:szCs w:val="18"/>
                <w:color w:val="auto"/>
              </w:rPr>
              <w:t>Employee stock based awards</w:t>
            </w:r>
          </w:p>
        </w:tc>
        <w:tc>
          <w:tcPr>
            <w:tcW w:w="18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80</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3–Acquisitions</w:t>
      </w:r>
    </w:p>
    <w:p>
      <w:pPr>
        <w:spacing w:after="0" w:line="14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Softmart Acquisition</w:t>
      </w:r>
    </w:p>
    <w:p>
      <w:pPr>
        <w:spacing w:after="0" w:line="144" w:lineRule="exact"/>
        <w:rPr>
          <w:sz w:val="20"/>
          <w:szCs w:val="20"/>
          <w:color w:val="auto"/>
        </w:rPr>
      </w:pPr>
    </w:p>
    <w:p>
      <w:pPr>
        <w:ind w:right="100" w:firstLine="324"/>
        <w:spacing w:after="0" w:line="237" w:lineRule="auto"/>
        <w:rPr>
          <w:sz w:val="20"/>
          <w:szCs w:val="20"/>
          <w:color w:val="auto"/>
        </w:rPr>
      </w:pPr>
      <w:r>
        <w:rPr>
          <w:rFonts w:ascii="Arial" w:cs="Arial" w:eastAsia="Arial" w:hAnsi="Arial"/>
          <w:sz w:val="16"/>
          <w:szCs w:val="16"/>
          <w:color w:val="auto"/>
        </w:rPr>
        <w:t>On May 27, 2016, we acquired substantially all of the assets of Softmart Inc. (“Softmart”), a global supplier of information technology and software services solutions. The purchase of Softmart is consistent with our strategy to expand our software services capabilities. Under the terms of the asset purchase agreement, we paid $31,889, net of cash acquired, and allocated the total purchase price to the tangible and identifiable intangible assets acquired and liabilities assumed based on their estimated fair values on the date of acquisition. The excess of the purchase price over the net assets acquired represents potential synergies from Softmart’s customer base and its assembled workforce of sales representatives and software service specialists that we acquired in the transaction. This excess of purchase price over the aggregate fair values was recorded as goodwill. We incurred $357 of transaction costs in 2016 related to the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spacing w:after="0" w:line="232" w:lineRule="auto"/>
        <w:rPr>
          <w:sz w:val="20"/>
          <w:szCs w:val="20"/>
          <w:color w:val="auto"/>
        </w:rPr>
      </w:pPr>
      <w:r>
        <w:rPr>
          <w:rFonts w:ascii="Arial" w:cs="Arial" w:eastAsia="Arial" w:hAnsi="Arial"/>
          <w:sz w:val="17"/>
          <w:szCs w:val="17"/>
          <w:color w:val="auto"/>
        </w:rPr>
        <w:t>acquisition which we reported in selling, general and administrative expenses, or SG&amp;A, in our consolidated statement of income for the year ended December 31, 2016. The operating results of Softmart have been included in the SMB and Large Accounts segments. The revenues and income from operations of Softmart were not material to our consolidated results, and accordingly, we have not presented Softmart’s revenues or operating results on a pro forma basis.</w:t>
      </w:r>
    </w:p>
    <w:p>
      <w:pPr>
        <w:spacing w:after="0" w:line="122" w:lineRule="exact"/>
        <w:rPr>
          <w:sz w:val="20"/>
          <w:szCs w:val="20"/>
          <w:color w:val="auto"/>
        </w:rPr>
      </w:pPr>
    </w:p>
    <w:p>
      <w:pPr>
        <w:ind w:right="160" w:firstLine="324"/>
        <w:spacing w:after="0" w:line="235" w:lineRule="auto"/>
        <w:rPr>
          <w:sz w:val="20"/>
          <w:szCs w:val="20"/>
          <w:color w:val="auto"/>
        </w:rPr>
      </w:pPr>
      <w:r>
        <w:rPr>
          <w:rFonts w:ascii="Arial" w:cs="Arial" w:eastAsia="Arial" w:hAnsi="Arial"/>
          <w:sz w:val="18"/>
          <w:szCs w:val="18"/>
          <w:color w:val="auto"/>
        </w:rPr>
        <w:t>The following table reflects components of the net assets acquired and liabilities assumed at fair value as of the closing date.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Purchase Price</w:t>
            </w:r>
          </w:p>
        </w:tc>
      </w:tr>
      <w:tr>
        <w:trPr>
          <w:trHeight w:val="171"/>
        </w:trPr>
        <w:tc>
          <w:tcPr>
            <w:tcW w:w="55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Allocation</w:t>
            </w:r>
          </w:p>
        </w:tc>
      </w:tr>
      <w:tr>
        <w:trPr>
          <w:trHeight w:val="169"/>
        </w:trPr>
        <w:tc>
          <w:tcPr>
            <w:tcW w:w="558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Current assets</w:t>
            </w:r>
          </w:p>
        </w:tc>
        <w:tc>
          <w:tcPr>
            <w:tcW w:w="22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22,812</w:t>
            </w:r>
          </w:p>
        </w:tc>
        <w:tc>
          <w:tcPr>
            <w:tcW w:w="120" w:type="dxa"/>
            <w:vAlign w:val="bottom"/>
            <w:tcBorders>
              <w:top w:val="single" w:sz="8" w:color="CCEEFF"/>
            </w:tcBorders>
            <w:shd w:val="clear" w:color="auto" w:fill="CCEEFF"/>
          </w:tcPr>
          <w:p>
            <w:pPr>
              <w:spacing w:after="0"/>
              <w:rPr>
                <w:sz w:val="14"/>
                <w:szCs w:val="14"/>
                <w:color w:val="auto"/>
              </w:rPr>
            </w:pPr>
          </w:p>
        </w:tc>
      </w:tr>
      <w:tr>
        <w:trPr>
          <w:trHeight w:val="176"/>
        </w:trPr>
        <w:tc>
          <w:tcPr>
            <w:tcW w:w="5580" w:type="dxa"/>
            <w:vAlign w:val="bottom"/>
          </w:tcPr>
          <w:p>
            <w:pPr>
              <w:spacing w:after="0" w:line="176" w:lineRule="exact"/>
              <w:rPr>
                <w:sz w:val="20"/>
                <w:szCs w:val="20"/>
                <w:color w:val="auto"/>
              </w:rPr>
            </w:pPr>
            <w:r>
              <w:rPr>
                <w:rFonts w:ascii="Arial" w:cs="Arial" w:eastAsia="Arial" w:hAnsi="Arial"/>
                <w:sz w:val="18"/>
                <w:szCs w:val="18"/>
                <w:color w:val="auto"/>
              </w:rPr>
              <w:t>Fixed assets</w:t>
            </w:r>
          </w:p>
        </w:tc>
        <w:tc>
          <w:tcPr>
            <w:tcW w:w="2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343</w:t>
            </w:r>
          </w:p>
        </w:tc>
        <w:tc>
          <w:tcPr>
            <w:tcW w:w="120" w:type="dxa"/>
            <w:vAlign w:val="bottom"/>
          </w:tcPr>
          <w:p>
            <w:pPr>
              <w:spacing w:after="0"/>
              <w:rPr>
                <w:sz w:val="15"/>
                <w:szCs w:val="15"/>
                <w:color w:val="auto"/>
              </w:rPr>
            </w:pPr>
          </w:p>
        </w:tc>
      </w:tr>
      <w:tr>
        <w:trPr>
          <w:trHeight w:val="176"/>
        </w:trPr>
        <w:tc>
          <w:tcPr>
            <w:tcW w:w="5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Goodwill</w:t>
            </w:r>
          </w:p>
        </w:tc>
        <w:tc>
          <w:tcPr>
            <w:tcW w:w="2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14,314</w:t>
            </w:r>
          </w:p>
        </w:tc>
        <w:tc>
          <w:tcPr>
            <w:tcW w:w="120" w:type="dxa"/>
            <w:vAlign w:val="bottom"/>
            <w:shd w:val="clear" w:color="auto" w:fill="CCEEFF"/>
          </w:tcPr>
          <w:p>
            <w:pPr>
              <w:spacing w:after="0"/>
              <w:rPr>
                <w:sz w:val="15"/>
                <w:szCs w:val="15"/>
                <w:color w:val="auto"/>
              </w:rPr>
            </w:pPr>
          </w:p>
        </w:tc>
      </w:tr>
      <w:tr>
        <w:trPr>
          <w:trHeight w:val="176"/>
        </w:trPr>
        <w:tc>
          <w:tcPr>
            <w:tcW w:w="558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Customer relationships</w:t>
            </w:r>
          </w:p>
        </w:tc>
        <w:tc>
          <w:tcPr>
            <w:tcW w:w="22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11,300</w:t>
            </w:r>
          </w:p>
        </w:tc>
        <w:tc>
          <w:tcPr>
            <w:tcW w:w="120" w:type="dxa"/>
            <w:vAlign w:val="bottom"/>
            <w:tcBorders>
              <w:bottom w:val="single" w:sz="8" w:color="CCEEFF"/>
            </w:tcBorders>
          </w:tcPr>
          <w:p>
            <w:pPr>
              <w:spacing w:after="0"/>
              <w:rPr>
                <w:sz w:val="15"/>
                <w:szCs w:val="15"/>
                <w:color w:val="auto"/>
              </w:rPr>
            </w:pPr>
          </w:p>
        </w:tc>
      </w:tr>
      <w:tr>
        <w:trPr>
          <w:trHeight w:val="169"/>
        </w:trPr>
        <w:tc>
          <w:tcPr>
            <w:tcW w:w="55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 assets acquired</w:t>
            </w:r>
          </w:p>
        </w:tc>
        <w:tc>
          <w:tcPr>
            <w:tcW w:w="2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48,769</w:t>
            </w:r>
          </w:p>
        </w:tc>
        <w:tc>
          <w:tcPr>
            <w:tcW w:w="120" w:type="dxa"/>
            <w:vAlign w:val="bottom"/>
            <w:shd w:val="clear" w:color="auto" w:fill="CCEEFF"/>
          </w:tcPr>
          <w:p>
            <w:pPr>
              <w:spacing w:after="0"/>
              <w:rPr>
                <w:sz w:val="14"/>
                <w:szCs w:val="14"/>
                <w:color w:val="auto"/>
              </w:rPr>
            </w:pPr>
          </w:p>
        </w:tc>
      </w:tr>
      <w:tr>
        <w:trPr>
          <w:trHeight w:val="176"/>
        </w:trPr>
        <w:tc>
          <w:tcPr>
            <w:tcW w:w="558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Acquired liabilities</w:t>
            </w:r>
          </w:p>
        </w:tc>
        <w:tc>
          <w:tcPr>
            <w:tcW w:w="22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(16,252)</w:t>
            </w:r>
          </w:p>
        </w:tc>
        <w:tc>
          <w:tcPr>
            <w:tcW w:w="120" w:type="dxa"/>
            <w:vAlign w:val="bottom"/>
            <w:tcBorders>
              <w:bottom w:val="single" w:sz="8" w:color="CCEEFF"/>
            </w:tcBorders>
          </w:tcPr>
          <w:p>
            <w:pPr>
              <w:spacing w:after="0"/>
              <w:rPr>
                <w:sz w:val="15"/>
                <w:szCs w:val="15"/>
                <w:color w:val="auto"/>
              </w:rPr>
            </w:pPr>
          </w:p>
        </w:tc>
      </w:tr>
      <w:tr>
        <w:trPr>
          <w:trHeight w:val="169"/>
        </w:trPr>
        <w:tc>
          <w:tcPr>
            <w:tcW w:w="55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Net assets acquired</w:t>
            </w:r>
          </w:p>
        </w:tc>
        <w:tc>
          <w:tcPr>
            <w:tcW w:w="2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32,517</w:t>
            </w:r>
          </w:p>
        </w:tc>
        <w:tc>
          <w:tcPr>
            <w:tcW w:w="120" w:type="dxa"/>
            <w:vAlign w:val="bottom"/>
            <w:shd w:val="clear" w:color="auto" w:fill="CCEEFF"/>
          </w:tcPr>
          <w:p>
            <w:pPr>
              <w:spacing w:after="0"/>
              <w:rPr>
                <w:sz w:val="14"/>
                <w:szCs w:val="14"/>
                <w:color w:val="auto"/>
              </w:rPr>
            </w:pPr>
          </w:p>
        </w:tc>
      </w:tr>
      <w:tr>
        <w:trPr>
          <w:trHeight w:val="176"/>
        </w:trPr>
        <w:tc>
          <w:tcPr>
            <w:tcW w:w="558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Less cash acquired</w:t>
            </w:r>
          </w:p>
        </w:tc>
        <w:tc>
          <w:tcPr>
            <w:tcW w:w="22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(628)</w:t>
            </w:r>
          </w:p>
        </w:tc>
        <w:tc>
          <w:tcPr>
            <w:tcW w:w="120" w:type="dxa"/>
            <w:vAlign w:val="bottom"/>
            <w:tcBorders>
              <w:bottom w:val="single" w:sz="8" w:color="CCEEFF"/>
            </w:tcBorders>
          </w:tcPr>
          <w:p>
            <w:pPr>
              <w:spacing w:after="0"/>
              <w:rPr>
                <w:sz w:val="15"/>
                <w:szCs w:val="15"/>
                <w:color w:val="auto"/>
              </w:rPr>
            </w:pPr>
          </w:p>
        </w:tc>
      </w:tr>
      <w:tr>
        <w:trPr>
          <w:trHeight w:val="176"/>
        </w:trPr>
        <w:tc>
          <w:tcPr>
            <w:tcW w:w="558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Purchase price at closing, net of cash acquired</w:t>
            </w:r>
          </w:p>
        </w:tc>
        <w:tc>
          <w:tcPr>
            <w:tcW w:w="22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31,889</w:t>
            </w:r>
          </w:p>
        </w:tc>
        <w:tc>
          <w:tcPr>
            <w:tcW w:w="120" w:type="dxa"/>
            <w:vAlign w:val="bottom"/>
            <w:tcBorders>
              <w:bottom w:val="single" w:sz="8" w:color="CCEEFF"/>
            </w:tcBorders>
            <w:shd w:val="clear" w:color="auto" w:fill="CCEEFF"/>
          </w:tcPr>
          <w:p>
            <w:pPr>
              <w:spacing w:after="0"/>
              <w:rPr>
                <w:sz w:val="15"/>
                <w:szCs w:val="15"/>
                <w:color w:val="auto"/>
              </w:rPr>
            </w:pPr>
          </w:p>
        </w:tc>
      </w:tr>
    </w:tbl>
    <w:p>
      <w:pPr>
        <w:spacing w:after="0" w:line="148" w:lineRule="exact"/>
        <w:rPr>
          <w:sz w:val="20"/>
          <w:szCs w:val="20"/>
          <w:color w:val="auto"/>
        </w:rPr>
      </w:pPr>
    </w:p>
    <w:p>
      <w:pPr>
        <w:ind w:right="60" w:firstLine="324"/>
        <w:spacing w:after="0" w:line="235" w:lineRule="auto"/>
        <w:rPr>
          <w:sz w:val="20"/>
          <w:szCs w:val="20"/>
          <w:color w:val="auto"/>
        </w:rPr>
      </w:pPr>
      <w:r>
        <w:rPr>
          <w:rFonts w:ascii="Arial" w:cs="Arial" w:eastAsia="Arial" w:hAnsi="Arial"/>
          <w:sz w:val="18"/>
          <w:szCs w:val="18"/>
          <w:color w:val="auto"/>
        </w:rPr>
        <w:t>We recorded goodwill of $7,366 and $6,948 in our SMB and Large Account segments, respectively, and the aggregate is expected to be fully deductible for tax purposes.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GlobalServe Acquisition</w:t>
      </w:r>
    </w:p>
    <w:p>
      <w:pPr>
        <w:spacing w:after="0" w:line="144" w:lineRule="exact"/>
        <w:rPr>
          <w:sz w:val="20"/>
          <w:szCs w:val="20"/>
          <w:color w:val="auto"/>
        </w:rPr>
      </w:pPr>
    </w:p>
    <w:p>
      <w:pPr>
        <w:ind w:right="40" w:firstLine="324"/>
        <w:spacing w:after="0" w:line="221" w:lineRule="auto"/>
        <w:rPr>
          <w:sz w:val="20"/>
          <w:szCs w:val="20"/>
          <w:color w:val="auto"/>
        </w:rPr>
      </w:pPr>
      <w:r>
        <w:rPr>
          <w:rFonts w:ascii="Arial" w:cs="Arial" w:eastAsia="Arial" w:hAnsi="Arial"/>
          <w:sz w:val="17"/>
          <w:szCs w:val="17"/>
          <w:color w:val="auto"/>
        </w:rPr>
        <w:t>On October 11, 2016, we acquired the outstanding common shares of GlobalServe, Inc. (“GlobalServe”), which has developed an internet portal tool that simplifies customers’ global IT procurement. Under the terms of the stock purchase agreement, we paid $11,101, net of cash acquired. The purchase of GlobalServe allows us to service our customers’ global IT needs through their OneSource internet portal with consistent delivery, reporting, pricing, and logistics. We allocated the total purchase price to the tangible and identifiable intangible assets acquired and liabilities assumed based on their estimated fair values on the date of acquisition and recorded the excess of purchase price over the aggregate fair values as goodwill. In 2016 we incurred $118 of transaction costs related to the acquisition which we reported in SG&amp;A expenses in our consolidated statement of income for the year ended December 31, 2016. We have included the operating results of GlobalServe in the Large Account segment since the acquisition date. The revenues and income from operations of GlobalServe were not material to our consolidated results, and accordingly, we have not presented GlobalServe’s revenues or operating results on a pro forma basis.</w:t>
      </w:r>
    </w:p>
    <w:p>
      <w:pPr>
        <w:spacing w:after="0" w:line="127" w:lineRule="exact"/>
        <w:rPr>
          <w:sz w:val="20"/>
          <w:szCs w:val="20"/>
          <w:color w:val="auto"/>
        </w:rPr>
      </w:pPr>
    </w:p>
    <w:p>
      <w:pPr>
        <w:ind w:right="160" w:firstLine="324"/>
        <w:spacing w:after="0" w:line="235" w:lineRule="auto"/>
        <w:rPr>
          <w:sz w:val="20"/>
          <w:szCs w:val="20"/>
          <w:color w:val="auto"/>
        </w:rPr>
      </w:pPr>
      <w:r>
        <w:rPr>
          <w:rFonts w:ascii="Arial" w:cs="Arial" w:eastAsia="Arial" w:hAnsi="Arial"/>
          <w:sz w:val="18"/>
          <w:szCs w:val="18"/>
          <w:color w:val="auto"/>
        </w:rPr>
        <w:t>The following table reflects components of the net assets acquired and liabilities assumed at fair value as of the closing date.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Purchase Price</w:t>
            </w:r>
          </w:p>
        </w:tc>
      </w:tr>
      <w:tr>
        <w:trPr>
          <w:trHeight w:val="171"/>
        </w:trPr>
        <w:tc>
          <w:tcPr>
            <w:tcW w:w="7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Allocation</w:t>
            </w:r>
          </w:p>
        </w:tc>
      </w:tr>
      <w:tr>
        <w:trPr>
          <w:trHeight w:val="169"/>
        </w:trPr>
        <w:tc>
          <w:tcPr>
            <w:tcW w:w="784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Current assets</w:t>
            </w: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1,486</w:t>
            </w:r>
          </w:p>
        </w:tc>
        <w:tc>
          <w:tcPr>
            <w:tcW w:w="120" w:type="dxa"/>
            <w:vAlign w:val="bottom"/>
            <w:tcBorders>
              <w:top w:val="single" w:sz="8" w:color="CCEEFF"/>
            </w:tcBorders>
            <w:shd w:val="clear" w:color="auto" w:fill="CCEEFF"/>
          </w:tcPr>
          <w:p>
            <w:pPr>
              <w:spacing w:after="0"/>
              <w:rPr>
                <w:sz w:val="14"/>
                <w:szCs w:val="14"/>
                <w:color w:val="auto"/>
              </w:rPr>
            </w:pPr>
          </w:p>
        </w:tc>
      </w:tr>
      <w:tr>
        <w:trPr>
          <w:trHeight w:val="176"/>
        </w:trPr>
        <w:tc>
          <w:tcPr>
            <w:tcW w:w="7840" w:type="dxa"/>
            <w:vAlign w:val="bottom"/>
          </w:tcPr>
          <w:p>
            <w:pPr>
              <w:spacing w:after="0" w:line="176" w:lineRule="exact"/>
              <w:rPr>
                <w:sz w:val="20"/>
                <w:szCs w:val="20"/>
                <w:color w:val="auto"/>
              </w:rPr>
            </w:pPr>
            <w:r>
              <w:rPr>
                <w:rFonts w:ascii="Arial" w:cs="Arial" w:eastAsia="Arial" w:hAnsi="Arial"/>
                <w:sz w:val="18"/>
                <w:szCs w:val="18"/>
                <w:color w:val="auto"/>
              </w:rPr>
              <w:t>Fixed assets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4,609</w:t>
            </w:r>
          </w:p>
        </w:tc>
        <w:tc>
          <w:tcPr>
            <w:tcW w:w="120" w:type="dxa"/>
            <w:vAlign w:val="bottom"/>
          </w:tcPr>
          <w:p>
            <w:pPr>
              <w:spacing w:after="0"/>
              <w:rPr>
                <w:sz w:val="15"/>
                <w:szCs w:val="15"/>
                <w:color w:val="auto"/>
              </w:rPr>
            </w:pPr>
          </w:p>
        </w:tc>
      </w:tr>
      <w:tr>
        <w:trPr>
          <w:trHeight w:val="176"/>
        </w:trPr>
        <w:tc>
          <w:tcPr>
            <w:tcW w:w="7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8,012</w:t>
            </w:r>
          </w:p>
        </w:tc>
        <w:tc>
          <w:tcPr>
            <w:tcW w:w="120" w:type="dxa"/>
            <w:vAlign w:val="bottom"/>
            <w:shd w:val="clear" w:color="auto" w:fill="CCEEFF"/>
          </w:tcPr>
          <w:p>
            <w:pPr>
              <w:spacing w:after="0"/>
              <w:rPr>
                <w:sz w:val="15"/>
                <w:szCs w:val="15"/>
                <w:color w:val="auto"/>
              </w:rPr>
            </w:pPr>
          </w:p>
        </w:tc>
      </w:tr>
      <w:tr>
        <w:trPr>
          <w:trHeight w:val="176"/>
        </w:trPr>
        <w:tc>
          <w:tcPr>
            <w:tcW w:w="784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Customer relationships</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900</w:t>
            </w:r>
          </w:p>
        </w:tc>
        <w:tc>
          <w:tcPr>
            <w:tcW w:w="120" w:type="dxa"/>
            <w:vAlign w:val="bottom"/>
            <w:tcBorders>
              <w:bottom w:val="single" w:sz="8" w:color="CCEEFF"/>
            </w:tcBorders>
          </w:tcPr>
          <w:p>
            <w:pPr>
              <w:spacing w:after="0"/>
              <w:rPr>
                <w:sz w:val="15"/>
                <w:szCs w:val="15"/>
                <w:color w:val="auto"/>
              </w:rPr>
            </w:pPr>
          </w:p>
        </w:tc>
      </w:tr>
      <w:tr>
        <w:trPr>
          <w:trHeight w:val="169"/>
        </w:trPr>
        <w:tc>
          <w:tcPr>
            <w:tcW w:w="78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 assets acquired</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15,007</w:t>
            </w:r>
          </w:p>
        </w:tc>
        <w:tc>
          <w:tcPr>
            <w:tcW w:w="120" w:type="dxa"/>
            <w:vAlign w:val="bottom"/>
            <w:shd w:val="clear" w:color="auto" w:fill="CCEEFF"/>
          </w:tcPr>
          <w:p>
            <w:pPr>
              <w:spacing w:after="0"/>
              <w:rPr>
                <w:sz w:val="14"/>
                <w:szCs w:val="14"/>
                <w:color w:val="auto"/>
              </w:rPr>
            </w:pPr>
          </w:p>
        </w:tc>
      </w:tr>
      <w:tr>
        <w:trPr>
          <w:trHeight w:val="176"/>
        </w:trPr>
        <w:tc>
          <w:tcPr>
            <w:tcW w:w="7840" w:type="dxa"/>
            <w:vAlign w:val="bottom"/>
          </w:tcPr>
          <w:p>
            <w:pPr>
              <w:spacing w:after="0" w:line="176" w:lineRule="exact"/>
              <w:rPr>
                <w:sz w:val="20"/>
                <w:szCs w:val="20"/>
                <w:color w:val="auto"/>
              </w:rPr>
            </w:pPr>
            <w:r>
              <w:rPr>
                <w:rFonts w:ascii="Arial" w:cs="Arial" w:eastAsia="Arial" w:hAnsi="Arial"/>
                <w:sz w:val="18"/>
                <w:szCs w:val="18"/>
                <w:color w:val="auto"/>
              </w:rPr>
              <w:t>Acquired liabilities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(734)</w:t>
            </w:r>
          </w:p>
        </w:tc>
        <w:tc>
          <w:tcPr>
            <w:tcW w:w="120" w:type="dxa"/>
            <w:vAlign w:val="bottom"/>
          </w:tcPr>
          <w:p>
            <w:pPr>
              <w:spacing w:after="0"/>
              <w:rPr>
                <w:sz w:val="15"/>
                <w:szCs w:val="15"/>
                <w:color w:val="auto"/>
              </w:rPr>
            </w:pPr>
          </w:p>
        </w:tc>
      </w:tr>
      <w:tr>
        <w:trPr>
          <w:trHeight w:val="176"/>
        </w:trPr>
        <w:tc>
          <w:tcPr>
            <w:tcW w:w="7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Deferred taxes and unrecognized tax benefits</w:t>
            </w:r>
          </w:p>
        </w:tc>
        <w:tc>
          <w:tcPr>
            <w:tcW w:w="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(2,390)</w:t>
            </w:r>
          </w:p>
        </w:tc>
        <w:tc>
          <w:tcPr>
            <w:tcW w:w="120" w:type="dxa"/>
            <w:vAlign w:val="bottom"/>
            <w:shd w:val="clear" w:color="auto" w:fill="CCEEFF"/>
          </w:tcPr>
          <w:p>
            <w:pPr>
              <w:spacing w:after="0"/>
              <w:rPr>
                <w:sz w:val="15"/>
                <w:szCs w:val="15"/>
                <w:color w:val="auto"/>
              </w:rPr>
            </w:pPr>
          </w:p>
        </w:tc>
      </w:tr>
      <w:tr>
        <w:trPr>
          <w:trHeight w:val="169"/>
        </w:trPr>
        <w:tc>
          <w:tcPr>
            <w:tcW w:w="7840" w:type="dxa"/>
            <w:vAlign w:val="bottom"/>
          </w:tcPr>
          <w:p>
            <w:pPr>
              <w:spacing w:after="0" w:line="170" w:lineRule="exact"/>
              <w:rPr>
                <w:sz w:val="20"/>
                <w:szCs w:val="20"/>
                <w:color w:val="auto"/>
              </w:rPr>
            </w:pPr>
            <w:r>
              <w:rPr>
                <w:rFonts w:ascii="Arial" w:cs="Arial" w:eastAsia="Arial" w:hAnsi="Arial"/>
                <w:sz w:val="18"/>
                <w:szCs w:val="18"/>
                <w:color w:val="auto"/>
              </w:rPr>
              <w:t>Net assets acquired</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jc w:val="right"/>
              <w:spacing w:after="0" w:line="170" w:lineRule="exact"/>
              <w:rPr>
                <w:sz w:val="20"/>
                <w:szCs w:val="20"/>
                <w:color w:val="auto"/>
              </w:rPr>
            </w:pPr>
            <w:r>
              <w:rPr>
                <w:rFonts w:ascii="Arial" w:cs="Arial" w:eastAsia="Arial" w:hAnsi="Arial"/>
                <w:sz w:val="18"/>
                <w:szCs w:val="18"/>
                <w:color w:val="auto"/>
              </w:rPr>
              <w:t>11,883</w:t>
            </w:r>
          </w:p>
        </w:tc>
        <w:tc>
          <w:tcPr>
            <w:tcW w:w="120" w:type="dxa"/>
            <w:vAlign w:val="bottom"/>
          </w:tcPr>
          <w:p>
            <w:pPr>
              <w:spacing w:after="0"/>
              <w:rPr>
                <w:sz w:val="14"/>
                <w:szCs w:val="14"/>
                <w:color w:val="auto"/>
              </w:rPr>
            </w:pPr>
          </w:p>
        </w:tc>
      </w:tr>
      <w:tr>
        <w:trPr>
          <w:trHeight w:val="176"/>
        </w:trPr>
        <w:tc>
          <w:tcPr>
            <w:tcW w:w="7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Less cash acquired</w:t>
            </w:r>
          </w:p>
        </w:tc>
        <w:tc>
          <w:tcPr>
            <w:tcW w:w="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(782)</w:t>
            </w:r>
          </w:p>
        </w:tc>
        <w:tc>
          <w:tcPr>
            <w:tcW w:w="120" w:type="dxa"/>
            <w:vAlign w:val="bottom"/>
            <w:shd w:val="clear" w:color="auto" w:fill="CCEEFF"/>
          </w:tcPr>
          <w:p>
            <w:pPr>
              <w:spacing w:after="0"/>
              <w:rPr>
                <w:sz w:val="15"/>
                <w:szCs w:val="15"/>
                <w:color w:val="auto"/>
              </w:rPr>
            </w:pPr>
          </w:p>
        </w:tc>
      </w:tr>
      <w:tr>
        <w:trPr>
          <w:trHeight w:val="176"/>
        </w:trPr>
        <w:tc>
          <w:tcPr>
            <w:tcW w:w="7840" w:type="dxa"/>
            <w:vAlign w:val="bottom"/>
          </w:tcPr>
          <w:p>
            <w:pPr>
              <w:spacing w:after="0" w:line="170" w:lineRule="exact"/>
              <w:rPr>
                <w:sz w:val="20"/>
                <w:szCs w:val="20"/>
                <w:color w:val="auto"/>
              </w:rPr>
            </w:pPr>
            <w:r>
              <w:rPr>
                <w:rFonts w:ascii="Arial" w:cs="Arial" w:eastAsia="Arial" w:hAnsi="Arial"/>
                <w:sz w:val="18"/>
                <w:szCs w:val="18"/>
                <w:color w:val="auto"/>
              </w:rPr>
              <w:t>Purchase price at closing, net of cash acquired</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11,101</w:t>
            </w:r>
          </w:p>
        </w:tc>
        <w:tc>
          <w:tcPr>
            <w:tcW w:w="120" w:type="dxa"/>
            <w:vAlign w:val="bottom"/>
          </w:tcPr>
          <w:p>
            <w:pPr>
              <w:spacing w:after="0"/>
              <w:rPr>
                <w:sz w:val="15"/>
                <w:szCs w:val="15"/>
                <w:color w:val="auto"/>
              </w:rPr>
            </w:pPr>
          </w:p>
        </w:tc>
      </w:tr>
    </w:tbl>
    <w:p>
      <w:pPr>
        <w:spacing w:after="0" w:line="148" w:lineRule="exact"/>
        <w:rPr>
          <w:sz w:val="20"/>
          <w:szCs w:val="20"/>
          <w:color w:val="auto"/>
        </w:rPr>
      </w:pPr>
    </w:p>
    <w:p>
      <w:pPr>
        <w:ind w:right="240" w:firstLine="324"/>
        <w:spacing w:after="0" w:line="235" w:lineRule="auto"/>
        <w:rPr>
          <w:sz w:val="20"/>
          <w:szCs w:val="20"/>
          <w:color w:val="auto"/>
        </w:rPr>
      </w:pPr>
      <w:r>
        <w:rPr>
          <w:rFonts w:ascii="Arial" w:cs="Arial" w:eastAsia="Arial" w:hAnsi="Arial"/>
          <w:sz w:val="18"/>
          <w:szCs w:val="18"/>
          <w:color w:val="auto"/>
        </w:rPr>
        <w:t>We recorded $8,012 of goodwill as a result of our acquisition of GlobalServe in our Large Account segment. None of the goodwill related to this acquisition will be deductible for tax purposes.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4–Segment and Related Disclosures</w:t>
      </w:r>
    </w:p>
    <w:p>
      <w:pPr>
        <w:spacing w:after="0" w:line="148" w:lineRule="exact"/>
        <w:rPr>
          <w:sz w:val="20"/>
          <w:szCs w:val="20"/>
          <w:color w:val="auto"/>
        </w:rPr>
      </w:pPr>
    </w:p>
    <w:p>
      <w:pPr>
        <w:ind w:right="240" w:firstLine="324"/>
        <w:spacing w:after="0" w:line="238" w:lineRule="auto"/>
        <w:rPr>
          <w:sz w:val="20"/>
          <w:szCs w:val="20"/>
          <w:color w:val="auto"/>
        </w:rPr>
      </w:pPr>
      <w:r>
        <w:rPr>
          <w:rFonts w:ascii="Arial" w:cs="Arial" w:eastAsia="Arial" w:hAnsi="Arial"/>
          <w:sz w:val="17"/>
          <w:szCs w:val="17"/>
          <w:color w:val="auto"/>
        </w:rPr>
        <w:t>The internal reporting structure used by our chief operating decision maker (“CODM”) to assess performance and allocate resources determines the basis for our reportable operating segments. Our CODM is our Chief Executive Officer, and he evaluates operations and allocates resources based on a measure of operating income.</w:t>
      </w:r>
    </w:p>
    <w:p>
      <w:pPr>
        <w:spacing w:after="0" w:line="121" w:lineRule="exact"/>
        <w:rPr>
          <w:sz w:val="20"/>
          <w:szCs w:val="20"/>
          <w:color w:val="auto"/>
        </w:rPr>
      </w:pPr>
    </w:p>
    <w:p>
      <w:pPr>
        <w:ind w:firstLine="324"/>
        <w:spacing w:after="0" w:line="237" w:lineRule="auto"/>
        <w:rPr>
          <w:sz w:val="20"/>
          <w:szCs w:val="20"/>
          <w:color w:val="auto"/>
        </w:rPr>
      </w:pPr>
      <w:r>
        <w:rPr>
          <w:rFonts w:ascii="Arial" w:cs="Arial" w:eastAsia="Arial" w:hAnsi="Arial"/>
          <w:sz w:val="16"/>
          <w:szCs w:val="16"/>
          <w:color w:val="auto"/>
        </w:rPr>
        <w:t>Our operations are organized under three reportable segments—the SMB segment, which serves primarily small- and medium-sized businesses; the Large Account segment, which serves primarily medium-to-large corporations; and the Public Sector segment, which serves primarily federal, state, and local governmental and educational institutions. In addition, the Headquarters/Other group provides services in areas such as finance, human resources, information technology, marketing, and product management. Most of the operating costs associated with the Headquarters/Other group functions are charged to the operating segments based on their estimated usage of the underlying functions. We report these charges to the operating segments as “Allocations.” Certain headquarters costs relating to executive oversight and other fiduciary functions that are not allocated to the operating segments are included under the heading of Headquarters/Other in the tables below.</w:t>
      </w:r>
    </w:p>
    <w:p>
      <w:pPr>
        <w:spacing w:after="0" w:line="127" w:lineRule="exact"/>
        <w:rPr>
          <w:sz w:val="20"/>
          <w:szCs w:val="20"/>
          <w:color w:val="auto"/>
        </w:rPr>
      </w:pPr>
    </w:p>
    <w:p>
      <w:pPr>
        <w:ind w:right="200" w:firstLine="324"/>
        <w:spacing w:after="0" w:line="216" w:lineRule="auto"/>
        <w:rPr>
          <w:sz w:val="20"/>
          <w:szCs w:val="20"/>
          <w:color w:val="auto"/>
        </w:rPr>
      </w:pPr>
      <w:r>
        <w:rPr>
          <w:rFonts w:ascii="Arial" w:cs="Arial" w:eastAsia="Arial" w:hAnsi="Arial"/>
          <w:sz w:val="18"/>
          <w:szCs w:val="18"/>
          <w:color w:val="auto"/>
        </w:rPr>
        <w:t>In May 2016, we acquired Softmart. As initially reported in our third quarter results for 2016, the operating results of Softmart were included in the SMB segment. This segment allocation was revised in our results for the year as reported in our 2016 10-K. Under this revised reporting, the operating results of Softmart that were initially included in the SMB segment are now allocated between the SMB and Large Account segments and continue to be allocated between these two segments.</w:t>
      </w:r>
    </w:p>
    <w:p>
      <w:pPr>
        <w:spacing w:after="0" w:line="122" w:lineRule="exact"/>
        <w:rPr>
          <w:sz w:val="20"/>
          <w:szCs w:val="20"/>
          <w:color w:val="auto"/>
        </w:rPr>
      </w:pPr>
    </w:p>
    <w:p>
      <w:pPr>
        <w:ind w:right="460" w:firstLine="324"/>
        <w:spacing w:after="0" w:line="289" w:lineRule="auto"/>
        <w:rPr>
          <w:sz w:val="20"/>
          <w:szCs w:val="20"/>
          <w:color w:val="auto"/>
        </w:rPr>
      </w:pPr>
      <w:r>
        <w:rPr>
          <w:rFonts w:ascii="Arial" w:cs="Arial" w:eastAsia="Arial" w:hAnsi="Arial"/>
          <w:sz w:val="16"/>
          <w:szCs w:val="16"/>
          <w:color w:val="auto"/>
        </w:rPr>
        <w:t>In October 2016, we acquired GlobalServe. We have included the operating results for GlobalServe in our Large Account segment. The external sales and operating results of GlobalServe were immaterial to our consolidated results.</w:t>
      </w: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firstLine="324"/>
        <w:spacing w:after="0" w:line="235" w:lineRule="auto"/>
        <w:rPr>
          <w:sz w:val="20"/>
          <w:szCs w:val="20"/>
          <w:color w:val="auto"/>
        </w:rPr>
      </w:pPr>
      <w:r>
        <w:rPr>
          <w:rFonts w:ascii="Arial" w:cs="Arial" w:eastAsia="Arial" w:hAnsi="Arial"/>
          <w:sz w:val="18"/>
          <w:szCs w:val="18"/>
          <w:color w:val="auto"/>
        </w:rPr>
        <w:t>Segment information applicable to our reportable operating segments for the three and nine months ended September 30, 2017 and 2016 is shown below:</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5"/>
          </w:tcPr>
          <w:p>
            <w:pPr>
              <w:ind w:left="280"/>
              <w:spacing w:after="0"/>
              <w:rPr>
                <w:sz w:val="20"/>
                <w:szCs w:val="20"/>
                <w:color w:val="auto"/>
              </w:rPr>
            </w:pPr>
            <w:r>
              <w:rPr>
                <w:rFonts w:ascii="Arial" w:cs="Arial" w:eastAsia="Arial" w:hAnsi="Arial"/>
                <w:sz w:val="14"/>
                <w:szCs w:val="14"/>
                <w:b w:val="1"/>
                <w:bCs w:val="1"/>
                <w:color w:val="auto"/>
              </w:rPr>
              <w:t>Nine Months Ended</w:t>
            </w:r>
          </w:p>
        </w:tc>
      </w:tr>
      <w:tr>
        <w:trPr>
          <w:trHeight w:val="102"/>
        </w:trPr>
        <w:tc>
          <w:tcPr>
            <w:tcW w:w="3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940" w:type="dxa"/>
            <w:vAlign w:val="bottom"/>
            <w:tcBorders>
              <w:top w:val="single" w:sz="8" w:color="auto"/>
            </w:tcBorders>
            <w:gridSpan w:val="2"/>
          </w:tcPr>
          <w:p>
            <w:pPr>
              <w:ind w:left="20"/>
              <w:spacing w:after="0" w:line="102" w:lineRule="exact"/>
              <w:rPr>
                <w:sz w:val="20"/>
                <w:szCs w:val="20"/>
                <w:color w:val="auto"/>
              </w:rPr>
            </w:pPr>
            <w:r>
              <w:rPr>
                <w:rFonts w:ascii="Arial" w:cs="Arial" w:eastAsia="Arial" w:hAnsi="Arial"/>
                <w:sz w:val="11"/>
                <w:szCs w:val="11"/>
                <w:b w:val="1"/>
                <w:bCs w:val="1"/>
                <w:color w:val="auto"/>
              </w:rPr>
              <w:t>September 30,</w:t>
            </w:r>
          </w:p>
        </w:tc>
        <w:tc>
          <w:tcPr>
            <w:tcW w:w="160" w:type="dxa"/>
            <w:vAlign w:val="bottom"/>
            <w:tcBorders>
              <w:top w:val="single" w:sz="8" w:color="auto"/>
            </w:tcBorders>
          </w:tcPr>
          <w:p>
            <w:pPr>
              <w:spacing w:after="0"/>
              <w:rPr>
                <w:sz w:val="8"/>
                <w:szCs w:val="8"/>
                <w:color w:val="auto"/>
              </w:rPr>
            </w:pPr>
          </w:p>
        </w:tc>
        <w:tc>
          <w:tcPr>
            <w:tcW w:w="940" w:type="dxa"/>
            <w:vAlign w:val="bottom"/>
            <w:tcBorders>
              <w:top w:val="single" w:sz="8" w:color="auto"/>
            </w:tcBorders>
            <w:gridSpan w:val="2"/>
          </w:tcPr>
          <w:p>
            <w:pPr>
              <w:ind w:left="20"/>
              <w:spacing w:after="0" w:line="102" w:lineRule="exact"/>
              <w:rPr>
                <w:sz w:val="20"/>
                <w:szCs w:val="20"/>
                <w:color w:val="auto"/>
              </w:rPr>
            </w:pPr>
            <w:r>
              <w:rPr>
                <w:rFonts w:ascii="Arial" w:cs="Arial" w:eastAsia="Arial" w:hAnsi="Arial"/>
                <w:sz w:val="11"/>
                <w:szCs w:val="11"/>
                <w:b w:val="1"/>
                <w:bCs w:val="1"/>
                <w:color w:val="auto"/>
              </w:rPr>
              <w:t>September 30,</w:t>
            </w: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top w:val="single" w:sz="8" w:color="auto"/>
            </w:tcBorders>
            <w:gridSpan w:val="2"/>
          </w:tcPr>
          <w:p>
            <w:pPr>
              <w:spacing w:after="0" w:line="102" w:lineRule="exact"/>
              <w:rPr>
                <w:sz w:val="20"/>
                <w:szCs w:val="20"/>
                <w:color w:val="auto"/>
              </w:rPr>
            </w:pPr>
            <w:r>
              <w:rPr>
                <w:rFonts w:ascii="Arial" w:cs="Arial" w:eastAsia="Arial" w:hAnsi="Arial"/>
                <w:sz w:val="11"/>
                <w:szCs w:val="11"/>
                <w:b w:val="1"/>
                <w:bCs w:val="1"/>
                <w:color w:val="auto"/>
              </w:rPr>
              <w:t>September 30,</w:t>
            </w:r>
          </w:p>
        </w:tc>
        <w:tc>
          <w:tcPr>
            <w:tcW w:w="140" w:type="dxa"/>
            <w:vAlign w:val="bottom"/>
            <w:tcBorders>
              <w:top w:val="single" w:sz="8" w:color="auto"/>
            </w:tcBorders>
          </w:tcPr>
          <w:p>
            <w:pPr>
              <w:spacing w:after="0"/>
              <w:rPr>
                <w:sz w:val="8"/>
                <w:szCs w:val="8"/>
                <w:color w:val="auto"/>
              </w:rPr>
            </w:pPr>
          </w:p>
        </w:tc>
        <w:tc>
          <w:tcPr>
            <w:tcW w:w="960" w:type="dxa"/>
            <w:vAlign w:val="bottom"/>
            <w:tcBorders>
              <w:top w:val="single" w:sz="8" w:color="auto"/>
            </w:tcBorders>
            <w:gridSpan w:val="2"/>
          </w:tcPr>
          <w:p>
            <w:pPr>
              <w:ind w:left="20"/>
              <w:spacing w:after="0" w:line="102" w:lineRule="exact"/>
              <w:rPr>
                <w:sz w:val="20"/>
                <w:szCs w:val="20"/>
                <w:color w:val="auto"/>
              </w:rPr>
            </w:pPr>
            <w:r>
              <w:rPr>
                <w:rFonts w:ascii="Arial" w:cs="Arial" w:eastAsia="Arial" w:hAnsi="Arial"/>
                <w:sz w:val="11"/>
                <w:szCs w:val="11"/>
                <w:b w:val="1"/>
                <w:bCs w:val="1"/>
                <w:color w:val="auto"/>
              </w:rPr>
              <w:t>September 30,</w:t>
            </w:r>
          </w:p>
        </w:tc>
        <w:tc>
          <w:tcPr>
            <w:tcW w:w="40" w:type="dxa"/>
            <w:vAlign w:val="bottom"/>
          </w:tcPr>
          <w:p>
            <w:pPr>
              <w:spacing w:after="0"/>
              <w:rPr>
                <w:sz w:val="8"/>
                <w:szCs w:val="8"/>
                <w:color w:val="auto"/>
              </w:rPr>
            </w:pPr>
          </w:p>
        </w:tc>
      </w:tr>
      <w:tr>
        <w:trPr>
          <w:trHeight w:val="162"/>
        </w:trPr>
        <w:tc>
          <w:tcPr>
            <w:tcW w:w="372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CCEEFF"/>
            </w:tcBorders>
          </w:tcPr>
          <w:p>
            <w:pPr>
              <w:spacing w:after="0"/>
              <w:rPr>
                <w:sz w:val="14"/>
                <w:szCs w:val="14"/>
                <w:color w:val="auto"/>
              </w:rPr>
            </w:pPr>
          </w:p>
        </w:tc>
      </w:tr>
      <w:tr>
        <w:trPr>
          <w:trHeight w:val="169"/>
        </w:trPr>
        <w:tc>
          <w:tcPr>
            <w:tcW w:w="372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Net sales:</w:t>
            </w: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76"/>
        </w:trPr>
        <w:tc>
          <w:tcPr>
            <w:tcW w:w="3720" w:type="dxa"/>
            <w:vAlign w:val="bottom"/>
          </w:tcPr>
          <w:p>
            <w:pPr>
              <w:spacing w:after="0" w:line="176" w:lineRule="exact"/>
              <w:rPr>
                <w:sz w:val="20"/>
                <w:szCs w:val="20"/>
                <w:color w:val="auto"/>
              </w:rPr>
            </w:pPr>
            <w:r>
              <w:rPr>
                <w:rFonts w:ascii="Arial" w:cs="Arial" w:eastAsia="Arial" w:hAnsi="Arial"/>
                <w:sz w:val="18"/>
                <w:szCs w:val="18"/>
                <w:color w:val="auto"/>
              </w:rPr>
              <w:t>SMB</w:t>
            </w:r>
          </w:p>
        </w:tc>
        <w:tc>
          <w:tcPr>
            <w:tcW w:w="1140" w:type="dxa"/>
            <w:vAlign w:val="bottom"/>
            <w:gridSpan w:val="2"/>
          </w:tcPr>
          <w:p>
            <w:pPr>
              <w:ind w:left="940"/>
              <w:spacing w:after="0" w:line="176"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290,569</w:t>
            </w:r>
          </w:p>
        </w:tc>
        <w:tc>
          <w:tcPr>
            <w:tcW w:w="36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281,915</w:t>
            </w:r>
          </w:p>
        </w:tc>
        <w:tc>
          <w:tcPr>
            <w:tcW w:w="280" w:type="dxa"/>
            <w:vAlign w:val="bottom"/>
          </w:tcPr>
          <w:p>
            <w:pPr>
              <w:spacing w:after="0"/>
              <w:rPr>
                <w:sz w:val="15"/>
                <w:szCs w:val="15"/>
                <w:color w:val="auto"/>
              </w:rPr>
            </w:pPr>
          </w:p>
        </w:tc>
        <w:tc>
          <w:tcPr>
            <w:tcW w:w="120" w:type="dxa"/>
            <w:vAlign w:val="bottom"/>
            <w:gridSpan w:val="2"/>
          </w:tcPr>
          <w:p>
            <w:pPr>
              <w:spacing w:after="0" w:line="176" w:lineRule="exact"/>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860,622</w:t>
            </w:r>
          </w:p>
        </w:tc>
        <w:tc>
          <w:tcPr>
            <w:tcW w:w="28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814,123</w:t>
            </w:r>
          </w:p>
        </w:tc>
        <w:tc>
          <w:tcPr>
            <w:tcW w:w="40" w:type="dxa"/>
            <w:vAlign w:val="bottom"/>
          </w:tcPr>
          <w:p>
            <w:pPr>
              <w:spacing w:after="0"/>
              <w:rPr>
                <w:sz w:val="15"/>
                <w:szCs w:val="15"/>
                <w:color w:val="auto"/>
              </w:rPr>
            </w:pPr>
          </w:p>
        </w:tc>
      </w:tr>
      <w:tr>
        <w:trPr>
          <w:trHeight w:val="176"/>
        </w:trPr>
        <w:tc>
          <w:tcPr>
            <w:tcW w:w="3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Large Account</w:t>
            </w: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268,022</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254,273</w:t>
            </w: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823,017</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723,864</w:t>
            </w:r>
          </w:p>
        </w:tc>
        <w:tc>
          <w:tcPr>
            <w:tcW w:w="40" w:type="dxa"/>
            <w:vAlign w:val="bottom"/>
            <w:shd w:val="clear" w:color="auto" w:fill="CCEEFF"/>
          </w:tcPr>
          <w:p>
            <w:pPr>
              <w:spacing w:after="0"/>
              <w:rPr>
                <w:sz w:val="15"/>
                <w:szCs w:val="15"/>
                <w:color w:val="auto"/>
              </w:rPr>
            </w:pPr>
          </w:p>
        </w:tc>
      </w:tr>
      <w:tr>
        <w:trPr>
          <w:trHeight w:val="176"/>
        </w:trPr>
        <w:tc>
          <w:tcPr>
            <w:tcW w:w="372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Public Sector</w:t>
            </w:r>
          </w:p>
        </w:tc>
        <w:tc>
          <w:tcPr>
            <w:tcW w:w="9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170,639</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172,297</w:t>
            </w:r>
          </w:p>
        </w:tc>
        <w:tc>
          <w:tcPr>
            <w:tcW w:w="2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465,977</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419,057</w:t>
            </w:r>
          </w:p>
        </w:tc>
        <w:tc>
          <w:tcPr>
            <w:tcW w:w="40" w:type="dxa"/>
            <w:vAlign w:val="bottom"/>
            <w:tcBorders>
              <w:bottom w:val="single" w:sz="8" w:color="CCEEFF"/>
            </w:tcBorders>
          </w:tcPr>
          <w:p>
            <w:pPr>
              <w:spacing w:after="0"/>
              <w:rPr>
                <w:sz w:val="15"/>
                <w:szCs w:val="15"/>
                <w:color w:val="auto"/>
              </w:rPr>
            </w:pPr>
          </w:p>
        </w:tc>
      </w:tr>
      <w:tr>
        <w:trPr>
          <w:trHeight w:val="189"/>
        </w:trPr>
        <w:tc>
          <w:tcPr>
            <w:tcW w:w="3720" w:type="dxa"/>
            <w:vAlign w:val="bottom"/>
            <w:tcBorders>
              <w:bottom w:val="single" w:sz="8" w:color="CCEEFF"/>
            </w:tcBorders>
            <w:shd w:val="clear" w:color="auto" w:fill="CCEEFF"/>
          </w:tcPr>
          <w:p>
            <w:pPr>
              <w:ind w:left="220"/>
              <w:spacing w:after="0" w:line="170" w:lineRule="exact"/>
              <w:rPr>
                <w:sz w:val="20"/>
                <w:szCs w:val="20"/>
                <w:color w:val="auto"/>
              </w:rPr>
            </w:pPr>
            <w:r>
              <w:rPr>
                <w:rFonts w:ascii="Arial" w:cs="Arial" w:eastAsia="Arial" w:hAnsi="Arial"/>
                <w:sz w:val="18"/>
                <w:szCs w:val="18"/>
                <w:color w:val="auto"/>
              </w:rPr>
              <w:t>Total net sales</w:t>
            </w:r>
          </w:p>
        </w:tc>
        <w:tc>
          <w:tcPr>
            <w:tcW w:w="9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729,230</w:t>
            </w:r>
          </w:p>
        </w:tc>
        <w:tc>
          <w:tcPr>
            <w:tcW w:w="1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708,485</w:t>
            </w:r>
          </w:p>
        </w:tc>
        <w:tc>
          <w:tcPr>
            <w:tcW w:w="2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2"/>
              </w:rPr>
              <w:t>2,149,616</w:t>
            </w:r>
          </w:p>
        </w:tc>
        <w:tc>
          <w:tcPr>
            <w:tcW w:w="1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2"/>
              </w:rPr>
              <w:t>1,957,044</w:t>
            </w:r>
          </w:p>
        </w:tc>
        <w:tc>
          <w:tcPr>
            <w:tcW w:w="40" w:type="dxa"/>
            <w:vAlign w:val="bottom"/>
            <w:tcBorders>
              <w:bottom w:val="single" w:sz="8" w:color="CCEEFF"/>
            </w:tcBorders>
            <w:shd w:val="clear" w:color="auto" w:fill="CCEEFF"/>
          </w:tcPr>
          <w:p>
            <w:pPr>
              <w:spacing w:after="0"/>
              <w:rPr>
                <w:sz w:val="16"/>
                <w:szCs w:val="16"/>
                <w:color w:val="auto"/>
              </w:rPr>
            </w:pPr>
          </w:p>
        </w:tc>
      </w:tr>
      <w:tr>
        <w:trPr>
          <w:trHeight w:val="163"/>
        </w:trPr>
        <w:tc>
          <w:tcPr>
            <w:tcW w:w="3720" w:type="dxa"/>
            <w:vAlign w:val="bottom"/>
          </w:tcPr>
          <w:p>
            <w:pPr>
              <w:spacing w:after="0" w:line="163" w:lineRule="exact"/>
              <w:rPr>
                <w:sz w:val="20"/>
                <w:szCs w:val="20"/>
                <w:color w:val="auto"/>
              </w:rPr>
            </w:pPr>
            <w:r>
              <w:rPr>
                <w:rFonts w:ascii="Arial" w:cs="Arial" w:eastAsia="Arial" w:hAnsi="Arial"/>
                <w:sz w:val="18"/>
                <w:szCs w:val="18"/>
                <w:b w:val="1"/>
                <w:bCs w:val="1"/>
                <w:color w:val="auto"/>
              </w:rPr>
              <w:t>Operating income (loss):</w:t>
            </w: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6"/>
        </w:trPr>
        <w:tc>
          <w:tcPr>
            <w:tcW w:w="3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SMB</w:t>
            </w:r>
          </w:p>
        </w:tc>
        <w:tc>
          <w:tcPr>
            <w:tcW w:w="1140" w:type="dxa"/>
            <w:vAlign w:val="bottom"/>
            <w:gridSpan w:val="2"/>
            <w:shd w:val="clear" w:color="auto" w:fill="CCEEFF"/>
          </w:tcPr>
          <w:p>
            <w:pPr>
              <w:ind w:left="940"/>
              <w:spacing w:after="0" w:line="17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9,543</w:t>
            </w:r>
          </w:p>
        </w:tc>
        <w:tc>
          <w:tcPr>
            <w:tcW w:w="36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9,989</w:t>
            </w:r>
          </w:p>
        </w:tc>
        <w:tc>
          <w:tcPr>
            <w:tcW w:w="280" w:type="dxa"/>
            <w:vAlign w:val="bottom"/>
            <w:shd w:val="clear" w:color="auto" w:fill="CCEEFF"/>
          </w:tcPr>
          <w:p>
            <w:pPr>
              <w:spacing w:after="0"/>
              <w:rPr>
                <w:sz w:val="15"/>
                <w:szCs w:val="15"/>
                <w:color w:val="auto"/>
              </w:rPr>
            </w:pPr>
          </w:p>
        </w:tc>
        <w:tc>
          <w:tcPr>
            <w:tcW w:w="1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29,430</w:t>
            </w:r>
          </w:p>
        </w:tc>
        <w:tc>
          <w:tcPr>
            <w:tcW w:w="28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32,104</w:t>
            </w:r>
          </w:p>
        </w:tc>
        <w:tc>
          <w:tcPr>
            <w:tcW w:w="40" w:type="dxa"/>
            <w:vAlign w:val="bottom"/>
            <w:shd w:val="clear" w:color="auto" w:fill="CCEEFF"/>
          </w:tcPr>
          <w:p>
            <w:pPr>
              <w:spacing w:after="0"/>
              <w:rPr>
                <w:sz w:val="15"/>
                <w:szCs w:val="15"/>
                <w:color w:val="auto"/>
              </w:rPr>
            </w:pPr>
          </w:p>
        </w:tc>
      </w:tr>
      <w:tr>
        <w:trPr>
          <w:trHeight w:val="176"/>
        </w:trPr>
        <w:tc>
          <w:tcPr>
            <w:tcW w:w="3720" w:type="dxa"/>
            <w:vAlign w:val="bottom"/>
          </w:tcPr>
          <w:p>
            <w:pPr>
              <w:spacing w:after="0" w:line="176" w:lineRule="exact"/>
              <w:rPr>
                <w:sz w:val="20"/>
                <w:szCs w:val="20"/>
                <w:color w:val="auto"/>
              </w:rPr>
            </w:pPr>
            <w:r>
              <w:rPr>
                <w:rFonts w:ascii="Arial" w:cs="Arial" w:eastAsia="Arial" w:hAnsi="Arial"/>
                <w:sz w:val="18"/>
                <w:szCs w:val="18"/>
                <w:color w:val="auto"/>
              </w:rPr>
              <w:t>Large Account</w:t>
            </w: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12,389</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11,832</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35,777</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31,188</w:t>
            </w:r>
          </w:p>
        </w:tc>
        <w:tc>
          <w:tcPr>
            <w:tcW w:w="40" w:type="dxa"/>
            <w:vAlign w:val="bottom"/>
          </w:tcPr>
          <w:p>
            <w:pPr>
              <w:spacing w:after="0"/>
              <w:rPr>
                <w:sz w:val="15"/>
                <w:szCs w:val="15"/>
                <w:color w:val="auto"/>
              </w:rPr>
            </w:pPr>
          </w:p>
        </w:tc>
      </w:tr>
      <w:tr>
        <w:trPr>
          <w:trHeight w:val="176"/>
        </w:trPr>
        <w:tc>
          <w:tcPr>
            <w:tcW w:w="3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Public Sector</w:t>
            </w: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2,793</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3,593</w:t>
            </w: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169</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4,555</w:t>
            </w:r>
          </w:p>
        </w:tc>
        <w:tc>
          <w:tcPr>
            <w:tcW w:w="40" w:type="dxa"/>
            <w:vAlign w:val="bottom"/>
            <w:shd w:val="clear" w:color="auto" w:fill="CCEEFF"/>
          </w:tcPr>
          <w:p>
            <w:pPr>
              <w:spacing w:after="0"/>
              <w:rPr>
                <w:sz w:val="15"/>
                <w:szCs w:val="15"/>
                <w:color w:val="auto"/>
              </w:rPr>
            </w:pPr>
          </w:p>
        </w:tc>
      </w:tr>
      <w:tr>
        <w:trPr>
          <w:trHeight w:val="176"/>
        </w:trPr>
        <w:tc>
          <w:tcPr>
            <w:tcW w:w="372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Headquarters/Other</w:t>
            </w:r>
          </w:p>
        </w:tc>
        <w:tc>
          <w:tcPr>
            <w:tcW w:w="9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(2,986)</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(2,969)</w:t>
            </w:r>
          </w:p>
        </w:tc>
        <w:tc>
          <w:tcPr>
            <w:tcW w:w="2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(9,745)</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(9,228)</w:t>
            </w:r>
          </w:p>
        </w:tc>
        <w:tc>
          <w:tcPr>
            <w:tcW w:w="40" w:type="dxa"/>
            <w:vAlign w:val="bottom"/>
            <w:tcBorders>
              <w:bottom w:val="single" w:sz="8" w:color="CCEEFF"/>
            </w:tcBorders>
          </w:tcPr>
          <w:p>
            <w:pPr>
              <w:spacing w:after="0"/>
              <w:rPr>
                <w:sz w:val="15"/>
                <w:szCs w:val="15"/>
                <w:color w:val="auto"/>
              </w:rPr>
            </w:pPr>
          </w:p>
        </w:tc>
      </w:tr>
      <w:tr>
        <w:trPr>
          <w:trHeight w:val="169"/>
        </w:trPr>
        <w:tc>
          <w:tcPr>
            <w:tcW w:w="3720" w:type="dxa"/>
            <w:vAlign w:val="bottom"/>
            <w:shd w:val="clear" w:color="auto" w:fill="CCEEFF"/>
          </w:tcPr>
          <w:p>
            <w:pPr>
              <w:ind w:left="220"/>
              <w:spacing w:after="0" w:line="170" w:lineRule="exact"/>
              <w:rPr>
                <w:sz w:val="20"/>
                <w:szCs w:val="20"/>
                <w:color w:val="auto"/>
              </w:rPr>
            </w:pPr>
            <w:r>
              <w:rPr>
                <w:rFonts w:ascii="Arial" w:cs="Arial" w:eastAsia="Arial" w:hAnsi="Arial"/>
                <w:sz w:val="18"/>
                <w:szCs w:val="18"/>
                <w:color w:val="auto"/>
              </w:rPr>
              <w:t>Total operating income</w:t>
            </w: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21,739</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22,445</w:t>
            </w: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55,631</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58,619</w:t>
            </w:r>
          </w:p>
        </w:tc>
        <w:tc>
          <w:tcPr>
            <w:tcW w:w="40" w:type="dxa"/>
            <w:vAlign w:val="bottom"/>
            <w:shd w:val="clear" w:color="auto" w:fill="CCEEFF"/>
          </w:tcPr>
          <w:p>
            <w:pPr>
              <w:spacing w:after="0"/>
              <w:rPr>
                <w:sz w:val="14"/>
                <w:szCs w:val="14"/>
                <w:color w:val="auto"/>
              </w:rPr>
            </w:pPr>
          </w:p>
        </w:tc>
      </w:tr>
      <w:tr>
        <w:trPr>
          <w:trHeight w:val="176"/>
        </w:trPr>
        <w:tc>
          <w:tcPr>
            <w:tcW w:w="372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Interest income (expense)</w:t>
            </w:r>
          </w:p>
        </w:tc>
        <w:tc>
          <w:tcPr>
            <w:tcW w:w="9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(8)</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(27)</w:t>
            </w:r>
          </w:p>
        </w:tc>
        <w:tc>
          <w:tcPr>
            <w:tcW w:w="2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20</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(53)</w:t>
            </w:r>
          </w:p>
        </w:tc>
        <w:tc>
          <w:tcPr>
            <w:tcW w:w="40" w:type="dxa"/>
            <w:vAlign w:val="bottom"/>
            <w:tcBorders>
              <w:bottom w:val="single" w:sz="8" w:color="CCEEFF"/>
            </w:tcBorders>
          </w:tcPr>
          <w:p>
            <w:pPr>
              <w:spacing w:after="0"/>
              <w:rPr>
                <w:sz w:val="15"/>
                <w:szCs w:val="15"/>
                <w:color w:val="auto"/>
              </w:rPr>
            </w:pPr>
          </w:p>
        </w:tc>
      </w:tr>
      <w:tr>
        <w:trPr>
          <w:trHeight w:val="189"/>
        </w:trPr>
        <w:tc>
          <w:tcPr>
            <w:tcW w:w="3720" w:type="dxa"/>
            <w:vAlign w:val="bottom"/>
            <w:tcBorders>
              <w:bottom w:val="single" w:sz="8" w:color="CCEEFF"/>
            </w:tcBorders>
            <w:shd w:val="clear" w:color="auto" w:fill="CCEEFF"/>
          </w:tcPr>
          <w:p>
            <w:pPr>
              <w:ind w:left="220"/>
              <w:spacing w:after="0" w:line="170" w:lineRule="exact"/>
              <w:rPr>
                <w:sz w:val="20"/>
                <w:szCs w:val="20"/>
                <w:color w:val="auto"/>
              </w:rPr>
            </w:pPr>
            <w:r>
              <w:rPr>
                <w:rFonts w:ascii="Arial" w:cs="Arial" w:eastAsia="Arial" w:hAnsi="Arial"/>
                <w:sz w:val="18"/>
                <w:szCs w:val="18"/>
                <w:color w:val="auto"/>
              </w:rPr>
              <w:t>Income before taxes</w:t>
            </w:r>
          </w:p>
        </w:tc>
        <w:tc>
          <w:tcPr>
            <w:tcW w:w="9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21,731</w:t>
            </w:r>
          </w:p>
        </w:tc>
        <w:tc>
          <w:tcPr>
            <w:tcW w:w="1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22,418</w:t>
            </w:r>
          </w:p>
        </w:tc>
        <w:tc>
          <w:tcPr>
            <w:tcW w:w="2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55,651</w:t>
            </w:r>
          </w:p>
        </w:tc>
        <w:tc>
          <w:tcPr>
            <w:tcW w:w="1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58,566</w:t>
            </w:r>
          </w:p>
        </w:tc>
        <w:tc>
          <w:tcPr>
            <w:tcW w:w="40" w:type="dxa"/>
            <w:vAlign w:val="bottom"/>
            <w:tcBorders>
              <w:bottom w:val="single" w:sz="8" w:color="CCEEFF"/>
            </w:tcBorders>
            <w:shd w:val="clear" w:color="auto" w:fill="CCEEFF"/>
          </w:tcPr>
          <w:p>
            <w:pPr>
              <w:spacing w:after="0"/>
              <w:rPr>
                <w:sz w:val="16"/>
                <w:szCs w:val="16"/>
                <w:color w:val="auto"/>
              </w:rPr>
            </w:pPr>
          </w:p>
        </w:tc>
      </w:tr>
      <w:tr>
        <w:trPr>
          <w:trHeight w:val="163"/>
        </w:trPr>
        <w:tc>
          <w:tcPr>
            <w:tcW w:w="3720" w:type="dxa"/>
            <w:vAlign w:val="bottom"/>
          </w:tcPr>
          <w:p>
            <w:pPr>
              <w:spacing w:after="0" w:line="163" w:lineRule="exact"/>
              <w:rPr>
                <w:sz w:val="20"/>
                <w:szCs w:val="20"/>
                <w:color w:val="auto"/>
              </w:rPr>
            </w:pPr>
            <w:r>
              <w:rPr>
                <w:rFonts w:ascii="Arial" w:cs="Arial" w:eastAsia="Arial" w:hAnsi="Arial"/>
                <w:sz w:val="18"/>
                <w:szCs w:val="18"/>
                <w:b w:val="1"/>
                <w:bCs w:val="1"/>
                <w:color w:val="auto"/>
              </w:rPr>
              <w:t>Selected operating expense:</w:t>
            </w: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6"/>
        </w:trPr>
        <w:tc>
          <w:tcPr>
            <w:tcW w:w="3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Depreciation and amortization:</w:t>
            </w: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76"/>
        </w:trPr>
        <w:tc>
          <w:tcPr>
            <w:tcW w:w="3720" w:type="dxa"/>
            <w:vAlign w:val="bottom"/>
          </w:tcPr>
          <w:p>
            <w:pPr>
              <w:spacing w:after="0" w:line="176" w:lineRule="exact"/>
              <w:rPr>
                <w:sz w:val="20"/>
                <w:szCs w:val="20"/>
                <w:color w:val="auto"/>
              </w:rPr>
            </w:pPr>
            <w:r>
              <w:rPr>
                <w:rFonts w:ascii="Arial" w:cs="Arial" w:eastAsia="Arial" w:hAnsi="Arial"/>
                <w:sz w:val="18"/>
                <w:szCs w:val="18"/>
                <w:color w:val="auto"/>
              </w:rPr>
              <w:t>SMB</w:t>
            </w:r>
          </w:p>
        </w:tc>
        <w:tc>
          <w:tcPr>
            <w:tcW w:w="1140" w:type="dxa"/>
            <w:vAlign w:val="bottom"/>
            <w:gridSpan w:val="2"/>
          </w:tcPr>
          <w:p>
            <w:pPr>
              <w:ind w:left="940"/>
              <w:spacing w:after="0" w:line="176"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145</w:t>
            </w:r>
          </w:p>
        </w:tc>
        <w:tc>
          <w:tcPr>
            <w:tcW w:w="36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184</w:t>
            </w:r>
          </w:p>
        </w:tc>
        <w:tc>
          <w:tcPr>
            <w:tcW w:w="280" w:type="dxa"/>
            <w:vAlign w:val="bottom"/>
          </w:tcPr>
          <w:p>
            <w:pPr>
              <w:spacing w:after="0"/>
              <w:rPr>
                <w:sz w:val="15"/>
                <w:szCs w:val="15"/>
                <w:color w:val="auto"/>
              </w:rPr>
            </w:pPr>
          </w:p>
        </w:tc>
        <w:tc>
          <w:tcPr>
            <w:tcW w:w="120" w:type="dxa"/>
            <w:vAlign w:val="bottom"/>
            <w:gridSpan w:val="2"/>
          </w:tcPr>
          <w:p>
            <w:pPr>
              <w:spacing w:after="0" w:line="176" w:lineRule="exact"/>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448</w:t>
            </w:r>
          </w:p>
        </w:tc>
        <w:tc>
          <w:tcPr>
            <w:tcW w:w="28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252</w:t>
            </w:r>
          </w:p>
        </w:tc>
        <w:tc>
          <w:tcPr>
            <w:tcW w:w="40" w:type="dxa"/>
            <w:vAlign w:val="bottom"/>
          </w:tcPr>
          <w:p>
            <w:pPr>
              <w:spacing w:after="0"/>
              <w:rPr>
                <w:sz w:val="15"/>
                <w:szCs w:val="15"/>
                <w:color w:val="auto"/>
              </w:rPr>
            </w:pPr>
          </w:p>
        </w:tc>
      </w:tr>
      <w:tr>
        <w:trPr>
          <w:trHeight w:val="176"/>
        </w:trPr>
        <w:tc>
          <w:tcPr>
            <w:tcW w:w="3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Large Account</w:t>
            </w: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519</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466</w:t>
            </w: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1,661</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1,138</w:t>
            </w:r>
          </w:p>
        </w:tc>
        <w:tc>
          <w:tcPr>
            <w:tcW w:w="40" w:type="dxa"/>
            <w:vAlign w:val="bottom"/>
            <w:shd w:val="clear" w:color="auto" w:fill="CCEEFF"/>
          </w:tcPr>
          <w:p>
            <w:pPr>
              <w:spacing w:after="0"/>
              <w:rPr>
                <w:sz w:val="15"/>
                <w:szCs w:val="15"/>
                <w:color w:val="auto"/>
              </w:rPr>
            </w:pPr>
          </w:p>
        </w:tc>
      </w:tr>
      <w:tr>
        <w:trPr>
          <w:trHeight w:val="176"/>
        </w:trPr>
        <w:tc>
          <w:tcPr>
            <w:tcW w:w="3720" w:type="dxa"/>
            <w:vAlign w:val="bottom"/>
          </w:tcPr>
          <w:p>
            <w:pPr>
              <w:spacing w:after="0" w:line="176" w:lineRule="exact"/>
              <w:rPr>
                <w:sz w:val="20"/>
                <w:szCs w:val="20"/>
                <w:color w:val="auto"/>
              </w:rPr>
            </w:pPr>
            <w:r>
              <w:rPr>
                <w:rFonts w:ascii="Arial" w:cs="Arial" w:eastAsia="Arial" w:hAnsi="Arial"/>
                <w:sz w:val="18"/>
                <w:szCs w:val="18"/>
                <w:color w:val="auto"/>
              </w:rPr>
              <w:t>Public Sector</w:t>
            </w: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45</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40</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126</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121</w:t>
            </w:r>
          </w:p>
        </w:tc>
        <w:tc>
          <w:tcPr>
            <w:tcW w:w="40" w:type="dxa"/>
            <w:vAlign w:val="bottom"/>
          </w:tcPr>
          <w:p>
            <w:pPr>
              <w:spacing w:after="0"/>
              <w:rPr>
                <w:sz w:val="15"/>
                <w:szCs w:val="15"/>
                <w:color w:val="auto"/>
              </w:rPr>
            </w:pPr>
          </w:p>
        </w:tc>
      </w:tr>
      <w:tr>
        <w:trPr>
          <w:trHeight w:val="176"/>
        </w:trPr>
        <w:tc>
          <w:tcPr>
            <w:tcW w:w="3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Headquarters/Other</w:t>
            </w:r>
          </w:p>
        </w:tc>
        <w:tc>
          <w:tcPr>
            <w:tcW w:w="94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2,226</w:t>
            </w:r>
          </w:p>
        </w:tc>
        <w:tc>
          <w:tcPr>
            <w:tcW w:w="16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2,011</w:t>
            </w: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6,410</w:t>
            </w:r>
          </w:p>
        </w:tc>
        <w:tc>
          <w:tcPr>
            <w:tcW w:w="1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5,993</w:t>
            </w:r>
          </w:p>
        </w:tc>
        <w:tc>
          <w:tcPr>
            <w:tcW w:w="40" w:type="dxa"/>
            <w:vAlign w:val="bottom"/>
            <w:shd w:val="clear" w:color="auto" w:fill="CCEEFF"/>
          </w:tcPr>
          <w:p>
            <w:pPr>
              <w:spacing w:after="0"/>
              <w:rPr>
                <w:sz w:val="15"/>
                <w:szCs w:val="15"/>
                <w:color w:val="auto"/>
              </w:rPr>
            </w:pPr>
          </w:p>
        </w:tc>
      </w:tr>
      <w:tr>
        <w:trPr>
          <w:trHeight w:val="176"/>
        </w:trPr>
        <w:tc>
          <w:tcPr>
            <w:tcW w:w="3720" w:type="dxa"/>
            <w:vAlign w:val="bottom"/>
            <w:tcBorders>
              <w:bottom w:val="single" w:sz="8" w:color="CCEEFF"/>
            </w:tcBorders>
          </w:tcPr>
          <w:p>
            <w:pPr>
              <w:ind w:left="220"/>
              <w:spacing w:after="0" w:line="170" w:lineRule="exact"/>
              <w:rPr>
                <w:sz w:val="20"/>
                <w:szCs w:val="20"/>
                <w:color w:val="auto"/>
              </w:rPr>
            </w:pPr>
            <w:r>
              <w:rPr>
                <w:rFonts w:ascii="Arial" w:cs="Arial" w:eastAsia="Arial" w:hAnsi="Arial"/>
                <w:sz w:val="18"/>
                <w:szCs w:val="18"/>
                <w:color w:val="auto"/>
              </w:rPr>
              <w:t>Total depreciation and amortization</w:t>
            </w:r>
          </w:p>
        </w:tc>
        <w:tc>
          <w:tcPr>
            <w:tcW w:w="9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2,935</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2,701</w:t>
            </w:r>
          </w:p>
        </w:tc>
        <w:tc>
          <w:tcPr>
            <w:tcW w:w="2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8,645</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7,504</w:t>
            </w:r>
          </w:p>
        </w:tc>
        <w:tc>
          <w:tcPr>
            <w:tcW w:w="40" w:type="dxa"/>
            <w:vAlign w:val="bottom"/>
            <w:tcBorders>
              <w:bottom w:val="single" w:sz="8" w:color="CCEEFF"/>
            </w:tcBorders>
          </w:tcPr>
          <w:p>
            <w:pPr>
              <w:spacing w:after="0"/>
              <w:rPr>
                <w:sz w:val="15"/>
                <w:szCs w:val="15"/>
                <w:color w:val="auto"/>
              </w:rPr>
            </w:pPr>
          </w:p>
        </w:tc>
      </w:tr>
      <w:tr>
        <w:trPr>
          <w:trHeight w:val="176"/>
        </w:trPr>
        <w:tc>
          <w:tcPr>
            <w:tcW w:w="372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Total assets:</w:t>
            </w: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89"/>
        </w:trPr>
        <w:tc>
          <w:tcPr>
            <w:tcW w:w="3720" w:type="dxa"/>
            <w:vAlign w:val="bottom"/>
          </w:tcPr>
          <w:p>
            <w:pPr>
              <w:spacing w:after="0" w:line="189" w:lineRule="exact"/>
              <w:rPr>
                <w:sz w:val="20"/>
                <w:szCs w:val="20"/>
                <w:color w:val="auto"/>
              </w:rPr>
            </w:pPr>
            <w:r>
              <w:rPr>
                <w:rFonts w:ascii="Arial" w:cs="Arial" w:eastAsia="Arial" w:hAnsi="Arial"/>
                <w:sz w:val="18"/>
                <w:szCs w:val="18"/>
                <w:color w:val="auto"/>
              </w:rPr>
              <w:t>SMB</w:t>
            </w: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gridSpan w:val="2"/>
          </w:tcPr>
          <w:p>
            <w:pPr>
              <w:spacing w:after="0" w:line="189" w:lineRule="exact"/>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241,030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3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Large Account</w:t>
            </w: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376,001</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89"/>
        </w:trPr>
        <w:tc>
          <w:tcPr>
            <w:tcW w:w="3720" w:type="dxa"/>
            <w:vAlign w:val="bottom"/>
          </w:tcPr>
          <w:p>
            <w:pPr>
              <w:spacing w:after="0" w:line="189" w:lineRule="exact"/>
              <w:rPr>
                <w:sz w:val="20"/>
                <w:szCs w:val="20"/>
                <w:color w:val="auto"/>
              </w:rPr>
            </w:pPr>
            <w:r>
              <w:rPr>
                <w:rFonts w:ascii="Arial" w:cs="Arial" w:eastAsia="Arial" w:hAnsi="Arial"/>
                <w:sz w:val="18"/>
                <w:szCs w:val="18"/>
                <w:color w:val="auto"/>
              </w:rPr>
              <w:t>Public Sector</w:t>
            </w: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69,162</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3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Headquarters/Other</w:t>
            </w: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5,689</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76"/>
        </w:trPr>
        <w:tc>
          <w:tcPr>
            <w:tcW w:w="3720" w:type="dxa"/>
            <w:vAlign w:val="bottom"/>
          </w:tcPr>
          <w:p>
            <w:pPr>
              <w:ind w:left="220"/>
              <w:spacing w:after="0" w:line="170" w:lineRule="exact"/>
              <w:rPr>
                <w:sz w:val="20"/>
                <w:szCs w:val="20"/>
                <w:color w:val="auto"/>
              </w:rPr>
            </w:pPr>
            <w:r>
              <w:rPr>
                <w:rFonts w:ascii="Arial" w:cs="Arial" w:eastAsia="Arial" w:hAnsi="Arial"/>
                <w:sz w:val="18"/>
                <w:szCs w:val="18"/>
                <w:color w:val="auto"/>
              </w:rPr>
              <w:t>Total assets</w:t>
            </w: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691,882</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r>
    </w:tbl>
    <w:p>
      <w:pPr>
        <w:spacing w:after="0" w:line="242" w:lineRule="exact"/>
        <w:rPr>
          <w:sz w:val="20"/>
          <w:szCs w:val="20"/>
          <w:color w:val="auto"/>
        </w:rPr>
      </w:pPr>
    </w:p>
    <w:p>
      <w:pPr>
        <w:ind w:right="180" w:firstLine="324"/>
        <w:spacing w:after="0" w:line="225" w:lineRule="auto"/>
        <w:rPr>
          <w:sz w:val="20"/>
          <w:szCs w:val="20"/>
          <w:color w:val="auto"/>
        </w:rPr>
      </w:pPr>
      <w:r>
        <w:rPr>
          <w:rFonts w:ascii="Arial" w:cs="Arial" w:eastAsia="Arial" w:hAnsi="Arial"/>
          <w:sz w:val="17"/>
          <w:szCs w:val="17"/>
          <w:color w:val="auto"/>
        </w:rPr>
        <w:t>The assets of our three operating segments presented above consist primarily of accounts receivable, intercompany receivable, goodwill, and other intangibles. Assets reported under the Headquarters/Other group are managed by corporate headquarters, including cash, inventory, and property and equipment. Total assets for the Headquarters/Other group are presented net of intercompany balance eliminations of $16,728 as of September 30, 2017. Our capital expenditures consist largely of IT hardware and software purchased to maintain or upgrade our management information systems. These information systems serve all of our segments, to varying degrees, and accordingly, our CODM does not evaluate capital expenditures on a segment basis.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5–Commitments and Contingencies</w:t>
      </w:r>
    </w:p>
    <w:p>
      <w:pPr>
        <w:spacing w:after="0" w:line="148" w:lineRule="exact"/>
        <w:rPr>
          <w:sz w:val="20"/>
          <w:szCs w:val="20"/>
          <w:color w:val="auto"/>
        </w:rPr>
      </w:pPr>
    </w:p>
    <w:p>
      <w:pPr>
        <w:ind w:right="140" w:firstLine="324"/>
        <w:spacing w:after="0" w:line="224" w:lineRule="auto"/>
        <w:rPr>
          <w:sz w:val="20"/>
          <w:szCs w:val="20"/>
          <w:color w:val="auto"/>
        </w:rPr>
      </w:pPr>
      <w:r>
        <w:rPr>
          <w:rFonts w:ascii="Arial" w:cs="Arial" w:eastAsia="Arial" w:hAnsi="Arial"/>
          <w:sz w:val="18"/>
          <w:szCs w:val="18"/>
          <w:color w:val="auto"/>
        </w:rPr>
        <w:t>We are subject to various legal proceedings and claims, including patent infringement claims, which have arisen during the ordinary course of business. In the opinion of management, the outcome of such matters is not expected to have a material effect on our financial position, results of operations, and cash flows.</w:t>
      </w:r>
    </w:p>
    <w:p>
      <w:pPr>
        <w:spacing w:after="0" w:line="123" w:lineRule="exact"/>
        <w:rPr>
          <w:sz w:val="20"/>
          <w:szCs w:val="20"/>
          <w:color w:val="auto"/>
        </w:rPr>
      </w:pPr>
    </w:p>
    <w:p>
      <w:pPr>
        <w:ind w:right="200" w:firstLine="324"/>
        <w:spacing w:after="0" w:line="224" w:lineRule="auto"/>
        <w:rPr>
          <w:sz w:val="20"/>
          <w:szCs w:val="20"/>
          <w:color w:val="auto"/>
        </w:rPr>
      </w:pPr>
      <w:r>
        <w:rPr>
          <w:rFonts w:ascii="Arial" w:cs="Arial" w:eastAsia="Arial" w:hAnsi="Arial"/>
          <w:sz w:val="18"/>
          <w:szCs w:val="18"/>
          <w:color w:val="auto"/>
        </w:rPr>
        <w:t>We are subject to audits by states on sales and income taxes, employment matters, and other assessments. Additional liabilities for these and other audits could be assessed, and such outcomes could have a material, negative impact on our financial position, results of operations, and cash flows.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6–Bank Borrowing</w:t>
      </w:r>
    </w:p>
    <w:p>
      <w:pPr>
        <w:spacing w:after="0" w:line="148" w:lineRule="exact"/>
        <w:rPr>
          <w:sz w:val="20"/>
          <w:szCs w:val="20"/>
          <w:color w:val="auto"/>
        </w:rPr>
      </w:pPr>
    </w:p>
    <w:p>
      <w:pPr>
        <w:ind w:right="79" w:firstLine="324"/>
        <w:spacing w:after="0" w:line="234" w:lineRule="auto"/>
        <w:rPr>
          <w:sz w:val="20"/>
          <w:szCs w:val="20"/>
          <w:color w:val="auto"/>
        </w:rPr>
      </w:pPr>
      <w:r>
        <w:rPr>
          <w:rFonts w:ascii="Arial" w:cs="Arial" w:eastAsia="Arial" w:hAnsi="Arial"/>
          <w:sz w:val="16"/>
          <w:szCs w:val="16"/>
          <w:color w:val="auto"/>
        </w:rPr>
        <w:t>We have a $50,000 credit facility collateralized by our accounts receivable that expires February 10, 2022. This facility can be increased, at our option, to $80,000 for approved acquisitions or other uses authorized by the lender on substantially the same terms. Amounts outstanding under this facility bear interest at the one-month London Interbank Offered Rate, or LIBOR, plus a spread based on our funded debt ratio, or in the absence of LIBOR, the prime rate (4.25% at September 30, 2017). The one-month LIBOR rate at September 30, 2017 was 1.23%. The credit facility includes various customary financial ratios and operating covenants, including minimum net worth and maximum funded debt ratio requirements, and default acceleration provisions. The credit facility does not include restrictions on future dividend payments. Funded debt ratio is the ratio of average outstanding advances under the credit facility to Adjusted EBITDA (Earnings Before Interest Expense, Taxes, Depreciation, Amortization, and Special Charges). The maximum allowable funded debt ratio under the agreement is 2.0 to 1.0. Decreases in our consolidated Adjusted EBITDA could limit our potential borrowings under the credit facility. We had no outstanding bank borrowings at September 30, 2017 or December 31, 2016, and accordingly, the entire $50,000 facility was available for borrowings under the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PC CONNECTION, INC. AND SUBSIDIARIES</w:t>
      </w:r>
    </w:p>
    <w:p>
      <w:pPr>
        <w:jc w:val="center"/>
        <w:spacing w:after="0" w:line="203" w:lineRule="auto"/>
        <w:rPr>
          <w:sz w:val="20"/>
          <w:szCs w:val="20"/>
          <w:color w:val="auto"/>
        </w:rPr>
      </w:pPr>
      <w:r>
        <w:rPr>
          <w:rFonts w:ascii="Arial" w:cs="Arial" w:eastAsia="Arial" w:hAnsi="Arial"/>
          <w:sz w:val="18"/>
          <w:szCs w:val="18"/>
          <w:b w:val="1"/>
          <w:bCs w:val="1"/>
          <w:color w:val="auto"/>
        </w:rPr>
        <w:t>PART I―FINANCIAL INFORMATION</w:t>
      </w:r>
    </w:p>
    <w:p>
      <w:pPr>
        <w:jc w:val="center"/>
        <w:spacing w:after="0" w:line="204" w:lineRule="auto"/>
        <w:rPr>
          <w:sz w:val="20"/>
          <w:szCs w:val="20"/>
          <w:color w:val="auto"/>
        </w:rPr>
      </w:pPr>
      <w:r>
        <w:rPr>
          <w:rFonts w:ascii="Arial" w:cs="Arial" w:eastAsia="Arial" w:hAnsi="Arial"/>
          <w:sz w:val="18"/>
          <w:szCs w:val="18"/>
          <w:b w:val="1"/>
          <w:bCs w:val="1"/>
          <w:color w:val="auto"/>
        </w:rPr>
        <w:t>Item 2 - MANAGEMENT'S DISCUSSION AND ANALYSIS OF FINANCIAL CONDITION</w:t>
      </w: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304" w:lineRule="exact"/>
        <w:rPr>
          <w:sz w:val="20"/>
          <w:szCs w:val="20"/>
          <w:color w:val="auto"/>
        </w:rPr>
      </w:pPr>
    </w:p>
    <w:p>
      <w:pPr>
        <w:ind w:right="20" w:firstLine="324"/>
        <w:spacing w:after="0" w:line="181" w:lineRule="exact"/>
        <w:rPr>
          <w:sz w:val="20"/>
          <w:szCs w:val="20"/>
          <w:color w:val="auto"/>
        </w:rPr>
      </w:pPr>
      <w:r>
        <w:rPr>
          <w:rFonts w:ascii="Arial" w:cs="Arial" w:eastAsia="Arial" w:hAnsi="Arial"/>
          <w:sz w:val="16"/>
          <w:szCs w:val="16"/>
          <w:i w:val="1"/>
          <w:iCs w:val="1"/>
          <w:color w:val="auto"/>
        </w:rPr>
        <w:t>Statements contained or incorporated by reference in this Quarterly Report on Form 10</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Q that are not based on historical fact are “forward-looking statements” within the meaning of the Private Securities Litigation Reform Act of 1995, Section 27A of the Securities Act of 1933, as amended, and Section 21E of the Exchange Act. These forward-looking statements regarding future events and our future results are based on current expectations, estimates, forecasts, and projections and the beliefs and assumptions of management including, without limitation, our expectations with regard to the industry’s rapid technological change and exposure to inventory obsolescence, availability and allocations of goods, reliance on vendor support and relationships, competitive risks, pricing risks, and the overall level of economic activity and the level of business investment in information technology products. Forward-looking statements may be identified by the use of forward-looking terminology such as “may,” “could,” “expect,” “believe,” “estimate,” “anticipate,” “continue,” “seek,” “plan,” “intend,” or similar terms, variations of such terms, or the negative of those terms.</w:t>
      </w:r>
    </w:p>
    <w:p>
      <w:pPr>
        <w:spacing w:after="0" w:line="122" w:lineRule="exact"/>
        <w:rPr>
          <w:sz w:val="20"/>
          <w:szCs w:val="20"/>
          <w:color w:val="auto"/>
        </w:rPr>
      </w:pPr>
    </w:p>
    <w:p>
      <w:pPr>
        <w:ind w:right="20" w:firstLine="324"/>
        <w:spacing w:after="0" w:line="234" w:lineRule="auto"/>
        <w:rPr>
          <w:sz w:val="20"/>
          <w:szCs w:val="20"/>
          <w:color w:val="auto"/>
        </w:rPr>
      </w:pPr>
      <w:r>
        <w:rPr>
          <w:rFonts w:ascii="Arial" w:cs="Arial" w:eastAsia="Arial" w:hAnsi="Arial"/>
          <w:sz w:val="16"/>
          <w:szCs w:val="16"/>
          <w:i w:val="1"/>
          <w:iCs w:val="1"/>
          <w:color w:val="auto"/>
        </w:rPr>
        <w:t>We cannot assure investors that our assumptions and expectations will prove to have been correct. Because forward-looking statements relate to the future, they are subject to inherent uncertainties, risks, and changes in circumstances that are difficult to predict. These statements involve known and unknown risks, uncertainties and other factors that may cause our actual results, performance, or achievements to be materially different from any future results, performance, or achievements expressed or implied by the forward-looking statements. We therefore caution you against undue reliance on any of these forward-looking statements. Important factors that could cause our actual results to differ materially from those indicated or implied by forward-looking statements include those discussed in Item 2. “Management’s Discussion and Analysis of Financial Condition and Results of Operations” of this Quarterly Report on Form 10-Q and in Item 1A. “Risk Factors” in our Annual Report on Form 10-K for the fiscal year ended December 31, 2016. Any forward-looking statement made by us in this Quarterly Report on Form 10-Q speaks only as of the date on which this Quarterly Report on Form 10-Q was first filed. We undertake no intention or obligation to update or revise any forward-looking statements, whether as a result of new information, future events, or otherwise, except as may be required by law.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ind w:right="40" w:firstLine="324"/>
        <w:spacing w:after="0" w:line="223" w:lineRule="auto"/>
        <w:rPr>
          <w:sz w:val="20"/>
          <w:szCs w:val="20"/>
          <w:color w:val="auto"/>
        </w:rPr>
      </w:pPr>
      <w:r>
        <w:rPr>
          <w:rFonts w:ascii="Arial" w:cs="Arial" w:eastAsia="Arial" w:hAnsi="Arial"/>
          <w:sz w:val="17"/>
          <w:szCs w:val="17"/>
          <w:color w:val="auto"/>
        </w:rPr>
        <w:t>We are a leading solutions provider of a wide range of information technology, or IT, solutions. We help our customers design, enable, manage, and service their IT environments. We provide IT products, including computer systems, software and peripheral equipment, networking communications, and other products and accessories that we purchase from manufacturers, distributors, and other suppliers. We also offer services involving design, configuration, and implementation of IT solutions. These services are performed by our personnel and by third-party service providers. We operate through three sales segments, which serve primarily: (a) small- to medium-sized businesses, or SMBs, through our PC Connection Sales subsidiary, (b) large enterprise customers, in our Large Account segment, through our MoreDirect subsidiary, and (c) federal, state, and local governmental and educational institutions, in our Public Sector segment, through our GovConnection subsidiary.</w:t>
      </w:r>
    </w:p>
    <w:p>
      <w:pPr>
        <w:spacing w:after="0" w:line="121" w:lineRule="exact"/>
        <w:rPr>
          <w:sz w:val="20"/>
          <w:szCs w:val="20"/>
          <w:color w:val="auto"/>
        </w:rPr>
      </w:pPr>
    </w:p>
    <w:p>
      <w:pPr>
        <w:ind w:firstLine="324"/>
        <w:spacing w:after="0" w:line="216" w:lineRule="auto"/>
        <w:rPr>
          <w:sz w:val="20"/>
          <w:szCs w:val="20"/>
          <w:color w:val="auto"/>
        </w:rPr>
      </w:pPr>
      <w:r>
        <w:rPr>
          <w:rFonts w:ascii="Arial" w:cs="Arial" w:eastAsia="Arial" w:hAnsi="Arial"/>
          <w:sz w:val="18"/>
          <w:szCs w:val="18"/>
          <w:color w:val="auto"/>
        </w:rPr>
        <w:t>We generate sales primarily through outbound telemarketing and field sales contacts by account managers focused on the business, education, and government markets, our websites, and inbound calls from customers responding to our catalogs and other advertising media. We seek to recruit, retain, and increase the productivity of our sales personnel through training, mentoring, financial incentives based on performance, and updating and streamlining our information systems to make our operations more efficient.</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As a value added reseller in the IT supply chain, we do not manufacture IT hardware or software. We are dependent on</w:t>
      </w:r>
    </w:p>
    <w:p>
      <w:pPr>
        <w:spacing w:after="0" w:line="224" w:lineRule="auto"/>
        <w:rPr>
          <w:sz w:val="20"/>
          <w:szCs w:val="20"/>
          <w:color w:val="auto"/>
        </w:rPr>
      </w:pPr>
      <w:r>
        <w:rPr>
          <w:rFonts w:ascii="Arial" w:cs="Arial" w:eastAsia="Arial" w:hAnsi="Arial"/>
          <w:sz w:val="17"/>
          <w:szCs w:val="17"/>
          <w:color w:val="auto"/>
        </w:rPr>
        <w:t>our suppliers—manufacturers and distributors that historically have sold only to resellers rather than directly to end</w:t>
      </w:r>
    </w:p>
    <w:p>
      <w:pPr>
        <w:spacing w:after="0" w:line="229" w:lineRule="auto"/>
        <w:rPr>
          <w:sz w:val="20"/>
          <w:szCs w:val="20"/>
          <w:color w:val="auto"/>
        </w:rPr>
      </w:pPr>
      <w:r>
        <w:rPr>
          <w:rFonts w:ascii="Arial" w:cs="Arial" w:eastAsia="Arial" w:hAnsi="Arial"/>
          <w:sz w:val="16"/>
          <w:szCs w:val="16"/>
          <w:color w:val="auto"/>
        </w:rPr>
        <w:t>users. However, certain manufacturers have on multiple occasions attempted to sell directly to our customers, and in some</w:t>
      </w:r>
    </w:p>
    <w:p>
      <w:pPr>
        <w:spacing w:after="0" w:line="216" w:lineRule="auto"/>
        <w:rPr>
          <w:sz w:val="20"/>
          <w:szCs w:val="20"/>
          <w:color w:val="auto"/>
        </w:rPr>
      </w:pPr>
      <w:r>
        <w:rPr>
          <w:rFonts w:ascii="Arial" w:cs="Arial" w:eastAsia="Arial" w:hAnsi="Arial"/>
          <w:sz w:val="17"/>
          <w:szCs w:val="17"/>
          <w:color w:val="auto"/>
        </w:rPr>
        <w:t>cases, have restricted our ability to sell their products directly to certain customers, thereby attempting to eliminate our</w:t>
      </w:r>
    </w:p>
    <w:p>
      <w:pPr>
        <w:spacing w:after="0" w:line="229" w:lineRule="auto"/>
        <w:rPr>
          <w:sz w:val="20"/>
          <w:szCs w:val="20"/>
          <w:color w:val="auto"/>
        </w:rPr>
      </w:pPr>
      <w:r>
        <w:rPr>
          <w:rFonts w:ascii="Arial" w:cs="Arial" w:eastAsia="Arial" w:hAnsi="Arial"/>
          <w:sz w:val="16"/>
          <w:szCs w:val="16"/>
          <w:color w:val="auto"/>
        </w:rPr>
        <w:t>role. We believe that the success of these direct sales efforts by suppliers will depend on their ability to meet our customers’</w:t>
      </w:r>
    </w:p>
    <w:p>
      <w:pPr>
        <w:spacing w:after="0" w:line="216" w:lineRule="auto"/>
        <w:rPr>
          <w:sz w:val="20"/>
          <w:szCs w:val="20"/>
          <w:color w:val="auto"/>
        </w:rPr>
      </w:pPr>
      <w:r>
        <w:rPr>
          <w:rFonts w:ascii="Arial" w:cs="Arial" w:eastAsia="Arial" w:hAnsi="Arial"/>
          <w:sz w:val="17"/>
          <w:szCs w:val="17"/>
          <w:color w:val="auto"/>
        </w:rPr>
        <w:t>ongoing demands and provide objective, unbiased solutions to meet their needs. We believe more of our customers are</w:t>
      </w:r>
    </w:p>
    <w:p>
      <w:pPr>
        <w:spacing w:after="0"/>
        <w:rPr>
          <w:sz w:val="20"/>
          <w:szCs w:val="20"/>
          <w:color w:val="auto"/>
        </w:rPr>
      </w:pPr>
      <w:r>
        <w:rPr>
          <w:rFonts w:ascii="Arial" w:cs="Arial" w:eastAsia="Arial" w:hAnsi="Arial"/>
          <w:sz w:val="18"/>
          <w:szCs w:val="18"/>
          <w:color w:val="auto"/>
        </w:rPr>
        <w:t>seeking comprehensive IT solutions, rather than simply the acquisition of specific IT products. Our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80"/>
        <w:spacing w:after="0" w:line="223" w:lineRule="auto"/>
        <w:rPr>
          <w:sz w:val="20"/>
          <w:szCs w:val="20"/>
          <w:color w:val="auto"/>
        </w:rPr>
      </w:pPr>
      <w:r>
        <w:rPr>
          <w:rFonts w:ascii="Arial" w:cs="Arial" w:eastAsia="Arial" w:hAnsi="Arial"/>
          <w:sz w:val="17"/>
          <w:szCs w:val="17"/>
          <w:color w:val="auto"/>
        </w:rPr>
        <w:t>advantage is our ability to be product-neutral and provide a broader combination of products, services, and advice tailored to customer needs. By providing customers with customized solutions from a variety of manufacturers, we believe we can mitigate the negative impact of continued direct sales initiatives from individual manufacturers. Through our Technology Solutions Group, we are able to provide customers complete IT solutions, from identifying their needs, to designing, developing, and managing the integration of products and services to implement their IT projects. Such service offerings carry higher margins than traditional product sales. Additionally, the technical certifications of our service engineers permit us to offer higher-end, more complex solutions that generally carry higher gross margins. We expect these service offerings and technical certifications to continue to play a role in sales generation and improve gross margins in this competitive environment.</w:t>
      </w:r>
    </w:p>
    <w:p>
      <w:pPr>
        <w:spacing w:after="0" w:line="121" w:lineRule="exact"/>
        <w:rPr>
          <w:sz w:val="20"/>
          <w:szCs w:val="20"/>
          <w:color w:val="auto"/>
        </w:rPr>
      </w:pPr>
    </w:p>
    <w:p>
      <w:pPr>
        <w:ind w:firstLine="324"/>
        <w:spacing w:after="0" w:line="249" w:lineRule="auto"/>
        <w:rPr>
          <w:sz w:val="20"/>
          <w:szCs w:val="20"/>
          <w:color w:val="auto"/>
        </w:rPr>
      </w:pPr>
      <w:r>
        <w:rPr>
          <w:rFonts w:ascii="Arial" w:cs="Arial" w:eastAsia="Arial" w:hAnsi="Arial"/>
          <w:sz w:val="16"/>
          <w:szCs w:val="16"/>
          <w:color w:val="auto"/>
        </w:rPr>
        <w:t>The primary challenges we continue to face in effectively managing our business are (1) increasing our revenues while at the same time improving our gross margin in all three segments, (2) recruiting, retaining, and improving the productivity of our sales personnel, and (3) effectively controlling our selling, general and administrative, or SG&amp;A, expenses while making major investments in our IT systems and solution selling personnel, especially in relation to changing revenue levels.</w:t>
      </w:r>
    </w:p>
    <w:p>
      <w:pPr>
        <w:spacing w:after="0" w:line="114" w:lineRule="exact"/>
        <w:rPr>
          <w:sz w:val="20"/>
          <w:szCs w:val="20"/>
          <w:color w:val="auto"/>
        </w:rPr>
      </w:pPr>
    </w:p>
    <w:p>
      <w:pPr>
        <w:ind w:right="60" w:firstLine="324"/>
        <w:spacing w:after="0" w:line="216" w:lineRule="auto"/>
        <w:rPr>
          <w:sz w:val="20"/>
          <w:szCs w:val="20"/>
          <w:color w:val="auto"/>
        </w:rPr>
      </w:pPr>
      <w:r>
        <w:rPr>
          <w:rFonts w:ascii="Arial" w:cs="Arial" w:eastAsia="Arial" w:hAnsi="Arial"/>
          <w:sz w:val="18"/>
          <w:szCs w:val="18"/>
          <w:color w:val="auto"/>
        </w:rPr>
        <w:t>To support future growth, we are expanding our IT solution business, which requires the addition of highly-skilled advanced solution engineers. Although we expect to realize the ultimate benefit of higher-margin advanced solution services and product revenues under this multi-year initiative, we believe that our cost of sales may increase significantly as we add such engineers. If our advanced solution revenues do not grow enough to offset the cost of these headcount additions, our operating results may decline.</w:t>
      </w:r>
    </w:p>
    <w:p>
      <w:pPr>
        <w:spacing w:after="0" w:line="122" w:lineRule="exact"/>
        <w:rPr>
          <w:sz w:val="20"/>
          <w:szCs w:val="20"/>
          <w:color w:val="auto"/>
        </w:rPr>
      </w:pPr>
    </w:p>
    <w:p>
      <w:pPr>
        <w:ind w:right="160" w:firstLine="324"/>
        <w:spacing w:after="0" w:line="216" w:lineRule="auto"/>
        <w:rPr>
          <w:sz w:val="20"/>
          <w:szCs w:val="20"/>
          <w:color w:val="auto"/>
        </w:rPr>
      </w:pPr>
      <w:r>
        <w:rPr>
          <w:rFonts w:ascii="Arial" w:cs="Arial" w:eastAsia="Arial" w:hAnsi="Arial"/>
          <w:sz w:val="18"/>
          <w:szCs w:val="18"/>
          <w:color w:val="auto"/>
        </w:rPr>
        <w:t>Market conditions and technology advances significantly affect the demand for our products and services. Virtual delivery of software products and advanced internet technology providing customers enhanced functionality have substantially increased customer expectations, requiring us to invest more heavily in our own IT development to meet these new demands. This investment includes significant planned expenditures to update our websites, as buying trends change and electronic commerce continues to grow.</w:t>
      </w:r>
    </w:p>
    <w:p>
      <w:pPr>
        <w:spacing w:after="0" w:line="122" w:lineRule="exact"/>
        <w:rPr>
          <w:sz w:val="20"/>
          <w:szCs w:val="20"/>
          <w:color w:val="auto"/>
        </w:rPr>
      </w:pPr>
    </w:p>
    <w:p>
      <w:pPr>
        <w:jc w:val="both"/>
        <w:ind w:right="160" w:firstLine="324"/>
        <w:spacing w:after="0" w:line="219" w:lineRule="auto"/>
        <w:rPr>
          <w:sz w:val="20"/>
          <w:szCs w:val="20"/>
          <w:color w:val="auto"/>
        </w:rPr>
      </w:pPr>
      <w:r>
        <w:rPr>
          <w:rFonts w:ascii="Arial" w:cs="Arial" w:eastAsia="Arial" w:hAnsi="Arial"/>
          <w:sz w:val="18"/>
          <w:szCs w:val="18"/>
          <w:color w:val="auto"/>
        </w:rPr>
        <w:t>Our investments in IT infrastructure are designed to enable us to operate more efficiently and to provide our customers enhanced functionality. In October 2017, we began a multi-year initiative to upgrade our IT infrastructure, and accordingly we expect to increase our related capital investments over the next two to three years. This will also likely increase SG&amp;A expenses as assets are placed into service and depreciated.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ind w:right="120" w:firstLine="324"/>
        <w:spacing w:after="0" w:line="235" w:lineRule="auto"/>
        <w:rPr>
          <w:sz w:val="20"/>
          <w:szCs w:val="20"/>
          <w:color w:val="auto"/>
        </w:rPr>
      </w:pPr>
      <w:r>
        <w:rPr>
          <w:rFonts w:ascii="Arial" w:cs="Arial" w:eastAsia="Arial" w:hAnsi="Arial"/>
          <w:sz w:val="18"/>
          <w:szCs w:val="18"/>
          <w:color w:val="auto"/>
        </w:rPr>
        <w:t>The following table sets forth information derived from our statements of income expressed as a percentage of net sales for the periods indicated: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0" w:type="dxa"/>
            <w:vAlign w:val="bottom"/>
            <w:gridSpan w:val="5"/>
          </w:tcPr>
          <w:p>
            <w:pPr>
              <w:jc w:val="right"/>
              <w:ind w:right="25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4"/>
                <w:szCs w:val="14"/>
                <w:color w:val="auto"/>
              </w:rPr>
            </w:pPr>
          </w:p>
        </w:tc>
        <w:tc>
          <w:tcPr>
            <w:tcW w:w="1980" w:type="dxa"/>
            <w:vAlign w:val="bottom"/>
            <w:gridSpan w:val="5"/>
          </w:tcPr>
          <w:p>
            <w:pPr>
              <w:jc w:val="right"/>
              <w:ind w:right="450"/>
              <w:spacing w:after="0"/>
              <w:rPr>
                <w:sz w:val="20"/>
                <w:szCs w:val="20"/>
                <w:color w:val="auto"/>
              </w:rPr>
            </w:pPr>
            <w:r>
              <w:rPr>
                <w:rFonts w:ascii="Arial" w:cs="Arial" w:eastAsia="Arial" w:hAnsi="Arial"/>
                <w:sz w:val="14"/>
                <w:szCs w:val="14"/>
                <w:b w:val="1"/>
                <w:bCs w:val="1"/>
                <w:color w:val="auto"/>
              </w:rPr>
              <w:t>Nine Months Ended</w:t>
            </w:r>
          </w:p>
        </w:tc>
      </w:tr>
      <w:tr>
        <w:trPr>
          <w:trHeight w:val="129"/>
        </w:trPr>
        <w:tc>
          <w:tcPr>
            <w:tcW w:w="4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80" w:type="dxa"/>
            <w:vAlign w:val="bottom"/>
            <w:tcBorders>
              <w:top w:val="single" w:sz="8" w:color="auto"/>
            </w:tcBorders>
          </w:tcPr>
          <w:p>
            <w:pPr>
              <w:jc w:val="right"/>
              <w:ind w:right="119"/>
              <w:spacing w:after="0" w:line="129"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tcPr>
          <w:p>
            <w:pPr>
              <w:jc w:val="right"/>
              <w:ind w:right="110"/>
              <w:spacing w:after="0" w:line="129"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Borders>
              <w:top w:val="single" w:sz="8" w:color="auto"/>
            </w:tcBorders>
          </w:tcPr>
          <w:p>
            <w:pPr>
              <w:jc w:val="right"/>
              <w:ind w:right="119"/>
              <w:spacing w:after="0" w:line="129"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tcPr>
          <w:p>
            <w:pPr>
              <w:jc w:val="right"/>
              <w:ind w:right="110"/>
              <w:spacing w:after="0" w:line="129" w:lineRule="exact"/>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1"/>
                <w:szCs w:val="11"/>
                <w:color w:val="auto"/>
              </w:rPr>
            </w:pPr>
          </w:p>
        </w:tc>
      </w:tr>
      <w:tr>
        <w:trPr>
          <w:trHeight w:val="189"/>
        </w:trPr>
        <w:tc>
          <w:tcPr>
            <w:tcW w:w="422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Net sales (in millions)</w:t>
            </w:r>
          </w:p>
        </w:tc>
        <w:tc>
          <w:tcPr>
            <w:tcW w:w="1020" w:type="dxa"/>
            <w:vAlign w:val="bottom"/>
            <w:tcBorders>
              <w:top w:val="single" w:sz="8" w:color="CCEEFF"/>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2"/>
              </w:rPr>
              <w:t>$  729.2</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2"/>
              </w:rPr>
              <w:t>$  708.5</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2,149.6</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1,957.0</w:t>
            </w: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63"/>
        </w:trPr>
        <w:tc>
          <w:tcPr>
            <w:tcW w:w="4220" w:type="dxa"/>
            <w:vAlign w:val="bottom"/>
          </w:tcPr>
          <w:p>
            <w:pPr>
              <w:spacing w:after="0" w:line="163" w:lineRule="exact"/>
              <w:rPr>
                <w:sz w:val="20"/>
                <w:szCs w:val="20"/>
                <w:color w:val="auto"/>
              </w:rPr>
            </w:pPr>
            <w:r>
              <w:rPr>
                <w:rFonts w:ascii="Arial" w:cs="Arial" w:eastAsia="Arial" w:hAnsi="Arial"/>
                <w:sz w:val="18"/>
                <w:szCs w:val="18"/>
                <w:color w:val="auto"/>
              </w:rPr>
              <w:t>Gross margin</w:t>
            </w:r>
          </w:p>
        </w:tc>
        <w:tc>
          <w:tcPr>
            <w:tcW w:w="1020" w:type="dxa"/>
            <w:vAlign w:val="bottom"/>
          </w:tcPr>
          <w:p>
            <w:pPr>
              <w:spacing w:after="0"/>
              <w:rPr>
                <w:sz w:val="14"/>
                <w:szCs w:val="14"/>
                <w:color w:val="auto"/>
              </w:rPr>
            </w:pPr>
          </w:p>
        </w:tc>
        <w:tc>
          <w:tcPr>
            <w:tcW w:w="680" w:type="dxa"/>
            <w:vAlign w:val="bottom"/>
          </w:tcPr>
          <w:p>
            <w:pPr>
              <w:jc w:val="right"/>
              <w:spacing w:after="0" w:line="163" w:lineRule="exact"/>
              <w:rPr>
                <w:sz w:val="20"/>
                <w:szCs w:val="20"/>
                <w:color w:val="auto"/>
              </w:rPr>
            </w:pPr>
            <w:r>
              <w:rPr>
                <w:rFonts w:ascii="Arial" w:cs="Arial" w:eastAsia="Arial" w:hAnsi="Arial"/>
                <w:sz w:val="18"/>
                <w:szCs w:val="18"/>
                <w:color w:val="auto"/>
              </w:rPr>
              <w:t>13.2</w:t>
            </w:r>
          </w:p>
        </w:tc>
        <w:tc>
          <w:tcPr>
            <w:tcW w:w="200" w:type="dxa"/>
            <w:vAlign w:val="bottom"/>
          </w:tcPr>
          <w:p>
            <w:pPr>
              <w:jc w:val="right"/>
              <w:spacing w:after="0" w:line="163" w:lineRule="exact"/>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14"/>
                <w:szCs w:val="14"/>
                <w:color w:val="auto"/>
              </w:rPr>
            </w:pPr>
          </w:p>
        </w:tc>
        <w:tc>
          <w:tcPr>
            <w:tcW w:w="680" w:type="dxa"/>
            <w:vAlign w:val="bottom"/>
          </w:tcPr>
          <w:p>
            <w:pPr>
              <w:jc w:val="right"/>
              <w:spacing w:after="0" w:line="163" w:lineRule="exact"/>
              <w:rPr>
                <w:sz w:val="20"/>
                <w:szCs w:val="20"/>
                <w:color w:val="auto"/>
              </w:rPr>
            </w:pPr>
            <w:r>
              <w:rPr>
                <w:rFonts w:ascii="Arial" w:cs="Arial" w:eastAsia="Arial" w:hAnsi="Arial"/>
                <w:sz w:val="18"/>
                <w:szCs w:val="18"/>
                <w:color w:val="auto"/>
              </w:rPr>
              <w:t>13.7</w:t>
            </w:r>
          </w:p>
        </w:tc>
        <w:tc>
          <w:tcPr>
            <w:tcW w:w="200" w:type="dxa"/>
            <w:vAlign w:val="bottom"/>
          </w:tcPr>
          <w:p>
            <w:pPr>
              <w:jc w:val="right"/>
              <w:spacing w:after="0" w:line="163" w:lineRule="exact"/>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14"/>
                <w:szCs w:val="14"/>
                <w:color w:val="auto"/>
              </w:rPr>
            </w:pPr>
          </w:p>
        </w:tc>
        <w:tc>
          <w:tcPr>
            <w:tcW w:w="700" w:type="dxa"/>
            <w:vAlign w:val="bottom"/>
          </w:tcPr>
          <w:p>
            <w:pPr>
              <w:jc w:val="right"/>
              <w:spacing w:after="0" w:line="163" w:lineRule="exact"/>
              <w:rPr>
                <w:sz w:val="20"/>
                <w:szCs w:val="20"/>
                <w:color w:val="auto"/>
              </w:rPr>
            </w:pPr>
            <w:r>
              <w:rPr>
                <w:rFonts w:ascii="Arial" w:cs="Arial" w:eastAsia="Arial" w:hAnsi="Arial"/>
                <w:sz w:val="18"/>
                <w:szCs w:val="18"/>
                <w:color w:val="auto"/>
              </w:rPr>
              <w:t>13.1</w:t>
            </w:r>
          </w:p>
        </w:tc>
        <w:tc>
          <w:tcPr>
            <w:tcW w:w="200" w:type="dxa"/>
            <w:vAlign w:val="bottom"/>
          </w:tcPr>
          <w:p>
            <w:pPr>
              <w:jc w:val="right"/>
              <w:spacing w:after="0" w:line="163" w:lineRule="exact"/>
              <w:rPr>
                <w:sz w:val="20"/>
                <w:szCs w:val="20"/>
                <w:color w:val="auto"/>
              </w:rPr>
            </w:pPr>
            <w:r>
              <w:rPr>
                <w:rFonts w:ascii="Arial" w:cs="Arial" w:eastAsia="Arial" w:hAnsi="Arial"/>
                <w:sz w:val="18"/>
                <w:szCs w:val="18"/>
                <w:color w:val="auto"/>
                <w:w w:val="87"/>
              </w:rPr>
              <w:t>%</w:t>
            </w:r>
          </w:p>
        </w:tc>
        <w:tc>
          <w:tcPr>
            <w:tcW w:w="40" w:type="dxa"/>
            <w:vAlign w:val="bottom"/>
          </w:tcPr>
          <w:p>
            <w:pPr>
              <w:spacing w:after="0"/>
              <w:rPr>
                <w:sz w:val="14"/>
                <w:szCs w:val="14"/>
                <w:color w:val="auto"/>
              </w:rPr>
            </w:pPr>
          </w:p>
        </w:tc>
        <w:tc>
          <w:tcPr>
            <w:tcW w:w="700" w:type="dxa"/>
            <w:vAlign w:val="bottom"/>
          </w:tcPr>
          <w:p>
            <w:pPr>
              <w:jc w:val="right"/>
              <w:spacing w:after="0" w:line="163" w:lineRule="exact"/>
              <w:rPr>
                <w:sz w:val="20"/>
                <w:szCs w:val="20"/>
                <w:color w:val="auto"/>
              </w:rPr>
            </w:pPr>
            <w:r>
              <w:rPr>
                <w:rFonts w:ascii="Arial" w:cs="Arial" w:eastAsia="Arial" w:hAnsi="Arial"/>
                <w:sz w:val="18"/>
                <w:szCs w:val="18"/>
                <w:color w:val="auto"/>
              </w:rPr>
              <w:t>14.0</w:t>
            </w:r>
          </w:p>
        </w:tc>
        <w:tc>
          <w:tcPr>
            <w:tcW w:w="340" w:type="dxa"/>
            <w:vAlign w:val="bottom"/>
          </w:tcPr>
          <w:p>
            <w:pPr>
              <w:jc w:val="right"/>
              <w:ind w:right="90"/>
              <w:spacing w:after="0" w:line="163" w:lineRule="exact"/>
              <w:rPr>
                <w:sz w:val="20"/>
                <w:szCs w:val="20"/>
                <w:color w:val="auto"/>
              </w:rPr>
            </w:pPr>
            <w:r>
              <w:rPr>
                <w:rFonts w:ascii="Arial" w:cs="Arial" w:eastAsia="Arial" w:hAnsi="Arial"/>
                <w:sz w:val="18"/>
                <w:szCs w:val="18"/>
                <w:color w:val="auto"/>
                <w:w w:val="87"/>
              </w:rPr>
              <w:t>%</w:t>
            </w:r>
          </w:p>
        </w:tc>
      </w:tr>
      <w:tr>
        <w:trPr>
          <w:trHeight w:val="176"/>
        </w:trPr>
        <w:tc>
          <w:tcPr>
            <w:tcW w:w="42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Selling, general and administrative expenses</w:t>
            </w:r>
          </w:p>
        </w:tc>
        <w:tc>
          <w:tcPr>
            <w:tcW w:w="190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10.2 %</w:t>
            </w:r>
          </w:p>
        </w:tc>
        <w:tc>
          <w:tcPr>
            <w:tcW w:w="92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10.5 %</w:t>
            </w:r>
          </w:p>
        </w:tc>
        <w:tc>
          <w:tcPr>
            <w:tcW w:w="94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10.5 %</w:t>
            </w:r>
          </w:p>
        </w:tc>
        <w:tc>
          <w:tcPr>
            <w:tcW w:w="1080" w:type="dxa"/>
            <w:vAlign w:val="bottom"/>
            <w:gridSpan w:val="3"/>
            <w:shd w:val="clear" w:color="auto" w:fill="CCEEFF"/>
          </w:tcPr>
          <w:p>
            <w:pPr>
              <w:jc w:val="right"/>
              <w:ind w:right="90"/>
              <w:spacing w:after="0" w:line="176" w:lineRule="exact"/>
              <w:rPr>
                <w:sz w:val="20"/>
                <w:szCs w:val="20"/>
                <w:color w:val="auto"/>
              </w:rPr>
            </w:pPr>
            <w:r>
              <w:rPr>
                <w:rFonts w:ascii="Arial" w:cs="Arial" w:eastAsia="Arial" w:hAnsi="Arial"/>
                <w:sz w:val="18"/>
                <w:szCs w:val="18"/>
                <w:color w:val="auto"/>
              </w:rPr>
              <w:t>11.0 %</w:t>
            </w: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3.0 %</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3.2 %</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2.6 %</w:t>
            </w:r>
          </w:p>
        </w:tc>
        <w:tc>
          <w:tcPr>
            <w:tcW w:w="1080" w:type="dxa"/>
            <w:vAlign w:val="bottom"/>
            <w:gridSpan w:val="3"/>
          </w:tcPr>
          <w:p>
            <w:pPr>
              <w:jc w:val="right"/>
              <w:ind w:right="90"/>
              <w:spacing w:after="0"/>
              <w:rPr>
                <w:sz w:val="20"/>
                <w:szCs w:val="20"/>
                <w:color w:val="auto"/>
              </w:rPr>
            </w:pPr>
            <w:r>
              <w:rPr>
                <w:rFonts w:ascii="Arial" w:cs="Arial" w:eastAsia="Arial" w:hAnsi="Arial"/>
                <w:sz w:val="18"/>
                <w:szCs w:val="18"/>
                <w:color w:val="auto"/>
              </w:rPr>
              <w:t>3.0 %</w:t>
            </w:r>
          </w:p>
        </w:tc>
      </w:tr>
    </w:tbl>
    <w:p>
      <w:pPr>
        <w:spacing w:after="0" w:line="93" w:lineRule="exact"/>
        <w:rPr>
          <w:sz w:val="20"/>
          <w:szCs w:val="20"/>
          <w:color w:val="auto"/>
        </w:rPr>
      </w:pPr>
    </w:p>
    <w:p>
      <w:pPr>
        <w:ind w:firstLine="324"/>
        <w:spacing w:after="0" w:line="236" w:lineRule="auto"/>
        <w:rPr>
          <w:sz w:val="20"/>
          <w:szCs w:val="20"/>
          <w:color w:val="auto"/>
        </w:rPr>
      </w:pPr>
      <w:r>
        <w:rPr>
          <w:rFonts w:ascii="Arial" w:cs="Arial" w:eastAsia="Arial" w:hAnsi="Arial"/>
          <w:sz w:val="16"/>
          <w:szCs w:val="16"/>
          <w:color w:val="auto"/>
        </w:rPr>
        <w:t>Net sales in the third quarter of 2017 increased year over year by $20.7 million, or 2.9%, compared to the third quarter of 2016, due to increased revenues in the Large Account and SMB sales segments. Net sales of software and desktops grew year over year by 14% and 8%, respectively. SG&amp;A expenses decreased year over year in dollars and as a percentage of net sales. The decrease as a percentage of net sales was primarily due to higher net sales in the third quarter of 2017, compared to the prior year quarter. Gross margin decreased due to a competitive demand environment and changes in vendor funding programs. The decrease in SG&amp;A expenses in dollars was primarily due to lower personnel costs due to lower gross profit and cost reductions implemented in the second quarter of 2017. Operating income in the third quarter of 2017 decreased year over year in dollars and as a percentage of net sales compared to the prior year period due to lower gross profit. Gross profit was adversely affected by lower invoice selling margins and lower vendor funding which reduces our cost of sales.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 Distribution</w:t>
      </w:r>
    </w:p>
    <w:p>
      <w:pPr>
        <w:spacing w:after="0" w:line="1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our percentage of net sales by segment and product mix:</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740" w:type="dxa"/>
            <w:vAlign w:val="bottom"/>
            <w:gridSpan w:val="4"/>
          </w:tcPr>
          <w:p>
            <w:pPr>
              <w:jc w:val="right"/>
              <w:ind w:right="270"/>
              <w:spacing w:after="0"/>
              <w:rPr>
                <w:sz w:val="20"/>
                <w:szCs w:val="20"/>
                <w:color w:val="auto"/>
              </w:rPr>
            </w:pPr>
            <w:r>
              <w:rPr>
                <w:rFonts w:ascii="Arial" w:cs="Arial" w:eastAsia="Arial" w:hAnsi="Arial"/>
                <w:sz w:val="14"/>
                <w:szCs w:val="14"/>
                <w:b w:val="1"/>
                <w:bCs w:val="1"/>
                <w:color w:val="auto"/>
                <w:w w:val="98"/>
              </w:rPr>
              <w:t>Three Months Ended</w:t>
            </w:r>
          </w:p>
        </w:tc>
        <w:tc>
          <w:tcPr>
            <w:tcW w:w="1560" w:type="dxa"/>
            <w:vAlign w:val="bottom"/>
            <w:gridSpan w:val="4"/>
          </w:tcPr>
          <w:p>
            <w:pPr>
              <w:jc w:val="right"/>
              <w:ind w:right="23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6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4680" w:type="dxa"/>
            <w:vAlign w:val="bottom"/>
            <w:tcBorders>
              <w:bottom w:val="single" w:sz="8" w:color="CCEEFF"/>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73"/>
              <w:spacing w:after="0" w:line="129"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CCEEFF"/>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72"/>
              <w:spacing w:after="0" w:line="129"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CEEFF"/>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13"/>
              <w:spacing w:after="0" w:line="129"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32"/>
              <w:spacing w:after="0" w:line="129"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2"/>
              </w:rPr>
              <w:t>Sales Segment</w:t>
            </w:r>
          </w:p>
        </w:tc>
        <w:tc>
          <w:tcPr>
            <w:tcW w:w="46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760" w:type="dxa"/>
            <w:vAlign w:val="bottom"/>
            <w:gridSpan w:val="3"/>
          </w:tcPr>
          <w:p>
            <w:pPr>
              <w:ind w:left="200"/>
              <w:spacing w:after="0" w:line="170" w:lineRule="exact"/>
              <w:rPr>
                <w:sz w:val="20"/>
                <w:szCs w:val="20"/>
                <w:color w:val="auto"/>
              </w:rPr>
            </w:pPr>
            <w:r>
              <w:rPr>
                <w:rFonts w:ascii="Arial" w:cs="Arial" w:eastAsia="Arial" w:hAnsi="Arial"/>
                <w:sz w:val="18"/>
                <w:szCs w:val="18"/>
                <w:color w:val="auto"/>
              </w:rPr>
              <w:t>SMB</w:t>
            </w:r>
          </w:p>
        </w:tc>
        <w:tc>
          <w:tcPr>
            <w:tcW w:w="840" w:type="dxa"/>
            <w:vAlign w:val="bottom"/>
            <w:gridSpan w:val="2"/>
          </w:tcPr>
          <w:p>
            <w:pPr>
              <w:jc w:val="right"/>
              <w:ind w:right="10"/>
              <w:spacing w:after="0" w:line="170" w:lineRule="exact"/>
              <w:rPr>
                <w:sz w:val="20"/>
                <w:szCs w:val="20"/>
                <w:color w:val="auto"/>
              </w:rPr>
            </w:pPr>
            <w:r>
              <w:rPr>
                <w:rFonts w:ascii="Arial" w:cs="Arial" w:eastAsia="Arial" w:hAnsi="Arial"/>
                <w:sz w:val="18"/>
                <w:szCs w:val="18"/>
                <w:color w:val="auto"/>
              </w:rPr>
              <w:t>40 %</w:t>
            </w:r>
          </w:p>
        </w:tc>
        <w:tc>
          <w:tcPr>
            <w:tcW w:w="900" w:type="dxa"/>
            <w:vAlign w:val="bottom"/>
            <w:gridSpan w:val="2"/>
          </w:tcPr>
          <w:p>
            <w:pPr>
              <w:jc w:val="right"/>
              <w:ind w:right="70"/>
              <w:spacing w:after="0" w:line="170" w:lineRule="exact"/>
              <w:rPr>
                <w:sz w:val="20"/>
                <w:szCs w:val="20"/>
                <w:color w:val="auto"/>
              </w:rPr>
            </w:pPr>
            <w:r>
              <w:rPr>
                <w:rFonts w:ascii="Arial" w:cs="Arial" w:eastAsia="Arial" w:hAnsi="Arial"/>
                <w:sz w:val="18"/>
                <w:szCs w:val="18"/>
                <w:color w:val="auto"/>
              </w:rPr>
              <w:t>40 %</w:t>
            </w:r>
          </w:p>
        </w:tc>
        <w:tc>
          <w:tcPr>
            <w:tcW w:w="740" w:type="dxa"/>
            <w:vAlign w:val="bottom"/>
            <w:gridSpan w:val="2"/>
          </w:tcPr>
          <w:p>
            <w:pPr>
              <w:jc w:val="right"/>
              <w:spacing w:after="0" w:line="170" w:lineRule="exact"/>
              <w:rPr>
                <w:sz w:val="20"/>
                <w:szCs w:val="20"/>
                <w:color w:val="auto"/>
              </w:rPr>
            </w:pPr>
            <w:r>
              <w:rPr>
                <w:rFonts w:ascii="Arial" w:cs="Arial" w:eastAsia="Arial" w:hAnsi="Arial"/>
                <w:sz w:val="18"/>
                <w:szCs w:val="18"/>
                <w:color w:val="auto"/>
              </w:rPr>
              <w:t>40 %</w:t>
            </w:r>
          </w:p>
        </w:tc>
        <w:tc>
          <w:tcPr>
            <w:tcW w:w="820" w:type="dxa"/>
            <w:vAlign w:val="bottom"/>
            <w:gridSpan w:val="2"/>
          </w:tcPr>
          <w:p>
            <w:pPr>
              <w:jc w:val="right"/>
              <w:ind w:right="50"/>
              <w:spacing w:after="0" w:line="170" w:lineRule="exact"/>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760" w:type="dxa"/>
            <w:vAlign w:val="bottom"/>
            <w:gridSpan w:val="3"/>
            <w:shd w:val="clear" w:color="auto" w:fill="CCEEFF"/>
          </w:tcPr>
          <w:p>
            <w:pPr>
              <w:ind w:left="200"/>
              <w:spacing w:after="0" w:line="176" w:lineRule="exact"/>
              <w:rPr>
                <w:sz w:val="20"/>
                <w:szCs w:val="20"/>
                <w:color w:val="auto"/>
              </w:rPr>
            </w:pPr>
            <w:r>
              <w:rPr>
                <w:rFonts w:ascii="Arial" w:cs="Arial" w:eastAsia="Arial" w:hAnsi="Arial"/>
                <w:sz w:val="18"/>
                <w:szCs w:val="18"/>
                <w:color w:val="auto"/>
              </w:rPr>
              <w:t>Large Account</w:t>
            </w:r>
          </w:p>
        </w:tc>
        <w:tc>
          <w:tcPr>
            <w:tcW w:w="6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37</w:t>
            </w: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36</w:t>
            </w:r>
          </w:p>
        </w:tc>
        <w:tc>
          <w:tcPr>
            <w:tcW w:w="3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38</w:t>
            </w: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37</w:t>
            </w:r>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760" w:type="dxa"/>
            <w:vAlign w:val="bottom"/>
            <w:tcBorders>
              <w:bottom w:val="single" w:sz="8" w:color="CCEEFF"/>
            </w:tcBorders>
            <w:gridSpan w:val="3"/>
          </w:tcPr>
          <w:p>
            <w:pPr>
              <w:ind w:left="200"/>
              <w:spacing w:after="0" w:line="176" w:lineRule="exact"/>
              <w:rPr>
                <w:sz w:val="20"/>
                <w:szCs w:val="20"/>
                <w:color w:val="auto"/>
              </w:rPr>
            </w:pPr>
            <w:r>
              <w:rPr>
                <w:rFonts w:ascii="Arial" w:cs="Arial" w:eastAsia="Arial" w:hAnsi="Arial"/>
                <w:sz w:val="18"/>
                <w:szCs w:val="18"/>
                <w:color w:val="auto"/>
              </w:rPr>
              <w:t>Public Sector</w:t>
            </w:r>
          </w:p>
        </w:tc>
        <w:tc>
          <w:tcPr>
            <w:tcW w:w="6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23</w:t>
            </w:r>
          </w:p>
        </w:tc>
        <w:tc>
          <w:tcPr>
            <w:tcW w:w="24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24</w:t>
            </w:r>
          </w:p>
        </w:tc>
        <w:tc>
          <w:tcPr>
            <w:tcW w:w="3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22</w:t>
            </w:r>
          </w:p>
        </w:tc>
        <w:tc>
          <w:tcPr>
            <w:tcW w:w="24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21</w:t>
            </w:r>
          </w:p>
        </w:tc>
        <w:tc>
          <w:tcPr>
            <w:tcW w:w="3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760" w:type="dxa"/>
            <w:vAlign w:val="bottom"/>
            <w:tcBorders>
              <w:bottom w:val="single" w:sz="8" w:color="CCEEFF"/>
            </w:tcBorders>
            <w:gridSpan w:val="3"/>
            <w:shd w:val="clear" w:color="auto" w:fill="CCEEFF"/>
          </w:tcPr>
          <w:p>
            <w:pPr>
              <w:ind w:left="420"/>
              <w:spacing w:after="0" w:line="170" w:lineRule="exact"/>
              <w:rPr>
                <w:sz w:val="20"/>
                <w:szCs w:val="20"/>
                <w:color w:val="auto"/>
              </w:rPr>
            </w:pPr>
            <w:r>
              <w:rPr>
                <w:rFonts w:ascii="Arial" w:cs="Arial" w:eastAsia="Arial" w:hAnsi="Arial"/>
                <w:sz w:val="18"/>
                <w:szCs w:val="18"/>
                <w:color w:val="auto"/>
              </w:rPr>
              <w:t>Total</w:t>
            </w:r>
          </w:p>
        </w:tc>
        <w:tc>
          <w:tcPr>
            <w:tcW w:w="6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100</w:t>
            </w:r>
          </w:p>
        </w:tc>
        <w:tc>
          <w:tcPr>
            <w:tcW w:w="240" w:type="dxa"/>
            <w:vAlign w:val="bottom"/>
            <w:tcBorders>
              <w:bottom w:val="single" w:sz="8" w:color="CCEEFF"/>
            </w:tcBorders>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74"/>
              </w:rPr>
              <w:t>%</w:t>
            </w:r>
          </w:p>
        </w:tc>
        <w:tc>
          <w:tcPr>
            <w:tcW w:w="6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100</w:t>
            </w:r>
          </w:p>
        </w:tc>
        <w:tc>
          <w:tcPr>
            <w:tcW w:w="300" w:type="dxa"/>
            <w:vAlign w:val="bottom"/>
            <w:tcBorders>
              <w:bottom w:val="single" w:sz="8" w:color="CCEEFF"/>
            </w:tcBorders>
            <w:shd w:val="clear" w:color="auto" w:fill="CCEEFF"/>
          </w:tcPr>
          <w:p>
            <w:pPr>
              <w:jc w:val="right"/>
              <w:ind w:right="70"/>
              <w:spacing w:after="0" w:line="170" w:lineRule="exact"/>
              <w:rPr>
                <w:sz w:val="20"/>
                <w:szCs w:val="20"/>
                <w:color w:val="auto"/>
              </w:rPr>
            </w:pPr>
            <w:r>
              <w:rPr>
                <w:rFonts w:ascii="Arial" w:cs="Arial" w:eastAsia="Arial" w:hAnsi="Arial"/>
                <w:sz w:val="18"/>
                <w:szCs w:val="18"/>
                <w:color w:val="auto"/>
                <w:w w:val="74"/>
              </w:rPr>
              <w:t>%</w:t>
            </w:r>
          </w:p>
        </w:tc>
        <w:tc>
          <w:tcPr>
            <w:tcW w:w="5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100</w:t>
            </w:r>
          </w:p>
        </w:tc>
        <w:tc>
          <w:tcPr>
            <w:tcW w:w="240" w:type="dxa"/>
            <w:vAlign w:val="bottom"/>
            <w:tcBorders>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87"/>
              </w:rPr>
              <w:t>%</w:t>
            </w:r>
          </w:p>
        </w:tc>
        <w:tc>
          <w:tcPr>
            <w:tcW w:w="5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100</w:t>
            </w:r>
          </w:p>
        </w:tc>
        <w:tc>
          <w:tcPr>
            <w:tcW w:w="300" w:type="dxa"/>
            <w:vAlign w:val="bottom"/>
            <w:tcBorders>
              <w:bottom w:val="single" w:sz="8" w:color="CCEEFF"/>
            </w:tcBorders>
            <w:shd w:val="clear" w:color="auto" w:fill="CCEEFF"/>
          </w:tcPr>
          <w:p>
            <w:pPr>
              <w:jc w:val="right"/>
              <w:ind w:right="50"/>
              <w:spacing w:after="0" w:line="170"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shd w:val="clear" w:color="auto" w:fill="CCEEFF"/>
          </w:tcPr>
          <w:p>
            <w:pPr>
              <w:spacing w:after="0" w:line="162" w:lineRule="exact"/>
              <w:rPr>
                <w:sz w:val="20"/>
                <w:szCs w:val="20"/>
                <w:color w:val="auto"/>
              </w:rPr>
            </w:pPr>
            <w:r>
              <w:rPr>
                <w:rFonts w:ascii="Arial" w:cs="Arial" w:eastAsia="Arial" w:hAnsi="Arial"/>
                <w:sz w:val="18"/>
                <w:szCs w:val="18"/>
                <w:b w:val="1"/>
                <w:bCs w:val="1"/>
                <w:color w:val="auto"/>
                <w:w w:val="91"/>
              </w:rPr>
              <w:t>Product Mix</w:t>
            </w:r>
          </w:p>
        </w:tc>
        <w:tc>
          <w:tcPr>
            <w:tcW w:w="4800" w:type="dxa"/>
            <w:vAlign w:val="bottom"/>
            <w:tcBorders>
              <w:bottom w:val="single" w:sz="8" w:color="CCEEFF"/>
            </w:tcBorders>
            <w:gridSpan w:val="2"/>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760" w:type="dxa"/>
            <w:vAlign w:val="bottom"/>
            <w:gridSpan w:val="3"/>
          </w:tcPr>
          <w:p>
            <w:pPr>
              <w:ind w:left="200"/>
              <w:spacing w:after="0" w:line="170" w:lineRule="exact"/>
              <w:rPr>
                <w:sz w:val="20"/>
                <w:szCs w:val="20"/>
                <w:color w:val="auto"/>
              </w:rPr>
            </w:pPr>
            <w:r>
              <w:rPr>
                <w:rFonts w:ascii="Arial" w:cs="Arial" w:eastAsia="Arial" w:hAnsi="Arial"/>
                <w:sz w:val="18"/>
                <w:szCs w:val="18"/>
                <w:color w:val="auto"/>
              </w:rPr>
              <w:t>Software</w:t>
            </w:r>
          </w:p>
        </w:tc>
        <w:tc>
          <w:tcPr>
            <w:tcW w:w="840" w:type="dxa"/>
            <w:vAlign w:val="bottom"/>
            <w:gridSpan w:val="2"/>
          </w:tcPr>
          <w:p>
            <w:pPr>
              <w:jc w:val="right"/>
              <w:ind w:right="10"/>
              <w:spacing w:after="0" w:line="170" w:lineRule="exact"/>
              <w:rPr>
                <w:sz w:val="20"/>
                <w:szCs w:val="20"/>
                <w:color w:val="auto"/>
              </w:rPr>
            </w:pPr>
            <w:r>
              <w:rPr>
                <w:rFonts w:ascii="Arial" w:cs="Arial" w:eastAsia="Arial" w:hAnsi="Arial"/>
                <w:sz w:val="18"/>
                <w:szCs w:val="18"/>
                <w:color w:val="auto"/>
              </w:rPr>
              <w:t>24 %</w:t>
            </w:r>
          </w:p>
        </w:tc>
        <w:tc>
          <w:tcPr>
            <w:tcW w:w="900" w:type="dxa"/>
            <w:vAlign w:val="bottom"/>
            <w:gridSpan w:val="2"/>
          </w:tcPr>
          <w:p>
            <w:pPr>
              <w:jc w:val="right"/>
              <w:ind w:right="70"/>
              <w:spacing w:after="0" w:line="170" w:lineRule="exact"/>
              <w:rPr>
                <w:sz w:val="20"/>
                <w:szCs w:val="20"/>
                <w:color w:val="auto"/>
              </w:rPr>
            </w:pPr>
            <w:r>
              <w:rPr>
                <w:rFonts w:ascii="Arial" w:cs="Arial" w:eastAsia="Arial" w:hAnsi="Arial"/>
                <w:sz w:val="18"/>
                <w:szCs w:val="18"/>
                <w:color w:val="auto"/>
              </w:rPr>
              <w:t>21 %</w:t>
            </w:r>
          </w:p>
        </w:tc>
        <w:tc>
          <w:tcPr>
            <w:tcW w:w="740" w:type="dxa"/>
            <w:vAlign w:val="bottom"/>
            <w:gridSpan w:val="2"/>
          </w:tcPr>
          <w:p>
            <w:pPr>
              <w:jc w:val="right"/>
              <w:spacing w:after="0" w:line="170" w:lineRule="exact"/>
              <w:rPr>
                <w:sz w:val="20"/>
                <w:szCs w:val="20"/>
                <w:color w:val="auto"/>
              </w:rPr>
            </w:pPr>
            <w:r>
              <w:rPr>
                <w:rFonts w:ascii="Arial" w:cs="Arial" w:eastAsia="Arial" w:hAnsi="Arial"/>
                <w:sz w:val="18"/>
                <w:szCs w:val="18"/>
                <w:color w:val="auto"/>
              </w:rPr>
              <w:t>22 %</w:t>
            </w:r>
          </w:p>
        </w:tc>
        <w:tc>
          <w:tcPr>
            <w:tcW w:w="820" w:type="dxa"/>
            <w:vAlign w:val="bottom"/>
            <w:gridSpan w:val="2"/>
          </w:tcPr>
          <w:p>
            <w:pPr>
              <w:jc w:val="right"/>
              <w:ind w:right="50"/>
              <w:spacing w:after="0" w:line="170" w:lineRule="exact"/>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760" w:type="dxa"/>
            <w:vAlign w:val="bottom"/>
            <w:gridSpan w:val="3"/>
            <w:shd w:val="clear" w:color="auto" w:fill="CCEEFF"/>
          </w:tcPr>
          <w:p>
            <w:pPr>
              <w:ind w:left="200"/>
              <w:spacing w:after="0" w:line="176" w:lineRule="exact"/>
              <w:rPr>
                <w:sz w:val="20"/>
                <w:szCs w:val="20"/>
                <w:color w:val="auto"/>
              </w:rPr>
            </w:pPr>
            <w:r>
              <w:rPr>
                <w:rFonts w:ascii="Arial" w:cs="Arial" w:eastAsia="Arial" w:hAnsi="Arial"/>
                <w:sz w:val="18"/>
                <w:szCs w:val="18"/>
                <w:color w:val="auto"/>
              </w:rPr>
              <w:t>Notebooks/Mobility</w:t>
            </w:r>
          </w:p>
        </w:tc>
        <w:tc>
          <w:tcPr>
            <w:tcW w:w="6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24</w:t>
            </w:r>
          </w:p>
        </w:tc>
        <w:tc>
          <w:tcPr>
            <w:tcW w:w="3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24</w:t>
            </w:r>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760" w:type="dxa"/>
            <w:vAlign w:val="bottom"/>
            <w:gridSpan w:val="3"/>
          </w:tcPr>
          <w:p>
            <w:pPr>
              <w:ind w:left="200"/>
              <w:spacing w:after="0" w:line="176" w:lineRule="exact"/>
              <w:rPr>
                <w:sz w:val="20"/>
                <w:szCs w:val="20"/>
                <w:color w:val="auto"/>
              </w:rPr>
            </w:pPr>
            <w:r>
              <w:rPr>
                <w:rFonts w:ascii="Arial" w:cs="Arial" w:eastAsia="Arial" w:hAnsi="Arial"/>
                <w:sz w:val="18"/>
                <w:szCs w:val="18"/>
                <w:color w:val="auto"/>
              </w:rPr>
              <w:t>Servers/Storage</w:t>
            </w:r>
          </w:p>
        </w:tc>
        <w:tc>
          <w:tcPr>
            <w:tcW w:w="600" w:type="dxa"/>
            <w:vAlign w:val="bottom"/>
          </w:tcPr>
          <w:p>
            <w:pPr>
              <w:jc w:val="right"/>
              <w:spacing w:after="0" w:line="176" w:lineRule="exact"/>
              <w:rPr>
                <w:sz w:val="20"/>
                <w:szCs w:val="20"/>
                <w:color w:val="auto"/>
              </w:rPr>
            </w:pPr>
            <w:r>
              <w:rPr>
                <w:rFonts w:ascii="Arial" w:cs="Arial" w:eastAsia="Arial" w:hAnsi="Arial"/>
                <w:sz w:val="18"/>
                <w:szCs w:val="18"/>
                <w:color w:val="auto"/>
              </w:rPr>
              <w:t>8</w:t>
            </w:r>
          </w:p>
        </w:tc>
        <w:tc>
          <w:tcPr>
            <w:tcW w:w="240" w:type="dxa"/>
            <w:vAlign w:val="bottom"/>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Arial" w:cs="Arial" w:eastAsia="Arial" w:hAnsi="Arial"/>
                <w:sz w:val="18"/>
                <w:szCs w:val="18"/>
                <w:color w:val="auto"/>
              </w:rPr>
              <w:t>9</w:t>
            </w:r>
          </w:p>
        </w:tc>
        <w:tc>
          <w:tcPr>
            <w:tcW w:w="300" w:type="dxa"/>
            <w:vAlign w:val="bottom"/>
          </w:tcPr>
          <w:p>
            <w:pPr>
              <w:spacing w:after="0"/>
              <w:rPr>
                <w:sz w:val="15"/>
                <w:szCs w:val="15"/>
                <w:color w:val="auto"/>
              </w:rPr>
            </w:pPr>
          </w:p>
        </w:tc>
        <w:tc>
          <w:tcPr>
            <w:tcW w:w="500" w:type="dxa"/>
            <w:vAlign w:val="bottom"/>
          </w:tcPr>
          <w:p>
            <w:pPr>
              <w:jc w:val="right"/>
              <w:spacing w:after="0" w:line="176" w:lineRule="exact"/>
              <w:rPr>
                <w:sz w:val="20"/>
                <w:szCs w:val="20"/>
                <w:color w:val="auto"/>
              </w:rPr>
            </w:pPr>
            <w:r>
              <w:rPr>
                <w:rFonts w:ascii="Arial" w:cs="Arial" w:eastAsia="Arial" w:hAnsi="Arial"/>
                <w:sz w:val="18"/>
                <w:szCs w:val="18"/>
                <w:color w:val="auto"/>
              </w:rPr>
              <w:t>9</w:t>
            </w:r>
          </w:p>
        </w:tc>
        <w:tc>
          <w:tcPr>
            <w:tcW w:w="24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8"/>
                <w:szCs w:val="18"/>
                <w:color w:val="auto"/>
              </w:rPr>
              <w:t>10</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760" w:type="dxa"/>
            <w:vAlign w:val="bottom"/>
            <w:gridSpan w:val="3"/>
            <w:shd w:val="clear" w:color="auto" w:fill="CCEEFF"/>
          </w:tcPr>
          <w:p>
            <w:pPr>
              <w:ind w:left="200"/>
              <w:spacing w:after="0" w:line="176" w:lineRule="exact"/>
              <w:rPr>
                <w:sz w:val="20"/>
                <w:szCs w:val="20"/>
                <w:color w:val="auto"/>
              </w:rPr>
            </w:pPr>
            <w:r>
              <w:rPr>
                <w:rFonts w:ascii="Arial" w:cs="Arial" w:eastAsia="Arial" w:hAnsi="Arial"/>
                <w:sz w:val="18"/>
                <w:szCs w:val="18"/>
                <w:color w:val="auto"/>
              </w:rPr>
              <w:t>Net/Com Product</w:t>
            </w:r>
          </w:p>
        </w:tc>
        <w:tc>
          <w:tcPr>
            <w:tcW w:w="6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w:t>
            </w:r>
          </w:p>
        </w:tc>
        <w:tc>
          <w:tcPr>
            <w:tcW w:w="3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w:t>
            </w:r>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760" w:type="dxa"/>
            <w:vAlign w:val="bottom"/>
            <w:tcBorders>
              <w:bottom w:val="single" w:sz="8" w:color="CCEEFF"/>
            </w:tcBorders>
            <w:gridSpan w:val="3"/>
          </w:tcPr>
          <w:p>
            <w:pPr>
              <w:ind w:left="200"/>
              <w:spacing w:after="0" w:line="176" w:lineRule="exact"/>
              <w:rPr>
                <w:sz w:val="20"/>
                <w:szCs w:val="20"/>
                <w:color w:val="auto"/>
              </w:rPr>
            </w:pPr>
            <w:r>
              <w:rPr>
                <w:rFonts w:ascii="Arial" w:cs="Arial" w:eastAsia="Arial" w:hAnsi="Arial"/>
                <w:sz w:val="18"/>
                <w:szCs w:val="18"/>
                <w:color w:val="auto"/>
              </w:rPr>
              <w:t>Other Hardware/Services</w:t>
            </w:r>
          </w:p>
        </w:tc>
        <w:tc>
          <w:tcPr>
            <w:tcW w:w="6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38</w:t>
            </w:r>
          </w:p>
        </w:tc>
        <w:tc>
          <w:tcPr>
            <w:tcW w:w="24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38</w:t>
            </w:r>
          </w:p>
        </w:tc>
        <w:tc>
          <w:tcPr>
            <w:tcW w:w="3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39</w:t>
            </w:r>
          </w:p>
        </w:tc>
        <w:tc>
          <w:tcPr>
            <w:tcW w:w="24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38</w:t>
            </w:r>
          </w:p>
        </w:tc>
        <w:tc>
          <w:tcPr>
            <w:tcW w:w="3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760" w:type="dxa"/>
            <w:vAlign w:val="bottom"/>
            <w:tcBorders>
              <w:bottom w:val="single" w:sz="8" w:color="CCEEFF"/>
            </w:tcBorders>
            <w:gridSpan w:val="3"/>
            <w:shd w:val="clear" w:color="auto" w:fill="CCEEFF"/>
          </w:tcPr>
          <w:p>
            <w:pPr>
              <w:ind w:left="420"/>
              <w:spacing w:after="0" w:line="170" w:lineRule="exact"/>
              <w:rPr>
                <w:sz w:val="20"/>
                <w:szCs w:val="20"/>
                <w:color w:val="auto"/>
              </w:rPr>
            </w:pPr>
            <w:r>
              <w:rPr>
                <w:rFonts w:ascii="Arial" w:cs="Arial" w:eastAsia="Arial" w:hAnsi="Arial"/>
                <w:sz w:val="18"/>
                <w:szCs w:val="18"/>
                <w:color w:val="auto"/>
              </w:rPr>
              <w:t>Total</w:t>
            </w:r>
          </w:p>
        </w:tc>
        <w:tc>
          <w:tcPr>
            <w:tcW w:w="6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100</w:t>
            </w:r>
          </w:p>
        </w:tc>
        <w:tc>
          <w:tcPr>
            <w:tcW w:w="240" w:type="dxa"/>
            <w:vAlign w:val="bottom"/>
            <w:tcBorders>
              <w:bottom w:val="single" w:sz="8" w:color="CCEEFF"/>
            </w:tcBorders>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74"/>
              </w:rPr>
              <w:t>%</w:t>
            </w:r>
          </w:p>
        </w:tc>
        <w:tc>
          <w:tcPr>
            <w:tcW w:w="6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100</w:t>
            </w:r>
          </w:p>
        </w:tc>
        <w:tc>
          <w:tcPr>
            <w:tcW w:w="300" w:type="dxa"/>
            <w:vAlign w:val="bottom"/>
            <w:tcBorders>
              <w:bottom w:val="single" w:sz="8" w:color="CCEEFF"/>
            </w:tcBorders>
            <w:shd w:val="clear" w:color="auto" w:fill="CCEEFF"/>
          </w:tcPr>
          <w:p>
            <w:pPr>
              <w:jc w:val="right"/>
              <w:ind w:right="70"/>
              <w:spacing w:after="0" w:line="170" w:lineRule="exact"/>
              <w:rPr>
                <w:sz w:val="20"/>
                <w:szCs w:val="20"/>
                <w:color w:val="auto"/>
              </w:rPr>
            </w:pPr>
            <w:r>
              <w:rPr>
                <w:rFonts w:ascii="Arial" w:cs="Arial" w:eastAsia="Arial" w:hAnsi="Arial"/>
                <w:sz w:val="18"/>
                <w:szCs w:val="18"/>
                <w:color w:val="auto"/>
                <w:w w:val="74"/>
              </w:rPr>
              <w:t>%</w:t>
            </w:r>
          </w:p>
        </w:tc>
        <w:tc>
          <w:tcPr>
            <w:tcW w:w="5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100</w:t>
            </w:r>
          </w:p>
        </w:tc>
        <w:tc>
          <w:tcPr>
            <w:tcW w:w="240" w:type="dxa"/>
            <w:vAlign w:val="bottom"/>
            <w:tcBorders>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87"/>
              </w:rPr>
              <w:t>%</w:t>
            </w:r>
          </w:p>
        </w:tc>
        <w:tc>
          <w:tcPr>
            <w:tcW w:w="5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100</w:t>
            </w:r>
          </w:p>
        </w:tc>
        <w:tc>
          <w:tcPr>
            <w:tcW w:w="300" w:type="dxa"/>
            <w:vAlign w:val="bottom"/>
            <w:tcBorders>
              <w:bottom w:val="single" w:sz="8" w:color="CCEEFF"/>
            </w:tcBorders>
            <w:shd w:val="clear" w:color="auto" w:fill="CCEEFF"/>
          </w:tcPr>
          <w:p>
            <w:pPr>
              <w:jc w:val="right"/>
              <w:ind w:right="50"/>
              <w:spacing w:after="0" w:line="170"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Margin</w:t>
      </w:r>
    </w:p>
    <w:p>
      <w:pPr>
        <w:spacing w:after="0" w:line="1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gross margin, as a percentage of net sales, over the periods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1740" w:type="dxa"/>
            <w:vAlign w:val="bottom"/>
            <w:gridSpan w:val="4"/>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760" w:type="dxa"/>
            <w:vAlign w:val="bottom"/>
            <w:gridSpan w:val="4"/>
          </w:tcPr>
          <w:p>
            <w:pPr>
              <w:ind w:left="100"/>
              <w:spacing w:after="0"/>
              <w:rPr>
                <w:sz w:val="20"/>
                <w:szCs w:val="20"/>
                <w:color w:val="auto"/>
              </w:rPr>
            </w:pPr>
            <w:r>
              <w:rPr>
                <w:rFonts w:ascii="Arial" w:cs="Arial" w:eastAsia="Arial" w:hAnsi="Arial"/>
                <w:sz w:val="14"/>
                <w:szCs w:val="14"/>
                <w:b w:val="1"/>
                <w:bCs w:val="1"/>
                <w:color w:val="auto"/>
              </w:rPr>
              <w:t>Nine Months Ended</w:t>
            </w:r>
          </w:p>
        </w:tc>
      </w:tr>
      <w:tr>
        <w:trPr>
          <w:trHeight w:val="129"/>
        </w:trPr>
        <w:tc>
          <w:tcPr>
            <w:tcW w:w="5560" w:type="dxa"/>
            <w:vAlign w:val="bottom"/>
            <w:tcBorders>
              <w:bottom w:val="single" w:sz="8" w:color="CCEEFF"/>
            </w:tcBorders>
          </w:tcPr>
          <w:p>
            <w:pPr>
              <w:spacing w:after="0"/>
              <w:rPr>
                <w:sz w:val="11"/>
                <w:szCs w:val="11"/>
                <w:color w:val="auto"/>
              </w:rPr>
            </w:pPr>
          </w:p>
        </w:tc>
        <w:tc>
          <w:tcPr>
            <w:tcW w:w="580" w:type="dxa"/>
            <w:vAlign w:val="bottom"/>
            <w:tcBorders>
              <w:top w:val="single" w:sz="8" w:color="auto"/>
              <w:bottom w:val="single" w:sz="8" w:color="auto"/>
            </w:tcBorders>
          </w:tcPr>
          <w:p>
            <w:pPr>
              <w:ind w:left="140"/>
              <w:spacing w:after="0" w:line="129"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CCEEFF"/>
            </w:tcBorders>
          </w:tcPr>
          <w:p>
            <w:pPr>
              <w:spacing w:after="0"/>
              <w:rPr>
                <w:sz w:val="11"/>
                <w:szCs w:val="11"/>
                <w:color w:val="auto"/>
              </w:rPr>
            </w:pPr>
          </w:p>
        </w:tc>
        <w:tc>
          <w:tcPr>
            <w:tcW w:w="580" w:type="dxa"/>
            <w:vAlign w:val="bottom"/>
            <w:tcBorders>
              <w:top w:val="single" w:sz="8" w:color="auto"/>
              <w:bottom w:val="single" w:sz="8" w:color="auto"/>
            </w:tcBorders>
          </w:tcPr>
          <w:p>
            <w:pPr>
              <w:ind w:left="140"/>
              <w:spacing w:after="0" w:line="129"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CCEEFF"/>
            </w:tcBorders>
          </w:tcPr>
          <w:p>
            <w:pPr>
              <w:spacing w:after="0"/>
              <w:rPr>
                <w:sz w:val="11"/>
                <w:szCs w:val="11"/>
                <w:color w:val="auto"/>
              </w:rPr>
            </w:pPr>
          </w:p>
        </w:tc>
        <w:tc>
          <w:tcPr>
            <w:tcW w:w="600" w:type="dxa"/>
            <w:vAlign w:val="bottom"/>
            <w:tcBorders>
              <w:top w:val="single" w:sz="8" w:color="auto"/>
              <w:bottom w:val="single" w:sz="8" w:color="auto"/>
            </w:tcBorders>
          </w:tcPr>
          <w:p>
            <w:pPr>
              <w:ind w:left="160"/>
              <w:spacing w:after="0" w:line="129"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CCEEFF"/>
            </w:tcBorders>
          </w:tcPr>
          <w:p>
            <w:pPr>
              <w:spacing w:after="0"/>
              <w:rPr>
                <w:sz w:val="11"/>
                <w:szCs w:val="11"/>
                <w:color w:val="auto"/>
              </w:rPr>
            </w:pPr>
          </w:p>
        </w:tc>
        <w:tc>
          <w:tcPr>
            <w:tcW w:w="580" w:type="dxa"/>
            <w:vAlign w:val="bottom"/>
            <w:tcBorders>
              <w:top w:val="single" w:sz="8" w:color="auto"/>
              <w:bottom w:val="single" w:sz="8" w:color="auto"/>
            </w:tcBorders>
          </w:tcPr>
          <w:p>
            <w:pPr>
              <w:ind w:left="140"/>
              <w:spacing w:after="0" w:line="129"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CCEEFF"/>
            </w:tcBorders>
          </w:tcPr>
          <w:p>
            <w:pPr>
              <w:spacing w:after="0"/>
              <w:rPr>
                <w:sz w:val="11"/>
                <w:szCs w:val="11"/>
                <w:color w:val="auto"/>
              </w:rPr>
            </w:pPr>
          </w:p>
        </w:tc>
      </w:tr>
      <w:tr>
        <w:trPr>
          <w:trHeight w:val="169"/>
        </w:trPr>
        <w:tc>
          <w:tcPr>
            <w:tcW w:w="556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Sales Segment</w:t>
            </w:r>
          </w:p>
        </w:tc>
        <w:tc>
          <w:tcPr>
            <w:tcW w:w="5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r>
      <w:tr>
        <w:trPr>
          <w:trHeight w:val="176"/>
        </w:trPr>
        <w:tc>
          <w:tcPr>
            <w:tcW w:w="5560" w:type="dxa"/>
            <w:vAlign w:val="bottom"/>
          </w:tcPr>
          <w:p>
            <w:pPr>
              <w:spacing w:after="0" w:line="176" w:lineRule="exact"/>
              <w:rPr>
                <w:sz w:val="20"/>
                <w:szCs w:val="20"/>
                <w:color w:val="auto"/>
              </w:rPr>
            </w:pPr>
            <w:r>
              <w:rPr>
                <w:rFonts w:ascii="Arial" w:cs="Arial" w:eastAsia="Arial" w:hAnsi="Arial"/>
                <w:sz w:val="18"/>
                <w:szCs w:val="18"/>
                <w:color w:val="auto"/>
              </w:rPr>
              <w:t>SMB</w:t>
            </w:r>
          </w:p>
        </w:tc>
        <w:tc>
          <w:tcPr>
            <w:tcW w:w="820" w:type="dxa"/>
            <w:vAlign w:val="bottom"/>
            <w:gridSpan w:val="2"/>
          </w:tcPr>
          <w:p>
            <w:pPr>
              <w:ind w:left="200"/>
              <w:spacing w:after="0" w:line="176" w:lineRule="exact"/>
              <w:rPr>
                <w:sz w:val="20"/>
                <w:szCs w:val="20"/>
                <w:color w:val="auto"/>
              </w:rPr>
            </w:pPr>
            <w:r>
              <w:rPr>
                <w:rFonts w:ascii="Arial" w:cs="Arial" w:eastAsia="Arial" w:hAnsi="Arial"/>
                <w:sz w:val="18"/>
                <w:szCs w:val="18"/>
                <w:color w:val="auto"/>
              </w:rPr>
              <w:t>14.9 %</w:t>
            </w:r>
          </w:p>
        </w:tc>
        <w:tc>
          <w:tcPr>
            <w:tcW w:w="920" w:type="dxa"/>
            <w:vAlign w:val="bottom"/>
            <w:gridSpan w:val="2"/>
          </w:tcPr>
          <w:p>
            <w:pPr>
              <w:ind w:left="200"/>
              <w:spacing w:after="0" w:line="176" w:lineRule="exact"/>
              <w:rPr>
                <w:sz w:val="20"/>
                <w:szCs w:val="20"/>
                <w:color w:val="auto"/>
              </w:rPr>
            </w:pPr>
            <w:r>
              <w:rPr>
                <w:rFonts w:ascii="Arial" w:cs="Arial" w:eastAsia="Arial" w:hAnsi="Arial"/>
                <w:sz w:val="18"/>
                <w:szCs w:val="18"/>
                <w:color w:val="auto"/>
              </w:rPr>
              <w:t>15.5 %</w:t>
            </w:r>
          </w:p>
        </w:tc>
        <w:tc>
          <w:tcPr>
            <w:tcW w:w="840" w:type="dxa"/>
            <w:vAlign w:val="bottom"/>
            <w:gridSpan w:val="2"/>
          </w:tcPr>
          <w:p>
            <w:pPr>
              <w:ind w:left="220"/>
              <w:spacing w:after="0" w:line="176" w:lineRule="exact"/>
              <w:rPr>
                <w:sz w:val="20"/>
                <w:szCs w:val="20"/>
                <w:color w:val="auto"/>
              </w:rPr>
            </w:pPr>
            <w:r>
              <w:rPr>
                <w:rFonts w:ascii="Arial" w:cs="Arial" w:eastAsia="Arial" w:hAnsi="Arial"/>
                <w:sz w:val="18"/>
                <w:szCs w:val="18"/>
                <w:color w:val="auto"/>
              </w:rPr>
              <w:t>15.3 %</w:t>
            </w:r>
          </w:p>
        </w:tc>
        <w:tc>
          <w:tcPr>
            <w:tcW w:w="920" w:type="dxa"/>
            <w:vAlign w:val="bottom"/>
            <w:gridSpan w:val="2"/>
          </w:tcPr>
          <w:p>
            <w:pPr>
              <w:ind w:left="200"/>
              <w:spacing w:after="0" w:line="176" w:lineRule="exact"/>
              <w:rPr>
                <w:sz w:val="20"/>
                <w:szCs w:val="20"/>
                <w:color w:val="auto"/>
              </w:rPr>
            </w:pPr>
            <w:r>
              <w:rPr>
                <w:rFonts w:ascii="Arial" w:cs="Arial" w:eastAsia="Arial" w:hAnsi="Arial"/>
                <w:sz w:val="18"/>
                <w:szCs w:val="18"/>
                <w:color w:val="auto"/>
              </w:rPr>
              <w:t>15.8 %</w:t>
            </w:r>
          </w:p>
        </w:tc>
      </w:tr>
      <w:tr>
        <w:trPr>
          <w:trHeight w:val="176"/>
        </w:trPr>
        <w:tc>
          <w:tcPr>
            <w:tcW w:w="55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Large Account</w:t>
            </w:r>
          </w:p>
        </w:tc>
        <w:tc>
          <w:tcPr>
            <w:tcW w:w="58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12.7</w:t>
            </w: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13.4</w:t>
            </w:r>
          </w:p>
        </w:tc>
        <w:tc>
          <w:tcPr>
            <w:tcW w:w="340" w:type="dxa"/>
            <w:vAlign w:val="bottom"/>
            <w:shd w:val="clear" w:color="auto" w:fill="CCEEFF"/>
          </w:tcPr>
          <w:p>
            <w:pPr>
              <w:spacing w:after="0"/>
              <w:rPr>
                <w:sz w:val="15"/>
                <w:szCs w:val="15"/>
                <w:color w:val="auto"/>
              </w:rPr>
            </w:pPr>
          </w:p>
        </w:tc>
        <w:tc>
          <w:tcPr>
            <w:tcW w:w="6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12.5</w:t>
            </w: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13.1</w:t>
            </w:r>
          </w:p>
        </w:tc>
        <w:tc>
          <w:tcPr>
            <w:tcW w:w="340" w:type="dxa"/>
            <w:vAlign w:val="bottom"/>
            <w:shd w:val="clear" w:color="auto" w:fill="CCEEFF"/>
          </w:tcPr>
          <w:p>
            <w:pPr>
              <w:spacing w:after="0"/>
              <w:rPr>
                <w:sz w:val="15"/>
                <w:szCs w:val="15"/>
                <w:color w:val="auto"/>
              </w:rPr>
            </w:pPr>
          </w:p>
        </w:tc>
      </w:tr>
      <w:tr>
        <w:trPr>
          <w:trHeight w:val="176"/>
        </w:trPr>
        <w:tc>
          <w:tcPr>
            <w:tcW w:w="5560" w:type="dxa"/>
            <w:vAlign w:val="bottom"/>
          </w:tcPr>
          <w:p>
            <w:pPr>
              <w:spacing w:after="0" w:line="176" w:lineRule="exact"/>
              <w:rPr>
                <w:sz w:val="20"/>
                <w:szCs w:val="20"/>
                <w:color w:val="auto"/>
              </w:rPr>
            </w:pPr>
            <w:r>
              <w:rPr>
                <w:rFonts w:ascii="Arial" w:cs="Arial" w:eastAsia="Arial" w:hAnsi="Arial"/>
                <w:sz w:val="18"/>
                <w:szCs w:val="18"/>
                <w:color w:val="auto"/>
              </w:rPr>
              <w:t>Public Sector</w:t>
            </w:r>
          </w:p>
        </w:tc>
        <w:tc>
          <w:tcPr>
            <w:tcW w:w="580" w:type="dxa"/>
            <w:vAlign w:val="bottom"/>
          </w:tcPr>
          <w:p>
            <w:pPr>
              <w:ind w:left="220"/>
              <w:spacing w:after="0" w:line="176" w:lineRule="exact"/>
              <w:rPr>
                <w:sz w:val="20"/>
                <w:szCs w:val="20"/>
                <w:color w:val="auto"/>
              </w:rPr>
            </w:pPr>
            <w:r>
              <w:rPr>
                <w:rFonts w:ascii="Arial" w:cs="Arial" w:eastAsia="Arial" w:hAnsi="Arial"/>
                <w:sz w:val="18"/>
                <w:szCs w:val="18"/>
                <w:color w:val="auto"/>
                <w:w w:val="96"/>
              </w:rPr>
              <w:t>11.0</w:t>
            </w:r>
          </w:p>
        </w:tc>
        <w:tc>
          <w:tcPr>
            <w:tcW w:w="240" w:type="dxa"/>
            <w:vAlign w:val="bottom"/>
          </w:tcPr>
          <w:p>
            <w:pPr>
              <w:spacing w:after="0"/>
              <w:rPr>
                <w:sz w:val="15"/>
                <w:szCs w:val="15"/>
                <w:color w:val="auto"/>
              </w:rPr>
            </w:pPr>
          </w:p>
        </w:tc>
        <w:tc>
          <w:tcPr>
            <w:tcW w:w="580" w:type="dxa"/>
            <w:vAlign w:val="bottom"/>
          </w:tcPr>
          <w:p>
            <w:pPr>
              <w:ind w:left="220"/>
              <w:spacing w:after="0" w:line="176" w:lineRule="exact"/>
              <w:rPr>
                <w:sz w:val="20"/>
                <w:szCs w:val="20"/>
                <w:color w:val="auto"/>
              </w:rPr>
            </w:pPr>
            <w:r>
              <w:rPr>
                <w:rFonts w:ascii="Arial" w:cs="Arial" w:eastAsia="Arial" w:hAnsi="Arial"/>
                <w:sz w:val="18"/>
                <w:szCs w:val="18"/>
                <w:color w:val="auto"/>
                <w:w w:val="96"/>
              </w:rPr>
              <w:t>11.1</w:t>
            </w:r>
          </w:p>
        </w:tc>
        <w:tc>
          <w:tcPr>
            <w:tcW w:w="340" w:type="dxa"/>
            <w:vAlign w:val="bottom"/>
          </w:tcPr>
          <w:p>
            <w:pPr>
              <w:spacing w:after="0"/>
              <w:rPr>
                <w:sz w:val="15"/>
                <w:szCs w:val="15"/>
                <w:color w:val="auto"/>
              </w:rPr>
            </w:pPr>
          </w:p>
        </w:tc>
        <w:tc>
          <w:tcPr>
            <w:tcW w:w="600" w:type="dxa"/>
            <w:vAlign w:val="bottom"/>
          </w:tcPr>
          <w:p>
            <w:pPr>
              <w:ind w:left="220"/>
              <w:spacing w:after="0" w:line="176" w:lineRule="exact"/>
              <w:rPr>
                <w:sz w:val="20"/>
                <w:szCs w:val="20"/>
                <w:color w:val="auto"/>
              </w:rPr>
            </w:pPr>
            <w:r>
              <w:rPr>
                <w:rFonts w:ascii="Arial" w:cs="Arial" w:eastAsia="Arial" w:hAnsi="Arial"/>
                <w:sz w:val="18"/>
                <w:szCs w:val="18"/>
                <w:color w:val="auto"/>
              </w:rPr>
              <w:t>10.4</w:t>
            </w:r>
          </w:p>
        </w:tc>
        <w:tc>
          <w:tcPr>
            <w:tcW w:w="240" w:type="dxa"/>
            <w:vAlign w:val="bottom"/>
          </w:tcPr>
          <w:p>
            <w:pPr>
              <w:spacing w:after="0"/>
              <w:rPr>
                <w:sz w:val="15"/>
                <w:szCs w:val="15"/>
                <w:color w:val="auto"/>
              </w:rPr>
            </w:pPr>
          </w:p>
        </w:tc>
        <w:tc>
          <w:tcPr>
            <w:tcW w:w="580" w:type="dxa"/>
            <w:vAlign w:val="bottom"/>
          </w:tcPr>
          <w:p>
            <w:pPr>
              <w:ind w:left="220"/>
              <w:spacing w:after="0" w:line="176" w:lineRule="exact"/>
              <w:rPr>
                <w:sz w:val="20"/>
                <w:szCs w:val="20"/>
                <w:color w:val="auto"/>
              </w:rPr>
            </w:pPr>
            <w:r>
              <w:rPr>
                <w:rFonts w:ascii="Arial" w:cs="Arial" w:eastAsia="Arial" w:hAnsi="Arial"/>
                <w:sz w:val="18"/>
                <w:szCs w:val="18"/>
                <w:color w:val="auto"/>
                <w:w w:val="96"/>
              </w:rPr>
              <w:t>11.8</w:t>
            </w:r>
          </w:p>
        </w:tc>
        <w:tc>
          <w:tcPr>
            <w:tcW w:w="340" w:type="dxa"/>
            <w:vAlign w:val="bottom"/>
          </w:tcPr>
          <w:p>
            <w:pPr>
              <w:spacing w:after="0"/>
              <w:rPr>
                <w:sz w:val="15"/>
                <w:szCs w:val="15"/>
                <w:color w:val="auto"/>
              </w:rPr>
            </w:pPr>
          </w:p>
        </w:tc>
      </w:tr>
      <w:tr>
        <w:trPr>
          <w:trHeight w:val="176"/>
        </w:trPr>
        <w:tc>
          <w:tcPr>
            <w:tcW w:w="556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Total</w:t>
            </w:r>
          </w:p>
        </w:tc>
        <w:tc>
          <w:tcPr>
            <w:tcW w:w="82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8"/>
                <w:szCs w:val="18"/>
                <w:color w:val="auto"/>
              </w:rPr>
              <w:t>13.2 %</w:t>
            </w:r>
          </w:p>
        </w:tc>
        <w:tc>
          <w:tcPr>
            <w:tcW w:w="92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8"/>
                <w:szCs w:val="18"/>
                <w:color w:val="auto"/>
              </w:rPr>
              <w:t>13.7 %</w:t>
            </w:r>
          </w:p>
        </w:tc>
        <w:tc>
          <w:tcPr>
            <w:tcW w:w="84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13.1 %</w:t>
            </w:r>
          </w:p>
        </w:tc>
        <w:tc>
          <w:tcPr>
            <w:tcW w:w="92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8"/>
                <w:szCs w:val="18"/>
                <w:color w:val="auto"/>
              </w:rPr>
              <w:t>14.0 %</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reflects our SG&amp;A expenses for the periods indicated (dollars 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40" w:type="dxa"/>
            <w:vAlign w:val="bottom"/>
            <w:gridSpan w:val="7"/>
          </w:tcPr>
          <w:p>
            <w:pPr>
              <w:jc w:val="right"/>
              <w:ind w:right="170"/>
              <w:spacing w:after="0"/>
              <w:rPr>
                <w:sz w:val="20"/>
                <w:szCs w:val="20"/>
                <w:color w:val="auto"/>
              </w:rPr>
            </w:pPr>
            <w:r>
              <w:rPr>
                <w:rFonts w:ascii="Arial" w:cs="Arial" w:eastAsia="Arial" w:hAnsi="Arial"/>
                <w:sz w:val="14"/>
                <w:szCs w:val="14"/>
                <w:b w:val="1"/>
                <w:bCs w:val="1"/>
                <w:color w:val="auto"/>
                <w:w w:val="98"/>
              </w:rPr>
              <w:t>Three Months Ended</w:t>
            </w:r>
          </w:p>
        </w:tc>
        <w:tc>
          <w:tcPr>
            <w:tcW w:w="40" w:type="dxa"/>
            <w:vAlign w:val="bottom"/>
          </w:tcPr>
          <w:p>
            <w:pPr>
              <w:spacing w:after="0"/>
              <w:rPr>
                <w:sz w:val="14"/>
                <w:szCs w:val="14"/>
                <w:color w:val="auto"/>
              </w:rPr>
            </w:pPr>
          </w:p>
        </w:tc>
        <w:tc>
          <w:tcPr>
            <w:tcW w:w="1780" w:type="dxa"/>
            <w:vAlign w:val="bottom"/>
            <w:gridSpan w:val="5"/>
          </w:tcPr>
          <w:p>
            <w:pPr>
              <w:jc w:val="right"/>
              <w:ind w:right="330"/>
              <w:spacing w:after="0"/>
              <w:rPr>
                <w:sz w:val="20"/>
                <w:szCs w:val="20"/>
                <w:color w:val="auto"/>
              </w:rPr>
            </w:pPr>
            <w:r>
              <w:rPr>
                <w:rFonts w:ascii="Arial" w:cs="Arial" w:eastAsia="Arial" w:hAnsi="Arial"/>
                <w:sz w:val="14"/>
                <w:szCs w:val="14"/>
                <w:b w:val="1"/>
                <w:bCs w:val="1"/>
                <w:color w:val="auto"/>
              </w:rPr>
              <w:t>Nine Months Ended</w:t>
            </w:r>
          </w:p>
        </w:tc>
      </w:tr>
      <w:tr>
        <w:trPr>
          <w:trHeight w:val="129"/>
        </w:trPr>
        <w:tc>
          <w:tcPr>
            <w:tcW w:w="33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72"/>
              <w:spacing w:after="0" w:line="129" w:lineRule="exact"/>
              <w:rPr>
                <w:sz w:val="20"/>
                <w:szCs w:val="20"/>
                <w:color w:val="auto"/>
              </w:rPr>
            </w:pPr>
            <w:r>
              <w:rPr>
                <w:rFonts w:ascii="Arial" w:cs="Arial" w:eastAsia="Arial" w:hAnsi="Arial"/>
                <w:sz w:val="14"/>
                <w:szCs w:val="14"/>
                <w:b w:val="1"/>
                <w:bCs w:val="1"/>
                <w:color w:val="auto"/>
                <w:w w:val="96"/>
              </w:rPr>
              <w:t>2017</w:t>
            </w:r>
          </w:p>
        </w:tc>
        <w:tc>
          <w:tcPr>
            <w:tcW w:w="2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72"/>
              <w:spacing w:after="0" w:line="129" w:lineRule="exact"/>
              <w:rPr>
                <w:sz w:val="20"/>
                <w:szCs w:val="20"/>
                <w:color w:val="auto"/>
              </w:rPr>
            </w:pPr>
            <w:r>
              <w:rPr>
                <w:rFonts w:ascii="Arial" w:cs="Arial" w:eastAsia="Arial" w:hAnsi="Arial"/>
                <w:sz w:val="14"/>
                <w:szCs w:val="14"/>
                <w:b w:val="1"/>
                <w:bCs w:val="1"/>
                <w:color w:val="auto"/>
                <w:w w:val="96"/>
              </w:rPr>
              <w:t>2016</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Borders>
              <w:top w:val="single" w:sz="8" w:color="auto"/>
            </w:tcBorders>
          </w:tcPr>
          <w:p>
            <w:pPr>
              <w:jc w:val="right"/>
              <w:ind w:right="77"/>
              <w:spacing w:after="0" w:line="129"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jc w:val="right"/>
              <w:ind w:right="70"/>
              <w:spacing w:after="0" w:line="129"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1"/>
                <w:szCs w:val="11"/>
                <w:color w:val="auto"/>
              </w:rPr>
            </w:pPr>
          </w:p>
        </w:tc>
      </w:tr>
      <w:tr>
        <w:trPr>
          <w:trHeight w:val="169"/>
        </w:trPr>
        <w:tc>
          <w:tcPr>
            <w:tcW w:w="332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Personnel costs</w:t>
            </w:r>
          </w:p>
        </w:tc>
        <w:tc>
          <w:tcPr>
            <w:tcW w:w="22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57.4</w:t>
            </w:r>
          </w:p>
        </w:tc>
        <w:tc>
          <w:tcPr>
            <w:tcW w:w="2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58.6</w:t>
            </w:r>
          </w:p>
        </w:tc>
        <w:tc>
          <w:tcPr>
            <w:tcW w:w="2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89"/>
              </w:rPr>
              <w:t>$ 175.4</w:t>
            </w:r>
          </w:p>
        </w:tc>
        <w:tc>
          <w:tcPr>
            <w:tcW w:w="2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3"/>
              </w:rPr>
              <w:t>$ 167.2</w:t>
            </w:r>
          </w:p>
        </w:tc>
        <w:tc>
          <w:tcPr>
            <w:tcW w:w="300" w:type="dxa"/>
            <w:vAlign w:val="bottom"/>
            <w:tcBorders>
              <w:top w:val="single" w:sz="8" w:color="CCEEFF"/>
            </w:tcBorders>
            <w:shd w:val="clear" w:color="auto" w:fill="CCEEFF"/>
          </w:tcPr>
          <w:p>
            <w:pPr>
              <w:spacing w:after="0"/>
              <w:rPr>
                <w:sz w:val="14"/>
                <w:szCs w:val="14"/>
                <w:color w:val="auto"/>
              </w:rPr>
            </w:pPr>
          </w:p>
        </w:tc>
      </w:tr>
      <w:tr>
        <w:trPr>
          <w:trHeight w:val="176"/>
        </w:trPr>
        <w:tc>
          <w:tcPr>
            <w:tcW w:w="3320" w:type="dxa"/>
            <w:vAlign w:val="bottom"/>
          </w:tcPr>
          <w:p>
            <w:pPr>
              <w:spacing w:after="0" w:line="176" w:lineRule="exact"/>
              <w:rPr>
                <w:sz w:val="20"/>
                <w:szCs w:val="20"/>
                <w:color w:val="auto"/>
              </w:rPr>
            </w:pPr>
            <w:r>
              <w:rPr>
                <w:rFonts w:ascii="Arial" w:cs="Arial" w:eastAsia="Arial" w:hAnsi="Arial"/>
                <w:sz w:val="18"/>
                <w:szCs w:val="18"/>
                <w:color w:val="auto"/>
              </w:rPr>
              <w:t>Advertising</w:t>
            </w:r>
          </w:p>
        </w:tc>
        <w:tc>
          <w:tcPr>
            <w:tcW w:w="2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spacing w:after="0" w:line="176" w:lineRule="exact"/>
              <w:rPr>
                <w:sz w:val="20"/>
                <w:szCs w:val="20"/>
                <w:color w:val="auto"/>
              </w:rPr>
            </w:pPr>
            <w:r>
              <w:rPr>
                <w:rFonts w:ascii="Arial" w:cs="Arial" w:eastAsia="Arial" w:hAnsi="Arial"/>
                <w:sz w:val="18"/>
                <w:szCs w:val="18"/>
                <w:color w:val="auto"/>
              </w:rPr>
              <w:t>3.6</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spacing w:after="0" w:line="176" w:lineRule="exact"/>
              <w:rPr>
                <w:sz w:val="20"/>
                <w:szCs w:val="20"/>
                <w:color w:val="auto"/>
              </w:rPr>
            </w:pPr>
            <w:r>
              <w:rPr>
                <w:rFonts w:ascii="Arial" w:cs="Arial" w:eastAsia="Arial" w:hAnsi="Arial"/>
                <w:sz w:val="18"/>
                <w:szCs w:val="18"/>
                <w:color w:val="auto"/>
              </w:rPr>
              <w:t>3.5</w:t>
            </w:r>
          </w:p>
        </w:tc>
        <w:tc>
          <w:tcPr>
            <w:tcW w:w="200" w:type="dxa"/>
            <w:vAlign w:val="bottom"/>
          </w:tcPr>
          <w:p>
            <w:pPr>
              <w:spacing w:after="0"/>
              <w:rPr>
                <w:sz w:val="15"/>
                <w:szCs w:val="15"/>
                <w:color w:val="auto"/>
              </w:rPr>
            </w:pPr>
          </w:p>
        </w:tc>
        <w:tc>
          <w:tcPr>
            <w:tcW w:w="6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10.8</w:t>
            </w:r>
          </w:p>
        </w:tc>
        <w:tc>
          <w:tcPr>
            <w:tcW w:w="200" w:type="dxa"/>
            <w:vAlign w:val="bottom"/>
          </w:tcPr>
          <w:p>
            <w:pPr>
              <w:spacing w:after="0"/>
              <w:rPr>
                <w:sz w:val="15"/>
                <w:szCs w:val="15"/>
                <w:color w:val="auto"/>
              </w:rPr>
            </w:pPr>
          </w:p>
        </w:tc>
        <w:tc>
          <w:tcPr>
            <w:tcW w:w="6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12.4</w:t>
            </w:r>
          </w:p>
        </w:tc>
        <w:tc>
          <w:tcPr>
            <w:tcW w:w="300" w:type="dxa"/>
            <w:vAlign w:val="bottom"/>
          </w:tcPr>
          <w:p>
            <w:pPr>
              <w:spacing w:after="0"/>
              <w:rPr>
                <w:sz w:val="15"/>
                <w:szCs w:val="15"/>
                <w:color w:val="auto"/>
              </w:rPr>
            </w:pPr>
          </w:p>
        </w:tc>
      </w:tr>
      <w:tr>
        <w:trPr>
          <w:trHeight w:val="176"/>
        </w:trPr>
        <w:tc>
          <w:tcPr>
            <w:tcW w:w="33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Facilities operations</w:t>
            </w:r>
          </w:p>
        </w:tc>
        <w:tc>
          <w:tcPr>
            <w:tcW w:w="2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11.1</w:t>
            </w:r>
          </w:p>
        </w:tc>
        <w:tc>
          <w:tcPr>
            <w:tcW w:w="2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10.1</w:t>
            </w:r>
          </w:p>
        </w:tc>
        <w:tc>
          <w:tcPr>
            <w:tcW w:w="300" w:type="dxa"/>
            <w:vAlign w:val="bottom"/>
            <w:shd w:val="clear" w:color="auto" w:fill="CCEEFF"/>
          </w:tcPr>
          <w:p>
            <w:pPr>
              <w:spacing w:after="0"/>
              <w:rPr>
                <w:sz w:val="15"/>
                <w:szCs w:val="15"/>
                <w:color w:val="auto"/>
              </w:rPr>
            </w:pPr>
          </w:p>
        </w:tc>
      </w:tr>
      <w:tr>
        <w:trPr>
          <w:trHeight w:val="176"/>
        </w:trPr>
        <w:tc>
          <w:tcPr>
            <w:tcW w:w="3320" w:type="dxa"/>
            <w:vAlign w:val="bottom"/>
          </w:tcPr>
          <w:p>
            <w:pPr>
              <w:spacing w:after="0" w:line="176" w:lineRule="exact"/>
              <w:rPr>
                <w:sz w:val="20"/>
                <w:szCs w:val="20"/>
                <w:color w:val="auto"/>
              </w:rPr>
            </w:pPr>
            <w:r>
              <w:rPr>
                <w:rFonts w:ascii="Arial" w:cs="Arial" w:eastAsia="Arial" w:hAnsi="Arial"/>
                <w:sz w:val="18"/>
                <w:szCs w:val="18"/>
                <w:color w:val="auto"/>
              </w:rPr>
              <w:t>Professional fees</w:t>
            </w:r>
          </w:p>
        </w:tc>
        <w:tc>
          <w:tcPr>
            <w:tcW w:w="2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spacing w:after="0" w:line="176" w:lineRule="exact"/>
              <w:rPr>
                <w:sz w:val="20"/>
                <w:szCs w:val="20"/>
                <w:color w:val="auto"/>
              </w:rPr>
            </w:pPr>
            <w:r>
              <w:rPr>
                <w:rFonts w:ascii="Arial" w:cs="Arial" w:eastAsia="Arial" w:hAnsi="Arial"/>
                <w:sz w:val="18"/>
                <w:szCs w:val="18"/>
                <w:color w:val="auto"/>
              </w:rPr>
              <w:t>2.0</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spacing w:after="0" w:line="176" w:lineRule="exact"/>
              <w:rPr>
                <w:sz w:val="20"/>
                <w:szCs w:val="20"/>
                <w:color w:val="auto"/>
              </w:rPr>
            </w:pPr>
            <w:r>
              <w:rPr>
                <w:rFonts w:ascii="Arial" w:cs="Arial" w:eastAsia="Arial" w:hAnsi="Arial"/>
                <w:sz w:val="18"/>
                <w:szCs w:val="18"/>
                <w:color w:val="auto"/>
              </w:rPr>
              <w:t>1.8</w:t>
            </w:r>
          </w:p>
        </w:tc>
        <w:tc>
          <w:tcPr>
            <w:tcW w:w="200" w:type="dxa"/>
            <w:vAlign w:val="bottom"/>
          </w:tcPr>
          <w:p>
            <w:pPr>
              <w:spacing w:after="0"/>
              <w:rPr>
                <w:sz w:val="15"/>
                <w:szCs w:val="15"/>
                <w:color w:val="auto"/>
              </w:rPr>
            </w:pPr>
          </w:p>
        </w:tc>
        <w:tc>
          <w:tcPr>
            <w:tcW w:w="6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6.4</w:t>
            </w:r>
          </w:p>
        </w:tc>
        <w:tc>
          <w:tcPr>
            <w:tcW w:w="200" w:type="dxa"/>
            <w:vAlign w:val="bottom"/>
          </w:tcPr>
          <w:p>
            <w:pPr>
              <w:spacing w:after="0"/>
              <w:rPr>
                <w:sz w:val="15"/>
                <w:szCs w:val="15"/>
                <w:color w:val="auto"/>
              </w:rPr>
            </w:pPr>
          </w:p>
        </w:tc>
        <w:tc>
          <w:tcPr>
            <w:tcW w:w="6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5.4</w:t>
            </w:r>
          </w:p>
        </w:tc>
        <w:tc>
          <w:tcPr>
            <w:tcW w:w="300" w:type="dxa"/>
            <w:vAlign w:val="bottom"/>
          </w:tcPr>
          <w:p>
            <w:pPr>
              <w:spacing w:after="0"/>
              <w:rPr>
                <w:sz w:val="15"/>
                <w:szCs w:val="15"/>
                <w:color w:val="auto"/>
              </w:rPr>
            </w:pPr>
          </w:p>
        </w:tc>
      </w:tr>
      <w:tr>
        <w:trPr>
          <w:trHeight w:val="176"/>
        </w:trPr>
        <w:tc>
          <w:tcPr>
            <w:tcW w:w="33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Credit card fees</w:t>
            </w:r>
          </w:p>
        </w:tc>
        <w:tc>
          <w:tcPr>
            <w:tcW w:w="2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5.0</w:t>
            </w:r>
          </w:p>
        </w:tc>
        <w:tc>
          <w:tcPr>
            <w:tcW w:w="300" w:type="dxa"/>
            <w:vAlign w:val="bottom"/>
            <w:shd w:val="clear" w:color="auto" w:fill="CCEEFF"/>
          </w:tcPr>
          <w:p>
            <w:pPr>
              <w:spacing w:after="0"/>
              <w:rPr>
                <w:sz w:val="15"/>
                <w:szCs w:val="15"/>
                <w:color w:val="auto"/>
              </w:rPr>
            </w:pPr>
          </w:p>
        </w:tc>
      </w:tr>
      <w:tr>
        <w:trPr>
          <w:trHeight w:val="176"/>
        </w:trPr>
        <w:tc>
          <w:tcPr>
            <w:tcW w:w="3320" w:type="dxa"/>
            <w:vAlign w:val="bottom"/>
          </w:tcPr>
          <w:p>
            <w:pPr>
              <w:spacing w:after="0" w:line="176" w:lineRule="exact"/>
              <w:rPr>
                <w:sz w:val="20"/>
                <w:szCs w:val="20"/>
                <w:color w:val="auto"/>
              </w:rPr>
            </w:pPr>
            <w:r>
              <w:rPr>
                <w:rFonts w:ascii="Arial" w:cs="Arial" w:eastAsia="Arial" w:hAnsi="Arial"/>
                <w:sz w:val="18"/>
                <w:szCs w:val="18"/>
                <w:color w:val="auto"/>
              </w:rPr>
              <w:t>Depreciation and amortization</w:t>
            </w:r>
          </w:p>
        </w:tc>
        <w:tc>
          <w:tcPr>
            <w:tcW w:w="2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spacing w:after="0" w:line="176" w:lineRule="exact"/>
              <w:rPr>
                <w:sz w:val="20"/>
                <w:szCs w:val="20"/>
                <w:color w:val="auto"/>
              </w:rPr>
            </w:pPr>
            <w:r>
              <w:rPr>
                <w:rFonts w:ascii="Arial" w:cs="Arial" w:eastAsia="Arial" w:hAnsi="Arial"/>
                <w:sz w:val="18"/>
                <w:szCs w:val="18"/>
                <w:color w:val="auto"/>
              </w:rPr>
              <w:t>2.9</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spacing w:after="0" w:line="176" w:lineRule="exact"/>
              <w:rPr>
                <w:sz w:val="20"/>
                <w:szCs w:val="20"/>
                <w:color w:val="auto"/>
              </w:rPr>
            </w:pPr>
            <w:r>
              <w:rPr>
                <w:rFonts w:ascii="Arial" w:cs="Arial" w:eastAsia="Arial" w:hAnsi="Arial"/>
                <w:sz w:val="18"/>
                <w:szCs w:val="18"/>
                <w:color w:val="auto"/>
              </w:rPr>
              <w:t>2.7</w:t>
            </w:r>
          </w:p>
        </w:tc>
        <w:tc>
          <w:tcPr>
            <w:tcW w:w="200" w:type="dxa"/>
            <w:vAlign w:val="bottom"/>
          </w:tcPr>
          <w:p>
            <w:pPr>
              <w:spacing w:after="0"/>
              <w:rPr>
                <w:sz w:val="15"/>
                <w:szCs w:val="15"/>
                <w:color w:val="auto"/>
              </w:rPr>
            </w:pPr>
          </w:p>
        </w:tc>
        <w:tc>
          <w:tcPr>
            <w:tcW w:w="6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8.7</w:t>
            </w:r>
          </w:p>
        </w:tc>
        <w:tc>
          <w:tcPr>
            <w:tcW w:w="200" w:type="dxa"/>
            <w:vAlign w:val="bottom"/>
          </w:tcPr>
          <w:p>
            <w:pPr>
              <w:spacing w:after="0"/>
              <w:rPr>
                <w:sz w:val="15"/>
                <w:szCs w:val="15"/>
                <w:color w:val="auto"/>
              </w:rPr>
            </w:pPr>
          </w:p>
        </w:tc>
        <w:tc>
          <w:tcPr>
            <w:tcW w:w="6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7.5</w:t>
            </w:r>
          </w:p>
        </w:tc>
        <w:tc>
          <w:tcPr>
            <w:tcW w:w="300" w:type="dxa"/>
            <w:vAlign w:val="bottom"/>
          </w:tcPr>
          <w:p>
            <w:pPr>
              <w:spacing w:after="0"/>
              <w:rPr>
                <w:sz w:val="15"/>
                <w:szCs w:val="15"/>
                <w:color w:val="auto"/>
              </w:rPr>
            </w:pPr>
          </w:p>
        </w:tc>
      </w:tr>
      <w:tr>
        <w:trPr>
          <w:trHeight w:val="176"/>
        </w:trPr>
        <w:tc>
          <w:tcPr>
            <w:tcW w:w="33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Other, net</w:t>
            </w:r>
          </w:p>
        </w:tc>
        <w:tc>
          <w:tcPr>
            <w:tcW w:w="2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5</w:t>
            </w:r>
          </w:p>
        </w:tc>
        <w:tc>
          <w:tcPr>
            <w:tcW w:w="2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9.</w:t>
            </w:r>
            <w:r>
              <w:rPr>
                <w:rFonts w:ascii="Arial" w:cs="Arial" w:eastAsia="Arial" w:hAnsi="Arial"/>
                <w:sz w:val="18"/>
                <w:szCs w:val="18"/>
                <w:u w:val="single" w:color="auto"/>
                <w:color w:val="auto"/>
              </w:rPr>
              <w:t>0</w:t>
            </w:r>
          </w:p>
        </w:tc>
        <w:tc>
          <w:tcPr>
            <w:tcW w:w="2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6.8</w:t>
            </w:r>
          </w:p>
        </w:tc>
        <w:tc>
          <w:tcPr>
            <w:tcW w:w="300" w:type="dxa"/>
            <w:vAlign w:val="bottom"/>
            <w:shd w:val="clear" w:color="auto" w:fill="CCEEFF"/>
          </w:tcPr>
          <w:p>
            <w:pPr>
              <w:spacing w:after="0"/>
              <w:rPr>
                <w:sz w:val="15"/>
                <w:szCs w:val="15"/>
                <w:color w:val="auto"/>
              </w:rPr>
            </w:pPr>
          </w:p>
        </w:tc>
      </w:tr>
      <w:tr>
        <w:trPr>
          <w:trHeight w:val="176"/>
        </w:trPr>
        <w:tc>
          <w:tcPr>
            <w:tcW w:w="3320" w:type="dxa"/>
            <w:vAlign w:val="bottom"/>
            <w:tcBorders>
              <w:bottom w:val="single" w:sz="8" w:color="CCEEFF"/>
            </w:tcBorders>
          </w:tcPr>
          <w:p>
            <w:pPr>
              <w:ind w:left="320"/>
              <w:spacing w:after="0" w:line="170" w:lineRule="exact"/>
              <w:rPr>
                <w:sz w:val="20"/>
                <w:szCs w:val="20"/>
                <w:color w:val="auto"/>
              </w:rPr>
            </w:pPr>
            <w:r>
              <w:rPr>
                <w:rFonts w:ascii="Arial" w:cs="Arial" w:eastAsia="Arial" w:hAnsi="Arial"/>
                <w:sz w:val="18"/>
                <w:szCs w:val="18"/>
                <w:color w:val="auto"/>
              </w:rPr>
              <w:t>Total</w:t>
            </w:r>
          </w:p>
        </w:tc>
        <w:tc>
          <w:tcPr>
            <w:tcW w:w="22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74.4</w:t>
            </w:r>
          </w:p>
        </w:tc>
        <w:tc>
          <w:tcPr>
            <w:tcW w:w="2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74.5</w:t>
            </w:r>
          </w:p>
        </w:tc>
        <w:tc>
          <w:tcPr>
            <w:tcW w:w="2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89"/>
              </w:rPr>
              <w:t>$ 226.9</w:t>
            </w:r>
          </w:p>
        </w:tc>
        <w:tc>
          <w:tcPr>
            <w:tcW w:w="2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3"/>
              </w:rPr>
              <w:t>$ 214.4</w:t>
            </w:r>
          </w:p>
        </w:tc>
        <w:tc>
          <w:tcPr>
            <w:tcW w:w="300" w:type="dxa"/>
            <w:vAlign w:val="bottom"/>
            <w:tcBorders>
              <w:bottom w:val="single" w:sz="8" w:color="CCEEFF"/>
            </w:tcBorders>
          </w:tcPr>
          <w:p>
            <w:pPr>
              <w:spacing w:after="0"/>
              <w:rPr>
                <w:sz w:val="15"/>
                <w:szCs w:val="15"/>
                <w:color w:val="auto"/>
              </w:rPr>
            </w:pPr>
          </w:p>
        </w:tc>
      </w:tr>
      <w:tr>
        <w:trPr>
          <w:trHeight w:val="196"/>
        </w:trPr>
        <w:tc>
          <w:tcPr>
            <w:tcW w:w="3320" w:type="dxa"/>
            <w:vAlign w:val="bottom"/>
            <w:tcBorders>
              <w:bottom w:val="single" w:sz="8" w:color="CCEEFF"/>
            </w:tcBorders>
            <w:shd w:val="clear" w:color="auto" w:fill="CCEEFF"/>
          </w:tcPr>
          <w:p>
            <w:pPr>
              <w:ind w:left="320"/>
              <w:spacing w:after="0" w:line="176" w:lineRule="exact"/>
              <w:rPr>
                <w:sz w:val="20"/>
                <w:szCs w:val="20"/>
                <w:color w:val="auto"/>
              </w:rPr>
            </w:pPr>
            <w:r>
              <w:rPr>
                <w:rFonts w:ascii="Arial" w:cs="Arial" w:eastAsia="Arial" w:hAnsi="Arial"/>
                <w:sz w:val="18"/>
                <w:szCs w:val="18"/>
                <w:color w:val="auto"/>
              </w:rPr>
              <w:t>Percentage of net sales</w:t>
            </w:r>
          </w:p>
        </w:tc>
        <w:tc>
          <w:tcPr>
            <w:tcW w:w="22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10.2</w:t>
            </w:r>
          </w:p>
        </w:tc>
        <w:tc>
          <w:tcPr>
            <w:tcW w:w="2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87"/>
              </w:rPr>
              <w:t>%</w:t>
            </w: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10.5</w:t>
            </w:r>
          </w:p>
        </w:tc>
        <w:tc>
          <w:tcPr>
            <w:tcW w:w="2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74"/>
              </w:rPr>
              <w:t>%</w:t>
            </w:r>
          </w:p>
        </w:tc>
        <w:tc>
          <w:tcPr>
            <w:tcW w:w="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10.6</w:t>
            </w:r>
          </w:p>
        </w:tc>
        <w:tc>
          <w:tcPr>
            <w:tcW w:w="2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87"/>
              </w:rPr>
              <w:t>%</w:t>
            </w:r>
          </w:p>
        </w:tc>
        <w:tc>
          <w:tcPr>
            <w:tcW w:w="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11.0</w:t>
            </w:r>
          </w:p>
        </w:tc>
        <w:tc>
          <w:tcPr>
            <w:tcW w:w="300" w:type="dxa"/>
            <w:vAlign w:val="bottom"/>
            <w:tcBorders>
              <w:bottom w:val="single" w:sz="8" w:color="CCEEFF"/>
            </w:tcBorders>
            <w:shd w:val="clear" w:color="auto" w:fill="CCEEFF"/>
          </w:tcPr>
          <w:p>
            <w:pPr>
              <w:jc w:val="right"/>
              <w:ind w:right="50"/>
              <w:spacing w:after="0" w:line="176" w:lineRule="exact"/>
              <w:rPr>
                <w:sz w:val="20"/>
                <w:szCs w:val="20"/>
                <w:color w:val="auto"/>
              </w:rPr>
            </w:pPr>
            <w:r>
              <w:rPr>
                <w:rFonts w:ascii="Arial" w:cs="Arial" w:eastAsia="Arial" w:hAnsi="Arial"/>
                <w:sz w:val="18"/>
                <w:szCs w:val="18"/>
                <w:color w:val="auto"/>
                <w:w w:val="87"/>
              </w:rPr>
              <w:t>%</w:t>
            </w:r>
          </w:p>
        </w:tc>
      </w:tr>
      <w:tr>
        <w:trPr>
          <w:trHeight w:val="757"/>
        </w:trPr>
        <w:tc>
          <w:tcPr>
            <w:tcW w:w="3320" w:type="dxa"/>
            <w:vAlign w:val="bottom"/>
          </w:tcPr>
          <w:p>
            <w:pPr>
              <w:spacing w:after="0"/>
              <w:rPr>
                <w:sz w:val="24"/>
                <w:szCs w:val="24"/>
                <w:color w:val="auto"/>
              </w:rPr>
            </w:pPr>
          </w:p>
        </w:tc>
        <w:tc>
          <w:tcPr>
            <w:tcW w:w="2280" w:type="dxa"/>
            <w:vAlign w:val="bottom"/>
          </w:tcPr>
          <w:p>
            <w:pPr>
              <w:jc w:val="right"/>
              <w:ind w:right="89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02"/>
        </w:trPr>
        <w:tc>
          <w:tcPr>
            <w:tcW w:w="3320" w:type="dxa"/>
            <w:vAlign w:val="bottom"/>
            <w:tcBorders>
              <w:bottom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r>
    </w:tbl>
    <w:p>
      <w:pPr>
        <w:sectPr>
          <w:pgSz w:w="11900" w:h="16838" w:orient="portrait"/>
          <w:cols w:equalWidth="0" w:num="1">
            <w:col w:w="9080"/>
          </w:cols>
          <w:pgMar w:left="1420" w:top="112" w:right="139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Year-Over-Year Comparisons</w:t>
      </w:r>
    </w:p>
    <w:p>
      <w:pPr>
        <w:spacing w:after="0" w:line="14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u w:val="single" w:color="auto"/>
          <w:color w:val="auto"/>
        </w:rPr>
        <w:t>Three Months Ended September 30, 2017 Compared to Three Months Ended September 30, 2016</w:t>
      </w:r>
    </w:p>
    <w:p>
      <w:pPr>
        <w:spacing w:after="0" w:line="3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Changes in net sales and gross profit by segment are shown in the following table (dollars 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60" w:type="dxa"/>
            <w:vAlign w:val="bottom"/>
            <w:gridSpan w:val="11"/>
          </w:tcPr>
          <w:p>
            <w:pPr>
              <w:jc w:val="right"/>
              <w:ind w:right="530"/>
              <w:spacing w:after="0"/>
              <w:rPr>
                <w:sz w:val="20"/>
                <w:szCs w:val="20"/>
                <w:color w:val="auto"/>
              </w:rPr>
            </w:pPr>
            <w:r>
              <w:rPr>
                <w:rFonts w:ascii="Arial" w:cs="Arial" w:eastAsia="Arial" w:hAnsi="Arial"/>
                <w:sz w:val="14"/>
                <w:szCs w:val="14"/>
                <w:b w:val="1"/>
                <w:bCs w:val="1"/>
                <w:color w:val="auto"/>
              </w:rPr>
              <w:t>Three Months Ended September 30,</w:t>
            </w: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2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gridSpan w:val="3"/>
          </w:tcPr>
          <w:p>
            <w:pPr>
              <w:jc w:val="right"/>
              <w:ind w:right="20"/>
              <w:spacing w:after="0" w:line="129" w:lineRule="exact"/>
              <w:rPr>
                <w:sz w:val="20"/>
                <w:szCs w:val="20"/>
                <w:color w:val="auto"/>
              </w:rPr>
            </w:pPr>
            <w:r>
              <w:rPr>
                <w:rFonts w:ascii="Arial" w:cs="Arial" w:eastAsia="Arial" w:hAnsi="Arial"/>
                <w:sz w:val="14"/>
                <w:szCs w:val="14"/>
                <w:b w:val="1"/>
                <w:bCs w:val="1"/>
                <w:color w:val="auto"/>
              </w:rPr>
              <w:t>2017</w:t>
            </w:r>
          </w:p>
        </w:tc>
        <w:tc>
          <w:tcPr>
            <w:tcW w:w="50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1220" w:type="dxa"/>
            <w:vAlign w:val="bottom"/>
            <w:tcBorders>
              <w:top w:val="single" w:sz="8" w:color="auto"/>
              <w:bottom w:val="single" w:sz="8" w:color="auto"/>
            </w:tcBorders>
            <w:gridSpan w:val="3"/>
          </w:tcPr>
          <w:p>
            <w:pPr>
              <w:jc w:val="right"/>
              <w:ind w:right="467"/>
              <w:spacing w:after="0" w:line="129"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1"/>
                <w:szCs w:val="11"/>
                <w:color w:val="auto"/>
              </w:rPr>
            </w:pPr>
          </w:p>
        </w:tc>
        <w:tc>
          <w:tcPr>
            <w:tcW w:w="48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32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jc w:val="right"/>
              <w:ind w:right="54"/>
              <w:spacing w:after="0" w:line="102" w:lineRule="exact"/>
              <w:rPr>
                <w:sz w:val="20"/>
                <w:szCs w:val="20"/>
                <w:color w:val="auto"/>
              </w:rPr>
            </w:pPr>
            <w:r>
              <w:rPr>
                <w:rFonts w:ascii="Arial" w:cs="Arial" w:eastAsia="Arial" w:hAnsi="Arial"/>
                <w:sz w:val="11"/>
                <w:szCs w:val="11"/>
                <w:b w:val="1"/>
                <w:bCs w:val="1"/>
                <w:color w:val="auto"/>
              </w:rPr>
              <w:t>% of</w:t>
            </w: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8"/>
                <w:szCs w:val="8"/>
                <w:color w:val="auto"/>
              </w:rPr>
            </w:pPr>
          </w:p>
        </w:tc>
        <w:tc>
          <w:tcPr>
            <w:tcW w:w="580" w:type="dxa"/>
            <w:vAlign w:val="bottom"/>
          </w:tcPr>
          <w:p>
            <w:pPr>
              <w:jc w:val="right"/>
              <w:ind w:right="67"/>
              <w:spacing w:after="0" w:line="102" w:lineRule="exact"/>
              <w:rPr>
                <w:sz w:val="20"/>
                <w:szCs w:val="20"/>
                <w:color w:val="auto"/>
              </w:rPr>
            </w:pPr>
            <w:r>
              <w:rPr>
                <w:rFonts w:ascii="Arial" w:cs="Arial" w:eastAsia="Arial" w:hAnsi="Arial"/>
                <w:sz w:val="11"/>
                <w:szCs w:val="11"/>
                <w:b w:val="1"/>
                <w:bCs w:val="1"/>
                <w:color w:val="auto"/>
              </w:rPr>
              <w:t>% of</w:t>
            </w:r>
          </w:p>
        </w:tc>
        <w:tc>
          <w:tcPr>
            <w:tcW w:w="24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32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80" w:type="dxa"/>
            <w:vAlign w:val="bottom"/>
            <w:gridSpan w:val="6"/>
          </w:tcPr>
          <w:p>
            <w:pPr>
              <w:jc w:val="right"/>
              <w:ind w:right="150"/>
              <w:spacing w:after="0"/>
              <w:rPr>
                <w:sz w:val="20"/>
                <w:szCs w:val="20"/>
                <w:color w:val="auto"/>
              </w:rPr>
            </w:pPr>
            <w:r>
              <w:rPr>
                <w:rFonts w:ascii="Arial" w:cs="Arial" w:eastAsia="Arial" w:hAnsi="Arial"/>
                <w:sz w:val="14"/>
                <w:szCs w:val="14"/>
                <w:b w:val="1"/>
                <w:bCs w:val="1"/>
                <w:color w:val="auto"/>
              </w:rPr>
              <w:t>Amount   Net Sales</w:t>
            </w:r>
          </w:p>
        </w:tc>
        <w:tc>
          <w:tcPr>
            <w:tcW w:w="2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w w:val="85"/>
              </w:rPr>
              <w:t>Net Sales</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69"/>
        </w:trPr>
        <w:tc>
          <w:tcPr>
            <w:tcW w:w="320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Sales:</w:t>
            </w:r>
          </w:p>
        </w:tc>
        <w:tc>
          <w:tcPr>
            <w:tcW w:w="19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200" w:type="dxa"/>
            <w:vAlign w:val="bottom"/>
          </w:tcPr>
          <w:p>
            <w:pPr>
              <w:ind w:left="220"/>
              <w:spacing w:after="0" w:line="176" w:lineRule="exact"/>
              <w:rPr>
                <w:sz w:val="20"/>
                <w:szCs w:val="20"/>
                <w:color w:val="auto"/>
              </w:rPr>
            </w:pPr>
            <w:r>
              <w:rPr>
                <w:rFonts w:ascii="Arial" w:cs="Arial" w:eastAsia="Arial" w:hAnsi="Arial"/>
                <w:sz w:val="18"/>
                <w:szCs w:val="18"/>
                <w:color w:val="auto"/>
              </w:rPr>
              <w:t>SMB</w:t>
            </w:r>
          </w:p>
        </w:tc>
        <w:tc>
          <w:tcPr>
            <w:tcW w:w="20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176" w:lineRule="exact"/>
              <w:rPr>
                <w:sz w:val="20"/>
                <w:szCs w:val="20"/>
                <w:color w:val="auto"/>
              </w:rPr>
            </w:pPr>
            <w:r>
              <w:rPr>
                <w:rFonts w:ascii="Arial" w:cs="Arial" w:eastAsia="Arial" w:hAnsi="Arial"/>
                <w:sz w:val="18"/>
                <w:szCs w:val="18"/>
                <w:color w:val="auto"/>
                <w:w w:val="93"/>
              </w:rPr>
              <w:t>290.6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4"/>
          </w:tcPr>
          <w:p>
            <w:pPr>
              <w:jc w:val="right"/>
              <w:spacing w:after="0" w:line="176" w:lineRule="exact"/>
              <w:rPr>
                <w:sz w:val="20"/>
                <w:szCs w:val="20"/>
                <w:color w:val="auto"/>
              </w:rPr>
            </w:pPr>
            <w:r>
              <w:rPr>
                <w:rFonts w:ascii="Arial" w:cs="Arial" w:eastAsia="Arial" w:hAnsi="Arial"/>
                <w:sz w:val="18"/>
                <w:szCs w:val="18"/>
                <w:color w:val="auto"/>
              </w:rPr>
              <w:t>39.8 % $</w:t>
            </w:r>
          </w:p>
        </w:tc>
        <w:tc>
          <w:tcPr>
            <w:tcW w:w="480" w:type="dxa"/>
            <w:vAlign w:val="bottom"/>
          </w:tcPr>
          <w:p>
            <w:pPr>
              <w:jc w:val="right"/>
              <w:spacing w:after="0" w:line="176" w:lineRule="exact"/>
              <w:rPr>
                <w:sz w:val="20"/>
                <w:szCs w:val="20"/>
                <w:color w:val="auto"/>
              </w:rPr>
            </w:pPr>
            <w:r>
              <w:rPr>
                <w:rFonts w:ascii="Arial" w:cs="Arial" w:eastAsia="Arial" w:hAnsi="Arial"/>
                <w:sz w:val="18"/>
                <w:szCs w:val="18"/>
                <w:color w:val="auto"/>
                <w:w w:val="93"/>
              </w:rPr>
              <w:t>281.9</w:t>
            </w:r>
          </w:p>
        </w:tc>
        <w:tc>
          <w:tcPr>
            <w:tcW w:w="980" w:type="dxa"/>
            <w:vAlign w:val="bottom"/>
            <w:gridSpan w:val="3"/>
          </w:tcPr>
          <w:p>
            <w:pPr>
              <w:jc w:val="right"/>
              <w:ind w:right="10"/>
              <w:spacing w:after="0" w:line="176" w:lineRule="exact"/>
              <w:rPr>
                <w:sz w:val="20"/>
                <w:szCs w:val="20"/>
                <w:color w:val="auto"/>
              </w:rPr>
            </w:pPr>
            <w:r>
              <w:rPr>
                <w:rFonts w:ascii="Arial" w:cs="Arial" w:eastAsia="Arial" w:hAnsi="Arial"/>
                <w:sz w:val="18"/>
                <w:szCs w:val="18"/>
                <w:color w:val="auto"/>
              </w:rPr>
              <w:t>39.8 %</w:t>
            </w:r>
          </w:p>
        </w:tc>
        <w:tc>
          <w:tcPr>
            <w:tcW w:w="78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176"/>
        </w:trPr>
        <w:tc>
          <w:tcPr>
            <w:tcW w:w="32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Large Account</w:t>
            </w:r>
          </w:p>
        </w:tc>
        <w:tc>
          <w:tcPr>
            <w:tcW w:w="1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3"/>
              </w:rPr>
              <w:t>268.0</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36.8</w:t>
            </w: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3"/>
              </w:rPr>
              <w:t>254.3</w:t>
            </w:r>
          </w:p>
        </w:tc>
        <w:tc>
          <w:tcPr>
            <w:tcW w:w="7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35.9</w:t>
            </w:r>
          </w:p>
        </w:tc>
        <w:tc>
          <w:tcPr>
            <w:tcW w:w="2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5.4</w:t>
            </w:r>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0" w:type="dxa"/>
            <w:vAlign w:val="bottom"/>
          </w:tcPr>
          <w:p>
            <w:pPr>
              <w:ind w:left="220"/>
              <w:spacing w:after="0" w:line="176" w:lineRule="exact"/>
              <w:rPr>
                <w:sz w:val="20"/>
                <w:szCs w:val="20"/>
                <w:color w:val="auto"/>
              </w:rPr>
            </w:pPr>
            <w:r>
              <w:rPr>
                <w:rFonts w:ascii="Arial" w:cs="Arial" w:eastAsia="Arial" w:hAnsi="Arial"/>
                <w:sz w:val="18"/>
                <w:szCs w:val="18"/>
                <w:color w:val="auto"/>
              </w:rPr>
              <w:t>Public Sector</w:t>
            </w:r>
          </w:p>
        </w:tc>
        <w:tc>
          <w:tcPr>
            <w:tcW w:w="1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line="176" w:lineRule="exact"/>
              <w:rPr>
                <w:sz w:val="20"/>
                <w:szCs w:val="20"/>
                <w:color w:val="auto"/>
              </w:rPr>
            </w:pPr>
            <w:r>
              <w:rPr>
                <w:rFonts w:ascii="Arial" w:cs="Arial" w:eastAsia="Arial" w:hAnsi="Arial"/>
                <w:sz w:val="18"/>
                <w:szCs w:val="18"/>
                <w:color w:val="auto"/>
                <w:w w:val="93"/>
              </w:rPr>
              <w:t>170.6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spacing w:after="0" w:line="176" w:lineRule="exact"/>
              <w:rPr>
                <w:sz w:val="20"/>
                <w:szCs w:val="20"/>
                <w:color w:val="auto"/>
              </w:rPr>
            </w:pPr>
            <w:r>
              <w:rPr>
                <w:rFonts w:ascii="Arial" w:cs="Arial" w:eastAsia="Arial" w:hAnsi="Arial"/>
                <w:sz w:val="18"/>
                <w:szCs w:val="18"/>
                <w:color w:val="auto"/>
              </w:rPr>
              <w:t>23.4</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spacing w:after="0" w:line="176" w:lineRule="exact"/>
              <w:rPr>
                <w:sz w:val="20"/>
                <w:szCs w:val="20"/>
                <w:color w:val="auto"/>
              </w:rPr>
            </w:pPr>
            <w:r>
              <w:rPr>
                <w:rFonts w:ascii="Arial" w:cs="Arial" w:eastAsia="Arial" w:hAnsi="Arial"/>
                <w:sz w:val="18"/>
                <w:szCs w:val="18"/>
                <w:color w:val="auto"/>
                <w:w w:val="93"/>
              </w:rPr>
              <w:t>172.</w:t>
            </w:r>
            <w:r>
              <w:rPr>
                <w:rFonts w:ascii="Arial" w:cs="Arial" w:eastAsia="Arial" w:hAnsi="Arial"/>
                <w:sz w:val="18"/>
                <w:szCs w:val="18"/>
                <w:u w:val="single" w:color="auto"/>
                <w:color w:val="auto"/>
                <w:w w:val="93"/>
              </w:rPr>
              <w:t>3</w:t>
            </w:r>
          </w:p>
        </w:tc>
        <w:tc>
          <w:tcPr>
            <w:tcW w:w="7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24.3</w:t>
            </w:r>
          </w:p>
        </w:tc>
        <w:tc>
          <w:tcPr>
            <w:tcW w:w="240" w:type="dxa"/>
            <w:vAlign w:val="bottom"/>
          </w:tcPr>
          <w:p>
            <w:pPr>
              <w:spacing w:after="0"/>
              <w:rPr>
                <w:sz w:val="15"/>
                <w:szCs w:val="15"/>
                <w:color w:val="auto"/>
              </w:rPr>
            </w:pPr>
          </w:p>
        </w:tc>
        <w:tc>
          <w:tcPr>
            <w:tcW w:w="480" w:type="dxa"/>
            <w:vAlign w:val="bottom"/>
          </w:tcPr>
          <w:p>
            <w:pPr>
              <w:jc w:val="right"/>
              <w:spacing w:after="0" w:line="176" w:lineRule="exact"/>
              <w:rPr>
                <w:sz w:val="20"/>
                <w:szCs w:val="20"/>
                <w:color w:val="auto"/>
              </w:rPr>
            </w:pPr>
            <w:r>
              <w:rPr>
                <w:rFonts w:ascii="Arial" w:cs="Arial" w:eastAsia="Arial" w:hAnsi="Arial"/>
                <w:sz w:val="18"/>
                <w:szCs w:val="18"/>
                <w:color w:val="auto"/>
              </w:rPr>
              <w:t>(1.0)</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00" w:type="dxa"/>
            <w:vAlign w:val="bottom"/>
            <w:tcBorders>
              <w:top w:val="single" w:sz="8" w:color="CCEEFF"/>
              <w:bottom w:val="single" w:sz="8" w:color="CCEEFF"/>
            </w:tcBorders>
            <w:shd w:val="clear" w:color="auto" w:fill="CCEEFF"/>
          </w:tcPr>
          <w:p>
            <w:pPr>
              <w:ind w:left="320"/>
              <w:spacing w:after="0" w:line="170" w:lineRule="exact"/>
              <w:rPr>
                <w:sz w:val="20"/>
                <w:szCs w:val="20"/>
                <w:color w:val="auto"/>
              </w:rPr>
            </w:pPr>
            <w:r>
              <w:rPr>
                <w:rFonts w:ascii="Arial" w:cs="Arial" w:eastAsia="Arial" w:hAnsi="Arial"/>
                <w:sz w:val="18"/>
                <w:szCs w:val="18"/>
                <w:color w:val="auto"/>
              </w:rPr>
              <w:t>Total</w:t>
            </w:r>
          </w:p>
        </w:tc>
        <w:tc>
          <w:tcPr>
            <w:tcW w:w="19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3"/>
              </w:rPr>
              <w:t>729.2</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7"/>
              </w:rPr>
              <w:t>100.0</w:t>
            </w:r>
          </w:p>
        </w:tc>
        <w:tc>
          <w:tcPr>
            <w:tcW w:w="260" w:type="dxa"/>
            <w:vAlign w:val="bottom"/>
            <w:tcBorders>
              <w:top w:val="single" w:sz="8" w:color="CCEEFF"/>
              <w:bottom w:val="single" w:sz="8" w:color="CCEEFF"/>
            </w:tcBorders>
            <w:gridSpan w:val="2"/>
            <w:shd w:val="clear" w:color="auto" w:fill="CCEEFF"/>
          </w:tcPr>
          <w:p>
            <w:pPr>
              <w:jc w:val="right"/>
              <w:ind w:right="100"/>
              <w:spacing w:after="0" w:line="170" w:lineRule="exact"/>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3"/>
              </w:rPr>
              <w:t>708.5</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100.0</w:t>
            </w:r>
          </w:p>
        </w:tc>
        <w:tc>
          <w:tcPr>
            <w:tcW w:w="240" w:type="dxa"/>
            <w:vAlign w:val="bottom"/>
            <w:tcBorders>
              <w:top w:val="single" w:sz="8" w:color="CCEEFF"/>
              <w:bottom w:val="single" w:sz="8" w:color="CCEEFF"/>
            </w:tcBorders>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74"/>
              </w:rPr>
              <w:t>%</w:t>
            </w:r>
          </w:p>
        </w:tc>
        <w:tc>
          <w:tcPr>
            <w:tcW w:w="780" w:type="dxa"/>
            <w:vAlign w:val="bottom"/>
            <w:tcBorders>
              <w:top w:val="single" w:sz="8" w:color="CCEEFF"/>
              <w:bottom w:val="single" w:sz="8" w:color="CCEEFF"/>
            </w:tcBorders>
            <w:gridSpan w:val="2"/>
            <w:shd w:val="clear" w:color="auto" w:fill="CCEEFF"/>
          </w:tcPr>
          <w:p>
            <w:pPr>
              <w:jc w:val="right"/>
              <w:ind w:right="140"/>
              <w:spacing w:after="0" w:line="170" w:lineRule="exact"/>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163"/>
        </w:trPr>
        <w:tc>
          <w:tcPr>
            <w:tcW w:w="3200" w:type="dxa"/>
            <w:vAlign w:val="bottom"/>
          </w:tcPr>
          <w:p>
            <w:pPr>
              <w:spacing w:after="0" w:line="163" w:lineRule="exact"/>
              <w:rPr>
                <w:sz w:val="20"/>
                <w:szCs w:val="20"/>
                <w:color w:val="auto"/>
              </w:rPr>
            </w:pPr>
            <w:r>
              <w:rPr>
                <w:rFonts w:ascii="Arial" w:cs="Arial" w:eastAsia="Arial" w:hAnsi="Arial"/>
                <w:sz w:val="18"/>
                <w:szCs w:val="18"/>
                <w:color w:val="auto"/>
              </w:rPr>
              <w:t>Gross Profit:</w:t>
            </w:r>
          </w:p>
        </w:tc>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2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SMB</w:t>
            </w:r>
          </w:p>
        </w:tc>
        <w:tc>
          <w:tcPr>
            <w:tcW w:w="20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43.4</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4"/>
            <w:shd w:val="clear" w:color="auto" w:fill="CCEEFF"/>
          </w:tcPr>
          <w:p>
            <w:pPr>
              <w:jc w:val="right"/>
              <w:spacing w:after="0" w:line="176" w:lineRule="exact"/>
              <w:rPr>
                <w:sz w:val="20"/>
                <w:szCs w:val="20"/>
                <w:color w:val="auto"/>
              </w:rPr>
            </w:pPr>
            <w:r>
              <w:rPr>
                <w:rFonts w:ascii="Arial" w:cs="Arial" w:eastAsia="Arial" w:hAnsi="Arial"/>
                <w:sz w:val="18"/>
                <w:szCs w:val="18"/>
                <w:color w:val="auto"/>
              </w:rPr>
              <w:t>14.9 % $</w:t>
            </w:r>
          </w:p>
        </w:tc>
        <w:tc>
          <w:tcPr>
            <w:tcW w:w="4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43.7</w:t>
            </w:r>
          </w:p>
        </w:tc>
        <w:tc>
          <w:tcPr>
            <w:tcW w:w="980" w:type="dxa"/>
            <w:vAlign w:val="bottom"/>
            <w:gridSpan w:val="3"/>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15.5 %</w:t>
            </w:r>
          </w:p>
        </w:tc>
        <w:tc>
          <w:tcPr>
            <w:tcW w:w="78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176"/>
        </w:trPr>
        <w:tc>
          <w:tcPr>
            <w:tcW w:w="3200" w:type="dxa"/>
            <w:vAlign w:val="bottom"/>
          </w:tcPr>
          <w:p>
            <w:pPr>
              <w:ind w:left="220"/>
              <w:spacing w:after="0" w:line="176" w:lineRule="exact"/>
              <w:rPr>
                <w:sz w:val="20"/>
                <w:szCs w:val="20"/>
                <w:color w:val="auto"/>
              </w:rPr>
            </w:pPr>
            <w:r>
              <w:rPr>
                <w:rFonts w:ascii="Arial" w:cs="Arial" w:eastAsia="Arial" w:hAnsi="Arial"/>
                <w:sz w:val="18"/>
                <w:szCs w:val="18"/>
                <w:color w:val="auto"/>
              </w:rPr>
              <w:t>Large Account</w:t>
            </w:r>
          </w:p>
        </w:tc>
        <w:tc>
          <w:tcPr>
            <w:tcW w:w="1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line="176" w:lineRule="exact"/>
              <w:rPr>
                <w:sz w:val="20"/>
                <w:szCs w:val="20"/>
                <w:color w:val="auto"/>
              </w:rPr>
            </w:pPr>
            <w:r>
              <w:rPr>
                <w:rFonts w:ascii="Arial" w:cs="Arial" w:eastAsia="Arial" w:hAnsi="Arial"/>
                <w:sz w:val="18"/>
                <w:szCs w:val="18"/>
                <w:color w:val="auto"/>
              </w:rPr>
              <w:t>34.0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spacing w:after="0" w:line="176" w:lineRule="exact"/>
              <w:rPr>
                <w:sz w:val="20"/>
                <w:szCs w:val="20"/>
                <w:color w:val="auto"/>
              </w:rPr>
            </w:pPr>
            <w:r>
              <w:rPr>
                <w:rFonts w:ascii="Arial" w:cs="Arial" w:eastAsia="Arial" w:hAnsi="Arial"/>
                <w:sz w:val="18"/>
                <w:szCs w:val="18"/>
                <w:color w:val="auto"/>
              </w:rPr>
              <w:t>12.7</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spacing w:after="0" w:line="176" w:lineRule="exact"/>
              <w:rPr>
                <w:sz w:val="20"/>
                <w:szCs w:val="20"/>
                <w:color w:val="auto"/>
              </w:rPr>
            </w:pPr>
            <w:r>
              <w:rPr>
                <w:rFonts w:ascii="Arial" w:cs="Arial" w:eastAsia="Arial" w:hAnsi="Arial"/>
                <w:sz w:val="18"/>
                <w:szCs w:val="18"/>
                <w:color w:val="auto"/>
              </w:rPr>
              <w:t>34.1</w:t>
            </w:r>
          </w:p>
        </w:tc>
        <w:tc>
          <w:tcPr>
            <w:tcW w:w="7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13.4</w:t>
            </w:r>
          </w:p>
        </w:tc>
        <w:tc>
          <w:tcPr>
            <w:tcW w:w="240" w:type="dxa"/>
            <w:vAlign w:val="bottom"/>
          </w:tcPr>
          <w:p>
            <w:pPr>
              <w:spacing w:after="0"/>
              <w:rPr>
                <w:sz w:val="15"/>
                <w:szCs w:val="15"/>
                <w:color w:val="auto"/>
              </w:rPr>
            </w:pPr>
          </w:p>
        </w:tc>
        <w:tc>
          <w:tcPr>
            <w:tcW w:w="480" w:type="dxa"/>
            <w:vAlign w:val="bottom"/>
          </w:tcPr>
          <w:p>
            <w:pPr>
              <w:jc w:val="right"/>
              <w:spacing w:after="0" w:line="176" w:lineRule="exact"/>
              <w:rPr>
                <w:sz w:val="20"/>
                <w:szCs w:val="20"/>
                <w:color w:val="auto"/>
              </w:rPr>
            </w:pPr>
            <w:r>
              <w:rPr>
                <w:rFonts w:ascii="Arial" w:cs="Arial" w:eastAsia="Arial" w:hAnsi="Arial"/>
                <w:sz w:val="18"/>
                <w:szCs w:val="18"/>
                <w:color w:val="auto"/>
              </w:rPr>
              <w:t>(0.2)</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Public Sector</w:t>
            </w:r>
          </w:p>
        </w:tc>
        <w:tc>
          <w:tcPr>
            <w:tcW w:w="19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18.7</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11.0</w:t>
            </w: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19.</w:t>
            </w:r>
            <w:r>
              <w:rPr>
                <w:rFonts w:ascii="Arial" w:cs="Arial" w:eastAsia="Arial" w:hAnsi="Arial"/>
                <w:sz w:val="18"/>
                <w:szCs w:val="18"/>
                <w:u w:val="single" w:color="auto"/>
                <w:color w:val="auto"/>
              </w:rPr>
              <w:t>2</w:t>
            </w:r>
          </w:p>
        </w:tc>
        <w:tc>
          <w:tcPr>
            <w:tcW w:w="7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11.1</w:t>
            </w:r>
          </w:p>
        </w:tc>
        <w:tc>
          <w:tcPr>
            <w:tcW w:w="2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0" w:type="dxa"/>
            <w:vAlign w:val="bottom"/>
          </w:tcPr>
          <w:p>
            <w:pPr>
              <w:ind w:left="320"/>
              <w:spacing w:after="0" w:line="170" w:lineRule="exact"/>
              <w:rPr>
                <w:sz w:val="20"/>
                <w:szCs w:val="20"/>
                <w:color w:val="auto"/>
              </w:rPr>
            </w:pPr>
            <w:r>
              <w:rPr>
                <w:rFonts w:ascii="Arial" w:cs="Arial" w:eastAsia="Arial" w:hAnsi="Arial"/>
                <w:sz w:val="18"/>
                <w:szCs w:val="18"/>
                <w:color w:val="auto"/>
              </w:rPr>
              <w:t>Total</w:t>
            </w:r>
          </w:p>
        </w:tc>
        <w:tc>
          <w:tcPr>
            <w:tcW w:w="190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96.1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spacing w:after="0" w:line="170" w:lineRule="exact"/>
              <w:rPr>
                <w:sz w:val="20"/>
                <w:szCs w:val="20"/>
                <w:color w:val="auto"/>
              </w:rPr>
            </w:pPr>
            <w:r>
              <w:rPr>
                <w:rFonts w:ascii="Arial" w:cs="Arial" w:eastAsia="Arial" w:hAnsi="Arial"/>
                <w:sz w:val="18"/>
                <w:szCs w:val="18"/>
                <w:color w:val="auto"/>
              </w:rPr>
              <w:t>13.2 %</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97.</w:t>
            </w:r>
            <w:r>
              <w:rPr>
                <w:rFonts w:ascii="Arial" w:cs="Arial" w:eastAsia="Arial" w:hAnsi="Arial"/>
                <w:sz w:val="18"/>
                <w:szCs w:val="18"/>
                <w:u w:val="single" w:color="auto"/>
                <w:color w:val="auto"/>
              </w:rPr>
              <w:t>0</w:t>
            </w:r>
          </w:p>
        </w:tc>
        <w:tc>
          <w:tcPr>
            <w:tcW w:w="980" w:type="dxa"/>
            <w:vAlign w:val="bottom"/>
            <w:gridSpan w:val="3"/>
          </w:tcPr>
          <w:p>
            <w:pPr>
              <w:jc w:val="right"/>
              <w:ind w:right="10"/>
              <w:spacing w:after="0" w:line="170" w:lineRule="exact"/>
              <w:rPr>
                <w:sz w:val="20"/>
                <w:szCs w:val="20"/>
                <w:color w:val="auto"/>
              </w:rPr>
            </w:pPr>
            <w:r>
              <w:rPr>
                <w:rFonts w:ascii="Arial" w:cs="Arial" w:eastAsia="Arial" w:hAnsi="Arial"/>
                <w:sz w:val="18"/>
                <w:szCs w:val="18"/>
                <w:color w:val="auto"/>
              </w:rPr>
              <w:t>13.7 %</w:t>
            </w:r>
          </w:p>
        </w:tc>
        <w:tc>
          <w:tcPr>
            <w:tcW w:w="780" w:type="dxa"/>
            <w:vAlign w:val="bottom"/>
            <w:gridSpan w:val="2"/>
          </w:tcPr>
          <w:p>
            <w:pPr>
              <w:jc w:val="right"/>
              <w:ind w:right="140"/>
              <w:spacing w:after="0" w:line="170" w:lineRule="exact"/>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increased in the third quarter of 2017 compared to the third quarter of 2016, as explained below:</w:t>
      </w:r>
    </w:p>
    <w:p>
      <w:pPr>
        <w:spacing w:after="0" w:line="144" w:lineRule="exact"/>
        <w:rPr>
          <w:sz w:val="20"/>
          <w:szCs w:val="20"/>
          <w:color w:val="auto"/>
        </w:rPr>
      </w:pPr>
    </w:p>
    <w:p>
      <w:pPr>
        <w:ind w:left="660" w:right="100" w:hanging="333"/>
        <w:spacing w:after="0" w:line="22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sales for the SMB segment increased due to higher sales of desktops and notebook/mobility products. Desktop sales increased by $6.7 million and notebook/mobility products increased by $7.7 million primarily driven by customer refresh of these client devices.</w:t>
      </w:r>
    </w:p>
    <w:p>
      <w:pPr>
        <w:spacing w:after="0" w:line="82" w:lineRule="exact"/>
        <w:rPr>
          <w:rFonts w:ascii="Arial" w:cs="Arial" w:eastAsia="Arial" w:hAnsi="Arial"/>
          <w:sz w:val="18"/>
          <w:szCs w:val="18"/>
          <w:color w:val="auto"/>
        </w:rPr>
      </w:pPr>
    </w:p>
    <w:p>
      <w:pPr>
        <w:ind w:left="660" w:hanging="333"/>
        <w:spacing w:after="0" w:line="232"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Net sales for the Large Account segment increased due to higher sales of software and mobility. On a dollar basis, software and mobility product revenues increased by $4.0 million and $3.1 million, respectively in the third quarter. Software increased by 6% due to increased demand of security and office productivity products. Mobility increased by 6% due to Large Account customers refresh of client devices.</w:t>
      </w:r>
    </w:p>
    <w:p>
      <w:pPr>
        <w:spacing w:after="0" w:line="81" w:lineRule="exact"/>
        <w:rPr>
          <w:rFonts w:ascii="Arial" w:cs="Arial" w:eastAsia="Arial" w:hAnsi="Arial"/>
          <w:sz w:val="17"/>
          <w:szCs w:val="17"/>
          <w:color w:val="auto"/>
        </w:rPr>
      </w:pPr>
    </w:p>
    <w:p>
      <w:pPr>
        <w:ind w:left="660" w:right="60" w:hanging="333"/>
        <w:spacing w:after="0" w:line="241"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Net sales to the Public Sector segment decreased in the quarter. Net sales to state and local government and educational institutions decreased by $3.0 million primarily due to lower sales to higher education customers. Net sales to the federal government however increased by $1.3 million as federal defense spending continued to grow in the quarter. On a dollar basis, mobility, servers/storage, and other hardware/services decreased $10.1 million, $4.1 million, and $3.8 million, respectively, in the third quarter. The decrease in these product sales were offset by an increase of $17.6 million in software sales driven by security and office productivity products.</w:t>
      </w:r>
    </w:p>
    <w:p>
      <w:pPr>
        <w:spacing w:after="0" w:line="120" w:lineRule="exact"/>
        <w:rPr>
          <w:sz w:val="20"/>
          <w:szCs w:val="20"/>
          <w:color w:val="auto"/>
        </w:rPr>
      </w:pPr>
    </w:p>
    <w:p>
      <w:pPr>
        <w:ind w:right="480" w:firstLine="324"/>
        <w:spacing w:after="0" w:line="235"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for the third quarter of 2017 decreased year over year in dollars and as a percentage of net sales (gross</w:t>
      </w:r>
      <w:r>
        <w:rPr>
          <w:rFonts w:ascii="Arial" w:cs="Arial" w:eastAsia="Arial" w:hAnsi="Arial"/>
          <w:sz w:val="18"/>
          <w:szCs w:val="18"/>
          <w:i w:val="1"/>
          <w:iCs w:val="1"/>
          <w:color w:val="auto"/>
        </w:rPr>
        <w:t xml:space="preserve"> </w:t>
      </w:r>
      <w:r>
        <w:rPr>
          <w:rFonts w:ascii="Arial" w:cs="Arial" w:eastAsia="Arial" w:hAnsi="Arial"/>
          <w:sz w:val="18"/>
          <w:szCs w:val="18"/>
          <w:color w:val="auto"/>
        </w:rPr>
        <w:t>margin), as explained below:</w:t>
      </w:r>
    </w:p>
    <w:p>
      <w:pPr>
        <w:spacing w:after="0" w:line="121" w:lineRule="exact"/>
        <w:rPr>
          <w:sz w:val="20"/>
          <w:szCs w:val="20"/>
          <w:color w:val="auto"/>
        </w:rPr>
      </w:pPr>
    </w:p>
    <w:p>
      <w:pPr>
        <w:ind w:left="660" w:right="60" w:hanging="333"/>
        <w:spacing w:after="0" w:line="226"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Gross profit for the SMB segment decreased due to lower invoice selling margins. Invoice selling margins decreased by 91 basis points due to lower vendor funding and a shift in both client and product mix, which included increased sales of lower-margin transactional products (notebooks/mobility and desktops). We also receive agency fees from suppliers for certain software and hardware sales which are recorded as revenue with no corresponding cost of goods sold, and accordingly such fees have a positive impact on gross margin. A 30 basis point increases in these agency revenues partially offset the decrease in invoice selling margins.</w:t>
      </w:r>
    </w:p>
    <w:p>
      <w:pPr>
        <w:spacing w:after="0" w:line="84" w:lineRule="exact"/>
        <w:rPr>
          <w:rFonts w:ascii="Arial" w:cs="Arial" w:eastAsia="Arial" w:hAnsi="Arial"/>
          <w:sz w:val="17"/>
          <w:szCs w:val="17"/>
          <w:color w:val="auto"/>
        </w:rPr>
      </w:pPr>
    </w:p>
    <w:p>
      <w:pPr>
        <w:jc w:val="both"/>
        <w:ind w:left="660" w:right="20" w:hanging="333"/>
        <w:spacing w:after="0" w:line="22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Gross profit for the Large Account segment decreased due to lower invoice selling margins. Invoice selling margins decreased by 101 basis points in the quarter due to a hyper-competitive demand environment. This margin decrease was partially offset by higher agency revenues (14 basis points).</w:t>
      </w:r>
    </w:p>
    <w:p>
      <w:pPr>
        <w:spacing w:after="0" w:line="82" w:lineRule="exact"/>
        <w:rPr>
          <w:rFonts w:ascii="Arial" w:cs="Arial" w:eastAsia="Arial" w:hAnsi="Arial"/>
          <w:sz w:val="18"/>
          <w:szCs w:val="18"/>
          <w:color w:val="auto"/>
        </w:rPr>
      </w:pPr>
    </w:p>
    <w:p>
      <w:pPr>
        <w:ind w:left="660" w:right="720" w:hanging="333"/>
        <w:spacing w:after="0" w:line="25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Gross profit for the Public Sector segment decreased due to a decrease in both net sales and invoice selling margins. Invoice selling margins decreased by 18 basis points due to lower vendor funding.</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right="140" w:firstLine="324"/>
        <w:spacing w:after="0" w:line="238"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decreased in dollars and as a percentage of net sales in the third quarter of</w:t>
      </w:r>
      <w:r>
        <w:rPr>
          <w:rFonts w:ascii="Arial" w:cs="Arial" w:eastAsia="Arial" w:hAnsi="Arial"/>
          <w:sz w:val="17"/>
          <w:szCs w:val="17"/>
          <w:i w:val="1"/>
          <w:iCs w:val="1"/>
          <w:color w:val="auto"/>
        </w:rPr>
        <w:t xml:space="preserve"> </w:t>
      </w:r>
      <w:r>
        <w:rPr>
          <w:rFonts w:ascii="Arial" w:cs="Arial" w:eastAsia="Arial" w:hAnsi="Arial"/>
          <w:sz w:val="17"/>
          <w:szCs w:val="17"/>
          <w:color w:val="auto"/>
        </w:rPr>
        <w:t>2017 compared to the prior year quarter. SG&amp;A expenses attributable to our three segments and the remaining unallocated Headquarters/Other group expenses are summarized in the table below (dollars in millions):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0" w:type="dxa"/>
            <w:vAlign w:val="bottom"/>
            <w:gridSpan w:val="8"/>
          </w:tcPr>
          <w:p>
            <w:pPr>
              <w:jc w:val="right"/>
              <w:ind w:right="630"/>
              <w:spacing w:after="0"/>
              <w:rPr>
                <w:sz w:val="20"/>
                <w:szCs w:val="20"/>
                <w:color w:val="auto"/>
              </w:rPr>
            </w:pPr>
            <w:r>
              <w:rPr>
                <w:rFonts w:ascii="Arial" w:cs="Arial" w:eastAsia="Arial" w:hAnsi="Arial"/>
                <w:sz w:val="14"/>
                <w:szCs w:val="14"/>
                <w:b w:val="1"/>
                <w:bCs w:val="1"/>
                <w:color w:val="auto"/>
              </w:rPr>
              <w:t>Three Months Ended September 30,</w:t>
            </w: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6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2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gridSpan w:val="2"/>
          </w:tcPr>
          <w:p>
            <w:pPr>
              <w:jc w:val="right"/>
              <w:ind w:right="507"/>
              <w:spacing w:after="0" w:line="129"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gridSpan w:val="2"/>
          </w:tcPr>
          <w:p>
            <w:pPr>
              <w:jc w:val="right"/>
              <w:ind w:right="507"/>
              <w:spacing w:after="0" w:line="129"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36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 of</w:t>
            </w: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 of Net</w:t>
            </w:r>
          </w:p>
        </w:tc>
        <w:tc>
          <w:tcPr>
            <w:tcW w:w="240" w:type="dxa"/>
            <w:vAlign w:val="bottom"/>
          </w:tcPr>
          <w:p>
            <w:pPr>
              <w:spacing w:after="0"/>
              <w:rPr>
                <w:sz w:val="8"/>
                <w:szCs w:val="8"/>
                <w:color w:val="auto"/>
              </w:rPr>
            </w:pPr>
          </w:p>
        </w:tc>
        <w:tc>
          <w:tcPr>
            <w:tcW w:w="48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6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1"/>
                <w:szCs w:val="11"/>
                <w:color w:val="auto"/>
              </w:rPr>
            </w:pPr>
          </w:p>
        </w:tc>
        <w:tc>
          <w:tcPr>
            <w:tcW w:w="1020" w:type="dxa"/>
            <w:vAlign w:val="bottom"/>
            <w:gridSpan w:val="2"/>
          </w:tcPr>
          <w:p>
            <w:pPr>
              <w:jc w:val="center"/>
              <w:ind w:right="150"/>
              <w:spacing w:after="0" w:line="135" w:lineRule="exact"/>
              <w:rPr>
                <w:sz w:val="20"/>
                <w:szCs w:val="20"/>
                <w:color w:val="auto"/>
              </w:rPr>
            </w:pPr>
            <w:r>
              <w:rPr>
                <w:rFonts w:ascii="Arial" w:cs="Arial" w:eastAsia="Arial" w:hAnsi="Arial"/>
                <w:sz w:val="14"/>
                <w:szCs w:val="14"/>
                <w:b w:val="1"/>
                <w:bCs w:val="1"/>
                <w:color w:val="auto"/>
                <w:w w:val="91"/>
              </w:rPr>
              <w:t>Segment Net</w:t>
            </w: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1"/>
                <w:szCs w:val="11"/>
                <w:color w:val="auto"/>
              </w:rPr>
            </w:pPr>
          </w:p>
        </w:tc>
        <w:tc>
          <w:tcPr>
            <w:tcW w:w="1020" w:type="dxa"/>
            <w:vAlign w:val="bottom"/>
            <w:gridSpan w:val="2"/>
          </w:tcPr>
          <w:p>
            <w:pPr>
              <w:jc w:val="center"/>
              <w:ind w:right="150"/>
              <w:spacing w:after="0" w:line="135" w:lineRule="exact"/>
              <w:rPr>
                <w:sz w:val="20"/>
                <w:szCs w:val="20"/>
                <w:color w:val="auto"/>
              </w:rPr>
            </w:pPr>
            <w:r>
              <w:rPr>
                <w:rFonts w:ascii="Arial" w:cs="Arial" w:eastAsia="Arial" w:hAnsi="Arial"/>
                <w:sz w:val="14"/>
                <w:szCs w:val="14"/>
                <w:b w:val="1"/>
                <w:bCs w:val="1"/>
                <w:color w:val="auto"/>
                <w:w w:val="91"/>
              </w:rPr>
              <w:t>Segment Net</w:t>
            </w:r>
          </w:p>
        </w:tc>
        <w:tc>
          <w:tcPr>
            <w:tcW w:w="4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87"/>
              </w:rPr>
              <w:t>Sales</w:t>
            </w:r>
          </w:p>
        </w:tc>
        <w:tc>
          <w:tcPr>
            <w:tcW w:w="5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w w:val="81"/>
              </w:rPr>
              <w:t>Sales</w:t>
            </w:r>
          </w:p>
        </w:tc>
        <w:tc>
          <w:tcPr>
            <w:tcW w:w="78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69"/>
        </w:trPr>
        <w:tc>
          <w:tcPr>
            <w:tcW w:w="360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SMB</w:t>
            </w:r>
          </w:p>
        </w:tc>
        <w:tc>
          <w:tcPr>
            <w:tcW w:w="128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1"/>
              </w:rPr>
              <w:t>$ 33.8</w:t>
            </w:r>
          </w:p>
        </w:tc>
        <w:tc>
          <w:tcPr>
            <w:tcW w:w="16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11.6</w:t>
            </w:r>
          </w:p>
        </w:tc>
        <w:tc>
          <w:tcPr>
            <w:tcW w:w="240" w:type="dxa"/>
            <w:vAlign w:val="bottom"/>
            <w:tcBorders>
              <w:top w:val="single" w:sz="8" w:color="CCEEFF"/>
            </w:tcBorders>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74"/>
              </w:rPr>
              <w:t>%</w:t>
            </w:r>
          </w:p>
        </w:tc>
        <w:tc>
          <w:tcPr>
            <w:tcW w:w="5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1"/>
              </w:rPr>
              <w:t>$ 33.7</w:t>
            </w:r>
          </w:p>
        </w:tc>
        <w:tc>
          <w:tcPr>
            <w:tcW w:w="16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11.9</w:t>
            </w:r>
          </w:p>
        </w:tc>
        <w:tc>
          <w:tcPr>
            <w:tcW w:w="240" w:type="dxa"/>
            <w:vAlign w:val="bottom"/>
            <w:tcBorders>
              <w:top w:val="single" w:sz="8" w:color="CCEEFF"/>
            </w:tcBorders>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74"/>
              </w:rPr>
              <w:t>%</w:t>
            </w:r>
          </w:p>
        </w:tc>
        <w:tc>
          <w:tcPr>
            <w:tcW w:w="4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0.3</w:t>
            </w:r>
          </w:p>
        </w:tc>
        <w:tc>
          <w:tcPr>
            <w:tcW w:w="300" w:type="dxa"/>
            <w:vAlign w:val="bottom"/>
            <w:tcBorders>
              <w:top w:val="single" w:sz="8" w:color="CCEEFF"/>
            </w:tcBorders>
            <w:shd w:val="clear" w:color="auto" w:fill="CCEEFF"/>
          </w:tcPr>
          <w:p>
            <w:pPr>
              <w:jc w:val="right"/>
              <w:ind w:right="50"/>
              <w:spacing w:after="0" w:line="170"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76"/>
        </w:trPr>
        <w:tc>
          <w:tcPr>
            <w:tcW w:w="3600" w:type="dxa"/>
            <w:vAlign w:val="bottom"/>
          </w:tcPr>
          <w:p>
            <w:pPr>
              <w:spacing w:after="0" w:line="176" w:lineRule="exact"/>
              <w:rPr>
                <w:sz w:val="20"/>
                <w:szCs w:val="20"/>
                <w:color w:val="auto"/>
              </w:rPr>
            </w:pPr>
            <w:r>
              <w:rPr>
                <w:rFonts w:ascii="Arial" w:cs="Arial" w:eastAsia="Arial" w:hAnsi="Arial"/>
                <w:sz w:val="18"/>
                <w:szCs w:val="18"/>
                <w:color w:val="auto"/>
              </w:rPr>
              <w:t>Large Account</w:t>
            </w:r>
          </w:p>
        </w:tc>
        <w:tc>
          <w:tcPr>
            <w:tcW w:w="18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21.7</w:t>
            </w:r>
          </w:p>
        </w:tc>
        <w:tc>
          <w:tcPr>
            <w:tcW w:w="9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8.1</w:t>
            </w:r>
          </w:p>
        </w:tc>
        <w:tc>
          <w:tcPr>
            <w:tcW w:w="24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8"/>
                <w:szCs w:val="18"/>
                <w:color w:val="auto"/>
              </w:rPr>
              <w:t>22.3</w:t>
            </w:r>
          </w:p>
        </w:tc>
        <w:tc>
          <w:tcPr>
            <w:tcW w:w="9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8.8</w:t>
            </w:r>
          </w:p>
        </w:tc>
        <w:tc>
          <w:tcPr>
            <w:tcW w:w="240" w:type="dxa"/>
            <w:vAlign w:val="bottom"/>
          </w:tcPr>
          <w:p>
            <w:pPr>
              <w:spacing w:after="0"/>
              <w:rPr>
                <w:sz w:val="15"/>
                <w:szCs w:val="15"/>
                <w:color w:val="auto"/>
              </w:rPr>
            </w:pPr>
          </w:p>
        </w:tc>
        <w:tc>
          <w:tcPr>
            <w:tcW w:w="480" w:type="dxa"/>
            <w:vAlign w:val="bottom"/>
          </w:tcPr>
          <w:p>
            <w:pPr>
              <w:jc w:val="right"/>
              <w:spacing w:after="0" w:line="176" w:lineRule="exact"/>
              <w:rPr>
                <w:sz w:val="20"/>
                <w:szCs w:val="20"/>
                <w:color w:val="auto"/>
              </w:rPr>
            </w:pPr>
            <w:r>
              <w:rPr>
                <w:rFonts w:ascii="Arial" w:cs="Arial" w:eastAsia="Arial" w:hAnsi="Arial"/>
                <w:sz w:val="18"/>
                <w:szCs w:val="18"/>
                <w:color w:val="auto"/>
              </w:rPr>
              <w:t>(2.7)</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Public Sector</w:t>
            </w:r>
          </w:p>
        </w:tc>
        <w:tc>
          <w:tcPr>
            <w:tcW w:w="18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15.9</w:t>
            </w:r>
          </w:p>
        </w:tc>
        <w:tc>
          <w:tcPr>
            <w:tcW w:w="9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9.3</w:t>
            </w: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15.6</w:t>
            </w:r>
          </w:p>
        </w:tc>
        <w:tc>
          <w:tcPr>
            <w:tcW w:w="9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9.0</w:t>
            </w:r>
          </w:p>
        </w:tc>
        <w:tc>
          <w:tcPr>
            <w:tcW w:w="2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00" w:type="dxa"/>
            <w:vAlign w:val="bottom"/>
          </w:tcPr>
          <w:p>
            <w:pPr>
              <w:spacing w:after="0" w:line="176" w:lineRule="exact"/>
              <w:rPr>
                <w:sz w:val="20"/>
                <w:szCs w:val="20"/>
                <w:color w:val="auto"/>
              </w:rPr>
            </w:pPr>
            <w:r>
              <w:rPr>
                <w:rFonts w:ascii="Arial" w:cs="Arial" w:eastAsia="Arial" w:hAnsi="Arial"/>
                <w:sz w:val="18"/>
                <w:szCs w:val="18"/>
                <w:color w:val="auto"/>
              </w:rPr>
              <w:t>Headquarters/Other, unallocated</w:t>
            </w:r>
          </w:p>
        </w:tc>
        <w:tc>
          <w:tcPr>
            <w:tcW w:w="18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3.0</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9</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jc w:val="right"/>
              <w:spacing w:after="0" w:line="176" w:lineRule="exact"/>
              <w:rPr>
                <w:sz w:val="20"/>
                <w:szCs w:val="20"/>
                <w:color w:val="auto"/>
              </w:rPr>
            </w:pPr>
            <w:r>
              <w:rPr>
                <w:rFonts w:ascii="Arial" w:cs="Arial" w:eastAsia="Arial" w:hAnsi="Arial"/>
                <w:sz w:val="18"/>
                <w:szCs w:val="18"/>
                <w:color w:val="auto"/>
              </w:rPr>
              <w:t>3.4</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00" w:type="dxa"/>
            <w:vAlign w:val="bottom"/>
            <w:tcBorders>
              <w:top w:val="single" w:sz="8" w:color="CCEEFF"/>
              <w:bottom w:val="single" w:sz="8" w:color="CCEEFF"/>
            </w:tcBorders>
            <w:shd w:val="clear" w:color="auto" w:fill="CCEEFF"/>
          </w:tcPr>
          <w:p>
            <w:pPr>
              <w:ind w:left="320"/>
              <w:spacing w:after="0" w:line="170" w:lineRule="exact"/>
              <w:rPr>
                <w:sz w:val="20"/>
                <w:szCs w:val="20"/>
                <w:color w:val="auto"/>
              </w:rPr>
            </w:pPr>
            <w:r>
              <w:rPr>
                <w:rFonts w:ascii="Arial" w:cs="Arial" w:eastAsia="Arial" w:hAnsi="Arial"/>
                <w:sz w:val="18"/>
                <w:szCs w:val="18"/>
                <w:color w:val="auto"/>
              </w:rPr>
              <w:t>Total</w:t>
            </w:r>
          </w:p>
        </w:tc>
        <w:tc>
          <w:tcPr>
            <w:tcW w:w="1280" w:type="dxa"/>
            <w:vAlign w:val="bottom"/>
            <w:tcBorders>
              <w:top w:val="single" w:sz="8" w:color="CCEEFF"/>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1"/>
              </w:rPr>
              <w:t>$ 74.4</w:t>
            </w:r>
          </w:p>
        </w:tc>
        <w:tc>
          <w:tcPr>
            <w:tcW w:w="1180" w:type="dxa"/>
            <w:vAlign w:val="bottom"/>
            <w:tcBorders>
              <w:top w:val="single" w:sz="8" w:color="CCEEFF"/>
              <w:bottom w:val="single" w:sz="8" w:color="CCEEFF"/>
            </w:tcBorders>
            <w:gridSpan w:val="3"/>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rPr>
              <w:t>10.2 %</w:t>
            </w:r>
          </w:p>
        </w:tc>
        <w:tc>
          <w:tcPr>
            <w:tcW w:w="5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1"/>
              </w:rPr>
              <w:t>$ 74.5</w:t>
            </w:r>
          </w:p>
        </w:tc>
        <w:tc>
          <w:tcPr>
            <w:tcW w:w="1180" w:type="dxa"/>
            <w:vAlign w:val="bottom"/>
            <w:tcBorders>
              <w:top w:val="single" w:sz="8" w:color="CCEEFF"/>
              <w:bottom w:val="single" w:sz="8" w:color="CCEEFF"/>
            </w:tcBorders>
            <w:gridSpan w:val="3"/>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rPr>
              <w:t>10.5 %</w:t>
            </w:r>
          </w:p>
        </w:tc>
        <w:tc>
          <w:tcPr>
            <w:tcW w:w="780" w:type="dxa"/>
            <w:vAlign w:val="bottom"/>
            <w:tcBorders>
              <w:top w:val="single" w:sz="8" w:color="CCEEFF"/>
              <w:bottom w:val="single" w:sz="8" w:color="CCEEFF"/>
            </w:tcBorders>
            <w:gridSpan w:val="2"/>
            <w:shd w:val="clear" w:color="auto" w:fill="CCEEFF"/>
          </w:tcPr>
          <w:p>
            <w:pPr>
              <w:jc w:val="right"/>
              <w:ind w:right="50"/>
              <w:spacing w:after="0" w:line="170" w:lineRule="exact"/>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660" w:right="160" w:hanging="333"/>
        <w:spacing w:after="0" w:line="259"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SG&amp;A expenses for the SMB segment increased in dollars, but decreased as a percentage of net sales. The year-over year increase in SG&amp;A dollars was due to $0.1 million of higher usage of Headquarter services. The decrease in SG&amp;A as a percentage of net sales was due to the leveraging of fixed costs over larger net sales.</w:t>
      </w:r>
    </w:p>
    <w:p>
      <w:pPr>
        <w:spacing w:after="0" w:line="66" w:lineRule="exact"/>
        <w:rPr>
          <w:rFonts w:ascii="Arial" w:cs="Arial" w:eastAsia="Arial" w:hAnsi="Arial"/>
          <w:sz w:val="16"/>
          <w:szCs w:val="16"/>
          <w:color w:val="auto"/>
        </w:rPr>
      </w:pPr>
    </w:p>
    <w:p>
      <w:pPr>
        <w:ind w:left="660" w:right="60" w:hanging="333"/>
        <w:spacing w:after="0" w:line="21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SG&amp;A expenses for the Large Account segment decreased in dollars and as a percentage of net sales. The year-over-year decrease in SG&amp;A dollars was due to a decrease of $1.0 million in personnel costs related to cost reductions implemented in April 2017 and transfers of technical staff to Headquarters, offset by an increase in bad debt expense of $0.3 million. The decrease in SG&amp;A as a percentage of net sales was due to the leveraging of fixed costs over larger net sales.</w:t>
      </w:r>
    </w:p>
    <w:p>
      <w:pPr>
        <w:spacing w:after="0" w:line="81" w:lineRule="exact"/>
        <w:rPr>
          <w:rFonts w:ascii="Arial" w:cs="Arial" w:eastAsia="Arial" w:hAnsi="Arial"/>
          <w:sz w:val="18"/>
          <w:szCs w:val="18"/>
          <w:color w:val="auto"/>
        </w:rPr>
      </w:pPr>
    </w:p>
    <w:p>
      <w:pPr>
        <w:ind w:left="660" w:right="140" w:hanging="333"/>
        <w:spacing w:after="0" w:line="22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SG&amp;A expenses for the Public Sector segment increased in dollars and as a percentage of net sales. The year-over-year increase in SG&amp;A dollars was primarily due to an increase of $0.2 million of personnel costs related to the transfers of technical solutions staff from Headquarters.</w:t>
      </w:r>
    </w:p>
    <w:p>
      <w:pPr>
        <w:spacing w:after="0" w:line="82" w:lineRule="exact"/>
        <w:rPr>
          <w:rFonts w:ascii="Arial" w:cs="Arial" w:eastAsia="Arial" w:hAnsi="Arial"/>
          <w:sz w:val="18"/>
          <w:szCs w:val="18"/>
          <w:color w:val="auto"/>
        </w:rPr>
      </w:pPr>
    </w:p>
    <w:p>
      <w:pPr>
        <w:ind w:left="660" w:right="200" w:hanging="333"/>
        <w:spacing w:after="0" w:line="232"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SG&amp;A expenses for the Headquarters/Other group increased due to an increase in unallocated executive oversight costs. The Headquarters/Other group provides services to the three segments in areas such as finance, human resources, IT, marketing, and product management. Most of the operating costs associated with such corporate Headquarters services are charged to the segments based on their estimated usage of the underlying services. The amounts shown above represent the remaining unallocated costs.</w:t>
      </w:r>
    </w:p>
    <w:p>
      <w:pPr>
        <w:spacing w:after="0" w:line="122" w:lineRule="exact"/>
        <w:rPr>
          <w:sz w:val="20"/>
          <w:szCs w:val="20"/>
          <w:color w:val="auto"/>
        </w:rPr>
      </w:pPr>
    </w:p>
    <w:p>
      <w:pPr>
        <w:ind w:right="100" w:firstLine="324"/>
        <w:spacing w:after="0" w:line="224" w:lineRule="auto"/>
        <w:rPr>
          <w:sz w:val="20"/>
          <w:szCs w:val="20"/>
          <w:color w:val="auto"/>
        </w:rPr>
      </w:pPr>
      <w:r>
        <w:rPr>
          <w:rFonts w:ascii="Arial" w:cs="Arial" w:eastAsia="Arial" w:hAnsi="Arial"/>
          <w:sz w:val="18"/>
          <w:szCs w:val="18"/>
          <w:i w:val="1"/>
          <w:iCs w:val="1"/>
          <w:color w:val="auto"/>
        </w:rPr>
        <w:t xml:space="preserve">Income from operations </w:t>
      </w:r>
      <w:r>
        <w:rPr>
          <w:rFonts w:ascii="Arial" w:cs="Arial" w:eastAsia="Arial" w:hAnsi="Arial"/>
          <w:sz w:val="18"/>
          <w:szCs w:val="18"/>
          <w:color w:val="auto"/>
        </w:rPr>
        <w:t>for the third quarter of 2017 decreased to $21.7 million, compared to $22.4 million for the third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2016, due to the decrease in gross profit. Income from operations as a percentage of net sales was 3.0% for the third quarter of 2017, compared to 3.2% of net sales for the prior year quarter.</w:t>
      </w:r>
    </w:p>
    <w:p>
      <w:pPr>
        <w:spacing w:after="0" w:line="123"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Our effective tax rate was 39.6% for the third quarter of 2017, compared to 39.4% for the third quarter of 2016. Our tax rate will vary based on fluctuations in state tax levels for certain subsidiaries, valuation reserves, and accounting for uncertain tax positions.</w:t>
      </w:r>
    </w:p>
    <w:p>
      <w:pPr>
        <w:spacing w:after="0" w:line="123" w:lineRule="exact"/>
        <w:rPr>
          <w:sz w:val="20"/>
          <w:szCs w:val="20"/>
          <w:color w:val="auto"/>
        </w:rPr>
      </w:pPr>
    </w:p>
    <w:p>
      <w:pPr>
        <w:ind w:right="260" w:firstLine="324"/>
        <w:spacing w:after="0" w:line="235"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for the third quarter of 2017 decreased to $13.1 million, compared to $13.6 million for the third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2016, due to the decrease in operating income.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u w:val="single" w:color="auto"/>
          <w:color w:val="auto"/>
        </w:rPr>
        <w:t>Nine Months Ended September 30, 2017 Compared to Nine Months Ended September 30, 2016</w:t>
      </w:r>
    </w:p>
    <w:p>
      <w:pPr>
        <w:spacing w:after="0" w:line="3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Changes in net sales and gross profit by segment are shown in the following table (dollars 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80" w:type="dxa"/>
            <w:vAlign w:val="bottom"/>
            <w:gridSpan w:val="9"/>
          </w:tcPr>
          <w:p>
            <w:pPr>
              <w:jc w:val="right"/>
              <w:ind w:right="710"/>
              <w:spacing w:after="0"/>
              <w:rPr>
                <w:sz w:val="20"/>
                <w:szCs w:val="20"/>
                <w:color w:val="auto"/>
              </w:rPr>
            </w:pPr>
            <w:r>
              <w:rPr>
                <w:rFonts w:ascii="Arial" w:cs="Arial" w:eastAsia="Arial" w:hAnsi="Arial"/>
                <w:sz w:val="14"/>
                <w:szCs w:val="14"/>
                <w:b w:val="1"/>
                <w:bCs w:val="1"/>
                <w:color w:val="auto"/>
              </w:rPr>
              <w:t>Nine Months Ended September 30,</w:t>
            </w: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0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gridSpan w:val="2"/>
          </w:tcPr>
          <w:p>
            <w:pPr>
              <w:jc w:val="right"/>
              <w:ind w:right="20"/>
              <w:spacing w:after="0" w:line="129"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gridSpan w:val="2"/>
          </w:tcPr>
          <w:p>
            <w:pPr>
              <w:jc w:val="right"/>
              <w:ind w:right="20"/>
              <w:spacing w:after="0" w:line="129" w:lineRule="exact"/>
              <w:rPr>
                <w:sz w:val="20"/>
                <w:szCs w:val="20"/>
                <w:color w:val="auto"/>
              </w:rPr>
            </w:pPr>
            <w:r>
              <w:rPr>
                <w:rFonts w:ascii="Arial" w:cs="Arial" w:eastAsia="Arial" w:hAnsi="Arial"/>
                <w:sz w:val="14"/>
                <w:szCs w:val="14"/>
                <w:b w:val="1"/>
                <w:bCs w:val="1"/>
                <w:color w:val="auto"/>
              </w:rPr>
              <w:t>2016</w:t>
            </w:r>
          </w:p>
        </w:tc>
        <w:tc>
          <w:tcPr>
            <w:tcW w:w="580" w:type="dxa"/>
            <w:vAlign w:val="bottom"/>
            <w:tcBorders>
              <w:top w:val="single" w:sz="8" w:color="auto"/>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30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8"/>
              </w:rPr>
              <w:t>Amount</w:t>
            </w:r>
          </w:p>
        </w:tc>
        <w:tc>
          <w:tcPr>
            <w:tcW w:w="580" w:type="dxa"/>
            <w:vAlign w:val="bottom"/>
          </w:tcPr>
          <w:p>
            <w:pPr>
              <w:jc w:val="right"/>
              <w:ind w:right="55"/>
              <w:spacing w:after="0" w:line="102" w:lineRule="exact"/>
              <w:rPr>
                <w:sz w:val="20"/>
                <w:szCs w:val="20"/>
                <w:color w:val="auto"/>
              </w:rPr>
            </w:pPr>
            <w:r>
              <w:rPr>
                <w:rFonts w:ascii="Arial" w:cs="Arial" w:eastAsia="Arial" w:hAnsi="Arial"/>
                <w:sz w:val="11"/>
                <w:szCs w:val="11"/>
                <w:b w:val="1"/>
                <w:bCs w:val="1"/>
                <w:color w:val="auto"/>
              </w:rPr>
              <w:t>% of</w:t>
            </w: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4"/>
              </w:rPr>
              <w:t>Amount</w:t>
            </w:r>
          </w:p>
        </w:tc>
        <w:tc>
          <w:tcPr>
            <w:tcW w:w="580" w:type="dxa"/>
            <w:vAlign w:val="bottom"/>
          </w:tcPr>
          <w:p>
            <w:pPr>
              <w:jc w:val="right"/>
              <w:ind w:right="55"/>
              <w:spacing w:after="0" w:line="102" w:lineRule="exact"/>
              <w:rPr>
                <w:sz w:val="20"/>
                <w:szCs w:val="20"/>
                <w:color w:val="auto"/>
              </w:rPr>
            </w:pPr>
            <w:r>
              <w:rPr>
                <w:rFonts w:ascii="Arial" w:cs="Arial" w:eastAsia="Arial" w:hAnsi="Arial"/>
                <w:sz w:val="11"/>
                <w:szCs w:val="11"/>
                <w:b w:val="1"/>
                <w:bCs w:val="1"/>
                <w:color w:val="auto"/>
              </w:rPr>
              <w:t>% of</w:t>
            </w:r>
          </w:p>
        </w:tc>
        <w:tc>
          <w:tcPr>
            <w:tcW w:w="24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3040" w:type="dxa"/>
            <w:vAlign w:val="bottom"/>
            <w:vMerge w:val="restart"/>
          </w:tcPr>
          <w:p>
            <w:pPr>
              <w:spacing w:after="0"/>
              <w:rPr>
                <w:sz w:val="20"/>
                <w:szCs w:val="20"/>
                <w:color w:val="auto"/>
              </w:rPr>
            </w:pPr>
            <w:r>
              <w:rPr>
                <w:rFonts w:ascii="Arial" w:cs="Arial" w:eastAsia="Arial" w:hAnsi="Arial"/>
                <w:sz w:val="18"/>
                <w:szCs w:val="18"/>
                <w:color w:val="auto"/>
              </w:rPr>
              <w:t>Sales:</w:t>
            </w: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940" w:type="dxa"/>
            <w:vAlign w:val="bottom"/>
            <w:gridSpan w:val="3"/>
          </w:tcPr>
          <w:p>
            <w:pPr>
              <w:jc w:val="right"/>
              <w:ind w:right="305"/>
              <w:spacing w:after="0"/>
              <w:rPr>
                <w:sz w:val="20"/>
                <w:szCs w:val="20"/>
                <w:color w:val="auto"/>
              </w:rPr>
            </w:pPr>
            <w:r>
              <w:rPr>
                <w:rFonts w:ascii="Arial" w:cs="Arial" w:eastAsia="Arial" w:hAnsi="Arial"/>
                <w:sz w:val="14"/>
                <w:szCs w:val="14"/>
                <w:b w:val="1"/>
                <w:bCs w:val="1"/>
                <w:color w:val="auto"/>
                <w:w w:val="85"/>
              </w:rPr>
              <w:t>Net Sales</w:t>
            </w:r>
          </w:p>
        </w:tc>
        <w:tc>
          <w:tcPr>
            <w:tcW w:w="800" w:type="dxa"/>
            <w:vAlign w:val="bottom"/>
            <w:gridSpan w:val="2"/>
            <w:vMerge w:val="continue"/>
          </w:tcPr>
          <w:p>
            <w:pPr>
              <w:spacing w:after="0"/>
              <w:rPr>
                <w:sz w:val="14"/>
                <w:szCs w:val="14"/>
                <w:color w:val="auto"/>
              </w:rPr>
            </w:pPr>
          </w:p>
        </w:tc>
        <w:tc>
          <w:tcPr>
            <w:tcW w:w="82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w w:val="85"/>
              </w:rPr>
              <w:t>Net Sales</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69"/>
        </w:trPr>
        <w:tc>
          <w:tcPr>
            <w:tcW w:w="3040" w:type="dxa"/>
            <w:vAlign w:val="bottom"/>
            <w:vMerge w:val="continue"/>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0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SMB</w:t>
            </w:r>
          </w:p>
        </w:tc>
        <w:tc>
          <w:tcPr>
            <w:tcW w:w="18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860.6</w:t>
            </w:r>
          </w:p>
        </w:tc>
        <w:tc>
          <w:tcPr>
            <w:tcW w:w="16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40.0 % $</w:t>
            </w: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814.1</w:t>
            </w: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41.6 %</w:t>
            </w:r>
          </w:p>
        </w:tc>
        <w:tc>
          <w:tcPr>
            <w:tcW w:w="78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176"/>
        </w:trPr>
        <w:tc>
          <w:tcPr>
            <w:tcW w:w="3040" w:type="dxa"/>
            <w:vAlign w:val="bottom"/>
          </w:tcPr>
          <w:p>
            <w:pPr>
              <w:ind w:left="220"/>
              <w:spacing w:after="0" w:line="176" w:lineRule="exact"/>
              <w:rPr>
                <w:sz w:val="20"/>
                <w:szCs w:val="20"/>
                <w:color w:val="auto"/>
              </w:rPr>
            </w:pPr>
            <w:r>
              <w:rPr>
                <w:rFonts w:ascii="Arial" w:cs="Arial" w:eastAsia="Arial" w:hAnsi="Arial"/>
                <w:sz w:val="18"/>
                <w:szCs w:val="18"/>
                <w:color w:val="auto"/>
              </w:rPr>
              <w:t>Large Account</w:t>
            </w: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line="176" w:lineRule="exact"/>
              <w:rPr>
                <w:sz w:val="20"/>
                <w:szCs w:val="20"/>
                <w:color w:val="auto"/>
              </w:rPr>
            </w:pPr>
            <w:r>
              <w:rPr>
                <w:rFonts w:ascii="Arial" w:cs="Arial" w:eastAsia="Arial" w:hAnsi="Arial"/>
                <w:sz w:val="18"/>
                <w:szCs w:val="18"/>
                <w:color w:val="auto"/>
              </w:rPr>
              <w:t>823.0</w:t>
            </w:r>
          </w:p>
        </w:tc>
        <w:tc>
          <w:tcPr>
            <w:tcW w:w="16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38.3</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723.9</w:t>
            </w:r>
          </w:p>
        </w:tc>
        <w:tc>
          <w:tcPr>
            <w:tcW w:w="16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37.0</w:t>
            </w:r>
          </w:p>
        </w:tc>
        <w:tc>
          <w:tcPr>
            <w:tcW w:w="240" w:type="dxa"/>
            <w:vAlign w:val="bottom"/>
          </w:tcPr>
          <w:p>
            <w:pPr>
              <w:spacing w:after="0"/>
              <w:rPr>
                <w:sz w:val="15"/>
                <w:szCs w:val="15"/>
                <w:color w:val="auto"/>
              </w:rPr>
            </w:pPr>
          </w:p>
        </w:tc>
        <w:tc>
          <w:tcPr>
            <w:tcW w:w="480" w:type="dxa"/>
            <w:vAlign w:val="bottom"/>
          </w:tcPr>
          <w:p>
            <w:pPr>
              <w:jc w:val="right"/>
              <w:spacing w:after="0" w:line="176" w:lineRule="exact"/>
              <w:rPr>
                <w:sz w:val="20"/>
                <w:szCs w:val="20"/>
                <w:color w:val="auto"/>
              </w:rPr>
            </w:pPr>
            <w:r>
              <w:rPr>
                <w:rFonts w:ascii="Arial" w:cs="Arial" w:eastAsia="Arial" w:hAnsi="Arial"/>
                <w:sz w:val="18"/>
                <w:szCs w:val="18"/>
                <w:color w:val="auto"/>
              </w:rPr>
              <w:t>13.7</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Public Sector</w:t>
            </w:r>
          </w:p>
        </w:tc>
        <w:tc>
          <w:tcPr>
            <w:tcW w:w="17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466.0</w:t>
            </w:r>
          </w:p>
        </w:tc>
        <w:tc>
          <w:tcPr>
            <w:tcW w:w="16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21.7</w:t>
            </w:r>
          </w:p>
        </w:tc>
        <w:tc>
          <w:tcPr>
            <w:tcW w:w="2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419.</w:t>
            </w:r>
            <w:r>
              <w:rPr>
                <w:rFonts w:ascii="Arial" w:cs="Arial" w:eastAsia="Arial" w:hAnsi="Arial"/>
                <w:sz w:val="18"/>
                <w:szCs w:val="18"/>
                <w:u w:val="single" w:color="auto"/>
                <w:color w:val="auto"/>
              </w:rPr>
              <w:t>0</w:t>
            </w:r>
          </w:p>
        </w:tc>
        <w:tc>
          <w:tcPr>
            <w:tcW w:w="16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21.4</w:t>
            </w:r>
          </w:p>
        </w:tc>
        <w:tc>
          <w:tcPr>
            <w:tcW w:w="2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11.2</w:t>
            </w:r>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40" w:type="dxa"/>
            <w:vAlign w:val="bottom"/>
            <w:tcBorders>
              <w:bottom w:val="single" w:sz="8" w:color="CCEEFF"/>
            </w:tcBorders>
          </w:tcPr>
          <w:p>
            <w:pPr>
              <w:ind w:left="320"/>
              <w:spacing w:after="0" w:line="170" w:lineRule="exact"/>
              <w:rPr>
                <w:sz w:val="20"/>
                <w:szCs w:val="20"/>
                <w:color w:val="auto"/>
              </w:rPr>
            </w:pPr>
            <w:r>
              <w:rPr>
                <w:rFonts w:ascii="Arial" w:cs="Arial" w:eastAsia="Arial" w:hAnsi="Arial"/>
                <w:sz w:val="18"/>
                <w:szCs w:val="18"/>
                <w:color w:val="auto"/>
              </w:rPr>
              <w:t>Total</w:t>
            </w:r>
          </w:p>
        </w:tc>
        <w:tc>
          <w:tcPr>
            <w:tcW w:w="17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9"/>
              </w:rPr>
              <w:t>2,149.6</w:t>
            </w:r>
          </w:p>
        </w:tc>
        <w:tc>
          <w:tcPr>
            <w:tcW w:w="16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100.0</w:t>
            </w:r>
          </w:p>
        </w:tc>
        <w:tc>
          <w:tcPr>
            <w:tcW w:w="240" w:type="dxa"/>
            <w:vAlign w:val="bottom"/>
            <w:tcBorders>
              <w:bottom w:val="single" w:sz="8" w:color="CCEEFF"/>
            </w:tcBorders>
          </w:tcPr>
          <w:p>
            <w:pPr>
              <w:jc w:val="right"/>
              <w:ind w:right="10"/>
              <w:spacing w:after="0" w:line="170" w:lineRule="exact"/>
              <w:rPr>
                <w:sz w:val="20"/>
                <w:szCs w:val="20"/>
                <w:color w:val="auto"/>
              </w:rPr>
            </w:pPr>
            <w:r>
              <w:rPr>
                <w:rFonts w:ascii="Arial" w:cs="Arial" w:eastAsia="Arial" w:hAnsi="Arial"/>
                <w:sz w:val="18"/>
                <w:szCs w:val="18"/>
                <w:color w:val="auto"/>
                <w:w w:val="74"/>
              </w:rPr>
              <w:t>%</w:t>
            </w:r>
          </w:p>
        </w:tc>
        <w:tc>
          <w:tcPr>
            <w:tcW w:w="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6"/>
              </w:rPr>
              <w:t>1,957.0</w:t>
            </w:r>
          </w:p>
        </w:tc>
        <w:tc>
          <w:tcPr>
            <w:tcW w:w="16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100.0</w:t>
            </w:r>
          </w:p>
        </w:tc>
        <w:tc>
          <w:tcPr>
            <w:tcW w:w="240" w:type="dxa"/>
            <w:vAlign w:val="bottom"/>
            <w:tcBorders>
              <w:bottom w:val="single" w:sz="8" w:color="CCEEFF"/>
            </w:tcBorders>
          </w:tcPr>
          <w:p>
            <w:pPr>
              <w:jc w:val="right"/>
              <w:ind w:right="10"/>
              <w:spacing w:after="0" w:line="170" w:lineRule="exact"/>
              <w:rPr>
                <w:sz w:val="20"/>
                <w:szCs w:val="20"/>
                <w:color w:val="auto"/>
              </w:rPr>
            </w:pPr>
            <w:r>
              <w:rPr>
                <w:rFonts w:ascii="Arial" w:cs="Arial" w:eastAsia="Arial" w:hAnsi="Arial"/>
                <w:sz w:val="18"/>
                <w:szCs w:val="18"/>
                <w:color w:val="auto"/>
                <w:w w:val="74"/>
              </w:rPr>
              <w:t>%</w:t>
            </w:r>
          </w:p>
        </w:tc>
        <w:tc>
          <w:tcPr>
            <w:tcW w:w="780" w:type="dxa"/>
            <w:vAlign w:val="bottom"/>
            <w:tcBorders>
              <w:bottom w:val="single" w:sz="8" w:color="CCEEFF"/>
            </w:tcBorders>
            <w:gridSpan w:val="2"/>
          </w:tcPr>
          <w:p>
            <w:pPr>
              <w:jc w:val="right"/>
              <w:ind w:right="140"/>
              <w:spacing w:after="0" w:line="170" w:lineRule="exact"/>
              <w:rPr>
                <w:sz w:val="20"/>
                <w:szCs w:val="20"/>
                <w:color w:val="auto"/>
              </w:rPr>
            </w:pPr>
            <w:r>
              <w:rPr>
                <w:rFonts w:ascii="Arial" w:cs="Arial" w:eastAsia="Arial" w:hAnsi="Arial"/>
                <w:sz w:val="18"/>
                <w:szCs w:val="18"/>
                <w:color w:val="auto"/>
              </w:rPr>
              <w:t>9.8 %</w:t>
            </w:r>
          </w:p>
        </w:tc>
        <w:tc>
          <w:tcPr>
            <w:tcW w:w="0" w:type="dxa"/>
            <w:vAlign w:val="bottom"/>
          </w:tcPr>
          <w:p>
            <w:pPr>
              <w:spacing w:after="0"/>
              <w:rPr>
                <w:sz w:val="1"/>
                <w:szCs w:val="1"/>
                <w:color w:val="auto"/>
              </w:rPr>
            </w:pPr>
          </w:p>
        </w:tc>
      </w:tr>
      <w:tr>
        <w:trPr>
          <w:trHeight w:val="176"/>
        </w:trPr>
        <w:tc>
          <w:tcPr>
            <w:tcW w:w="3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Gross Profit:</w:t>
            </w:r>
          </w:p>
        </w:tc>
        <w:tc>
          <w:tcPr>
            <w:tcW w:w="1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40" w:type="dxa"/>
            <w:vAlign w:val="bottom"/>
          </w:tcPr>
          <w:p>
            <w:pPr>
              <w:ind w:left="220"/>
              <w:spacing w:after="0" w:line="176" w:lineRule="exact"/>
              <w:rPr>
                <w:sz w:val="20"/>
                <w:szCs w:val="20"/>
                <w:color w:val="auto"/>
              </w:rPr>
            </w:pPr>
            <w:r>
              <w:rPr>
                <w:rFonts w:ascii="Arial" w:cs="Arial" w:eastAsia="Arial" w:hAnsi="Arial"/>
                <w:sz w:val="18"/>
                <w:szCs w:val="18"/>
                <w:color w:val="auto"/>
              </w:rPr>
              <w:t>SMB</w:t>
            </w:r>
          </w:p>
        </w:tc>
        <w:tc>
          <w:tcPr>
            <w:tcW w:w="18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176" w:lineRule="exact"/>
              <w:rPr>
                <w:sz w:val="20"/>
                <w:szCs w:val="20"/>
                <w:color w:val="auto"/>
              </w:rPr>
            </w:pPr>
            <w:r>
              <w:rPr>
                <w:rFonts w:ascii="Arial" w:cs="Arial" w:eastAsia="Arial" w:hAnsi="Arial"/>
                <w:sz w:val="18"/>
                <w:szCs w:val="18"/>
                <w:color w:val="auto"/>
              </w:rPr>
              <w:t>131.4</w:t>
            </w:r>
          </w:p>
        </w:tc>
        <w:tc>
          <w:tcPr>
            <w:tcW w:w="160" w:type="dxa"/>
            <w:vAlign w:val="bottom"/>
          </w:tcPr>
          <w:p>
            <w:pPr>
              <w:spacing w:after="0"/>
              <w:rPr>
                <w:sz w:val="15"/>
                <w:szCs w:val="15"/>
                <w:color w:val="auto"/>
              </w:rPr>
            </w:pPr>
          </w:p>
        </w:tc>
        <w:tc>
          <w:tcPr>
            <w:tcW w:w="94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15.3 % $</w:t>
            </w: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128.8</w:t>
            </w:r>
          </w:p>
        </w:tc>
        <w:tc>
          <w:tcPr>
            <w:tcW w:w="160" w:type="dxa"/>
            <w:vAlign w:val="bottom"/>
          </w:tcPr>
          <w:p>
            <w:pPr>
              <w:spacing w:after="0"/>
              <w:rPr>
                <w:sz w:val="15"/>
                <w:szCs w:val="15"/>
                <w:color w:val="auto"/>
              </w:rPr>
            </w:pPr>
          </w:p>
        </w:tc>
        <w:tc>
          <w:tcPr>
            <w:tcW w:w="820" w:type="dxa"/>
            <w:vAlign w:val="bottom"/>
            <w:gridSpan w:val="2"/>
          </w:tcPr>
          <w:p>
            <w:pPr>
              <w:jc w:val="right"/>
              <w:ind w:right="10"/>
              <w:spacing w:after="0" w:line="176" w:lineRule="exact"/>
              <w:rPr>
                <w:sz w:val="20"/>
                <w:szCs w:val="20"/>
                <w:color w:val="auto"/>
              </w:rPr>
            </w:pPr>
            <w:r>
              <w:rPr>
                <w:rFonts w:ascii="Arial" w:cs="Arial" w:eastAsia="Arial" w:hAnsi="Arial"/>
                <w:sz w:val="18"/>
                <w:szCs w:val="18"/>
                <w:color w:val="auto"/>
              </w:rPr>
              <w:t>15.8 %</w:t>
            </w:r>
          </w:p>
        </w:tc>
        <w:tc>
          <w:tcPr>
            <w:tcW w:w="78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176"/>
        </w:trPr>
        <w:tc>
          <w:tcPr>
            <w:tcW w:w="30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Large Account</w:t>
            </w:r>
          </w:p>
        </w:tc>
        <w:tc>
          <w:tcPr>
            <w:tcW w:w="1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102.8</w:t>
            </w: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12.5</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94.6</w:t>
            </w: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13.1</w:t>
            </w:r>
          </w:p>
        </w:tc>
        <w:tc>
          <w:tcPr>
            <w:tcW w:w="2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8.7</w:t>
            </w:r>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4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Public Sector</w:t>
            </w:r>
          </w:p>
        </w:tc>
        <w:tc>
          <w:tcPr>
            <w:tcW w:w="17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48.3</w:t>
            </w:r>
          </w:p>
        </w:tc>
        <w:tc>
          <w:tcPr>
            <w:tcW w:w="16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jc w:val="right"/>
              <w:spacing w:after="0" w:line="176" w:lineRule="exact"/>
              <w:rPr>
                <w:sz w:val="20"/>
                <w:szCs w:val="20"/>
                <w:color w:val="auto"/>
              </w:rPr>
            </w:pPr>
            <w:r>
              <w:rPr>
                <w:rFonts w:ascii="Arial" w:cs="Arial" w:eastAsia="Arial" w:hAnsi="Arial"/>
                <w:sz w:val="18"/>
                <w:szCs w:val="18"/>
                <w:color w:val="auto"/>
              </w:rPr>
              <w:t>10.4</w:t>
            </w:r>
          </w:p>
        </w:tc>
        <w:tc>
          <w:tcPr>
            <w:tcW w:w="2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49.6</w:t>
            </w:r>
          </w:p>
        </w:tc>
        <w:tc>
          <w:tcPr>
            <w:tcW w:w="16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jc w:val="right"/>
              <w:spacing w:after="0" w:line="176" w:lineRule="exact"/>
              <w:rPr>
                <w:sz w:val="20"/>
                <w:szCs w:val="20"/>
                <w:color w:val="auto"/>
              </w:rPr>
            </w:pPr>
            <w:r>
              <w:rPr>
                <w:rFonts w:ascii="Arial" w:cs="Arial" w:eastAsia="Arial" w:hAnsi="Arial"/>
                <w:sz w:val="18"/>
                <w:szCs w:val="18"/>
                <w:color w:val="auto"/>
              </w:rPr>
              <w:t>11.8</w:t>
            </w:r>
          </w:p>
        </w:tc>
        <w:tc>
          <w:tcPr>
            <w:tcW w:w="24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jc w:val="right"/>
              <w:spacing w:after="0" w:line="176" w:lineRule="exact"/>
              <w:rPr>
                <w:sz w:val="20"/>
                <w:szCs w:val="20"/>
                <w:color w:val="auto"/>
              </w:rPr>
            </w:pPr>
            <w:r>
              <w:rPr>
                <w:rFonts w:ascii="Arial" w:cs="Arial" w:eastAsia="Arial" w:hAnsi="Arial"/>
                <w:sz w:val="18"/>
                <w:szCs w:val="18"/>
                <w:color w:val="auto"/>
              </w:rPr>
              <w:t>(2.7)</w:t>
            </w:r>
          </w:p>
        </w:tc>
        <w:tc>
          <w:tcPr>
            <w:tcW w:w="3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40" w:type="dxa"/>
            <w:vAlign w:val="bottom"/>
            <w:tcBorders>
              <w:bottom w:val="single" w:sz="8" w:color="CCEEFF"/>
            </w:tcBorders>
            <w:shd w:val="clear" w:color="auto" w:fill="CCEEFF"/>
          </w:tcPr>
          <w:p>
            <w:pPr>
              <w:ind w:left="320"/>
              <w:spacing w:after="0" w:line="170" w:lineRule="exact"/>
              <w:rPr>
                <w:sz w:val="20"/>
                <w:szCs w:val="20"/>
                <w:color w:val="auto"/>
              </w:rPr>
            </w:pPr>
            <w:r>
              <w:rPr>
                <w:rFonts w:ascii="Arial" w:cs="Arial" w:eastAsia="Arial" w:hAnsi="Arial"/>
                <w:sz w:val="18"/>
                <w:szCs w:val="18"/>
                <w:color w:val="auto"/>
              </w:rPr>
              <w:t>Total</w:t>
            </w:r>
          </w:p>
        </w:tc>
        <w:tc>
          <w:tcPr>
            <w:tcW w:w="1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282.5</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rPr>
              <w:t>13.1 %</w:t>
            </w:r>
          </w:p>
        </w:tc>
        <w:tc>
          <w:tcPr>
            <w:tcW w:w="1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273.</w:t>
            </w:r>
            <w:r>
              <w:rPr>
                <w:rFonts w:ascii="Arial" w:cs="Arial" w:eastAsia="Arial" w:hAnsi="Arial"/>
                <w:sz w:val="18"/>
                <w:szCs w:val="18"/>
                <w:u w:val="single" w:color="auto"/>
                <w:color w:val="auto"/>
              </w:rPr>
              <w:t>0</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rPr>
              <w:t>14.0 %</w:t>
            </w:r>
          </w:p>
        </w:tc>
        <w:tc>
          <w:tcPr>
            <w:tcW w:w="780" w:type="dxa"/>
            <w:vAlign w:val="bottom"/>
            <w:tcBorders>
              <w:bottom w:val="single" w:sz="8" w:color="CCEEFF"/>
            </w:tcBorders>
            <w:gridSpan w:val="2"/>
            <w:shd w:val="clear" w:color="auto" w:fill="CCEEFF"/>
          </w:tcPr>
          <w:p>
            <w:pPr>
              <w:jc w:val="right"/>
              <w:ind w:right="140"/>
              <w:spacing w:after="0" w:line="170" w:lineRule="exact"/>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increased for the nine months ended September 30, 2017 compared to the nine months ended September 30, 2016,</w:t>
      </w:r>
      <w:r>
        <w:rPr>
          <w:rFonts w:ascii="Arial" w:cs="Arial" w:eastAsia="Arial" w:hAnsi="Arial"/>
          <w:sz w:val="18"/>
          <w:szCs w:val="18"/>
          <w:i w:val="1"/>
          <w:iCs w:val="1"/>
          <w:color w:val="auto"/>
        </w:rPr>
        <w:t xml:space="preserve"> </w:t>
      </w:r>
      <w:r>
        <w:rPr>
          <w:rFonts w:ascii="Arial" w:cs="Arial" w:eastAsia="Arial" w:hAnsi="Arial"/>
          <w:sz w:val="18"/>
          <w:szCs w:val="18"/>
          <w:color w:val="auto"/>
        </w:rPr>
        <w:t>as explained below:</w:t>
      </w:r>
    </w:p>
    <w:p>
      <w:pPr>
        <w:spacing w:after="0" w:line="121" w:lineRule="exact"/>
        <w:rPr>
          <w:sz w:val="20"/>
          <w:szCs w:val="20"/>
          <w:color w:val="auto"/>
        </w:rPr>
      </w:pPr>
    </w:p>
    <w:p>
      <w:pPr>
        <w:ind w:left="660" w:right="80" w:hanging="333"/>
        <w:spacing w:after="0" w:line="244"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Net sales for the SMB segment increased due to higher sales of software and transactional products. Software sales increased by $17.7 million due to the inclusion of revenue from Softmart, which we acquired on May 27, 2016, and due to our investments in advanced solution sales including security and software services. On a dollar basis, notebooks/mobility and desktop products increased by $21.9 million and $11.1 million, respectively for the nine months ended September 30, 2017. Mobility continues to be a strategic focus for SMB customers.</w:t>
      </w:r>
    </w:p>
    <w:p>
      <w:pPr>
        <w:spacing w:after="0" w:line="77" w:lineRule="exact"/>
        <w:rPr>
          <w:rFonts w:ascii="Arial" w:cs="Arial" w:eastAsia="Arial" w:hAnsi="Arial"/>
          <w:sz w:val="16"/>
          <w:szCs w:val="16"/>
          <w:color w:val="auto"/>
        </w:rPr>
      </w:pPr>
    </w:p>
    <w:p>
      <w:pPr>
        <w:ind w:left="660" w:right="200" w:hanging="333"/>
        <w:spacing w:after="0" w:line="259"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Net sales for the Large Account segment increased significantly due to an increase in large project rollouts. On a dollar basis, software, accessories, and net/com products increased year over year by $39.7 million, $19.5 million, and $13.5 million, respectively. All three product categories increased by double-digit rates year over year.</w:t>
      </w:r>
    </w:p>
    <w:p>
      <w:pPr>
        <w:spacing w:after="0" w:line="66" w:lineRule="exact"/>
        <w:rPr>
          <w:rFonts w:ascii="Arial" w:cs="Arial" w:eastAsia="Arial" w:hAnsi="Arial"/>
          <w:sz w:val="16"/>
          <w:szCs w:val="16"/>
          <w:color w:val="auto"/>
        </w:rPr>
      </w:pPr>
    </w:p>
    <w:p>
      <w:pPr>
        <w:ind w:left="660" w:right="180" w:hanging="333"/>
        <w:spacing w:after="0" w:line="21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sales to the Public Sector segment increased significantly in the nine months ended September 30, 2017. Net sales to the federal government increased by $35.4 million due to higher sales made under federal government contracts and a large project rollout to the federal government. Net sales to state and local government and educational institutions increased by $11.5 million due to increased sales to higher education and K-12 customers. On a dollar basis, desktops, software, and net/com products increased year over year by $36.1 million, $21.0 million, and $8.7 million, respectively.</w:t>
      </w:r>
    </w:p>
    <w:p>
      <w:pPr>
        <w:spacing w:after="0" w:line="122" w:lineRule="exact"/>
        <w:rPr>
          <w:sz w:val="20"/>
          <w:szCs w:val="20"/>
          <w:color w:val="auto"/>
        </w:rPr>
      </w:pPr>
    </w:p>
    <w:p>
      <w:pPr>
        <w:ind w:right="540" w:firstLine="324"/>
        <w:spacing w:after="0" w:line="235"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for the nine months ended September 30, 2017 increased year over year in dollars, but decreased as a</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of net sales (gross margin), as explained below:</w:t>
      </w:r>
    </w:p>
    <w:p>
      <w:pPr>
        <w:spacing w:after="0" w:line="121" w:lineRule="exact"/>
        <w:rPr>
          <w:sz w:val="20"/>
          <w:szCs w:val="20"/>
          <w:color w:val="auto"/>
        </w:rPr>
      </w:pPr>
    </w:p>
    <w:p>
      <w:pPr>
        <w:ind w:left="660" w:right="40" w:hanging="333"/>
        <w:spacing w:after="0" w:line="21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Gross profit for the SMB segment increased due to higher net sales. However, invoice selling margins decreased by 87 basis points due to a shift in both client and product mix, which reflected increased sales of lower-margin mobility products, as well as lower vendor funding. The decrease in invoice selling margins was partially offset by higher agency revenues (33 basis points).</w:t>
      </w:r>
    </w:p>
    <w:p>
      <w:pPr>
        <w:spacing w:after="0" w:line="81" w:lineRule="exact"/>
        <w:rPr>
          <w:rFonts w:ascii="Arial" w:cs="Arial" w:eastAsia="Arial" w:hAnsi="Arial"/>
          <w:sz w:val="18"/>
          <w:szCs w:val="18"/>
          <w:color w:val="auto"/>
        </w:rPr>
      </w:pPr>
    </w:p>
    <w:p>
      <w:pPr>
        <w:ind w:left="660" w:right="140" w:hanging="333"/>
        <w:spacing w:after="0" w:line="21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Gross profit for the Large Account segment increased due to higher net sales. However, invoice selling margins decreased by 71 basis points due to a shift in product mix and an increase in large project rollouts, which generally carry lower gross margins. The decrease in invoice selling margins was partially offset by higher agency revenues (9 basis points).</w:t>
      </w:r>
    </w:p>
    <w:p>
      <w:pPr>
        <w:spacing w:after="0" w:line="81" w:lineRule="exact"/>
        <w:rPr>
          <w:rFonts w:ascii="Arial" w:cs="Arial" w:eastAsia="Arial" w:hAnsi="Arial"/>
          <w:sz w:val="18"/>
          <w:szCs w:val="18"/>
          <w:color w:val="auto"/>
        </w:rPr>
      </w:pPr>
    </w:p>
    <w:p>
      <w:pPr>
        <w:ind w:left="660" w:right="100" w:hanging="333"/>
        <w:spacing w:after="0" w:line="22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Gross profit for the Public Sector segment decreased despite higher net sales. Invoice selling margins decreased by 115 basis points due to a shift in sales mix to lower-margin transactional products, including several large federal government project rollout.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80" w:firstLine="324"/>
        <w:spacing w:after="0" w:line="219"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increased in dollars, but decreased as a percentage of net sales in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2017 compared to the nine months ended September 30, 2016. SG&amp;A expenses attributable to our three segments and the remaining unallocated Headquarters/Other group expenses are summarized in the table below (dollars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5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7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3"/>
          </w:tcPr>
          <w:p>
            <w:pPr>
              <w:jc w:val="right"/>
              <w:ind w:right="527"/>
              <w:spacing w:after="0" w:line="129" w:lineRule="exact"/>
              <w:rPr>
                <w:sz w:val="20"/>
                <w:szCs w:val="20"/>
                <w:color w:val="auto"/>
              </w:rPr>
            </w:pPr>
            <w:r>
              <w:rPr>
                <w:rFonts w:ascii="Arial" w:cs="Arial" w:eastAsia="Arial" w:hAnsi="Arial"/>
                <w:sz w:val="14"/>
                <w:szCs w:val="14"/>
                <w:b w:val="1"/>
                <w:bCs w:val="1"/>
                <w:color w:val="auto"/>
                <w:w w:val="89"/>
              </w:rPr>
              <w:t>2017</w:t>
            </w:r>
          </w:p>
        </w:tc>
        <w:tc>
          <w:tcPr>
            <w:tcW w:w="2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3"/>
          </w:tcPr>
          <w:p>
            <w:pPr>
              <w:jc w:val="right"/>
              <w:ind w:right="8"/>
              <w:spacing w:after="0" w:line="129"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4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 of</w:t>
            </w: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jc w:val="center"/>
              <w:ind w:right="60"/>
              <w:spacing w:after="0" w:line="102" w:lineRule="exact"/>
              <w:rPr>
                <w:sz w:val="20"/>
                <w:szCs w:val="20"/>
                <w:color w:val="auto"/>
              </w:rPr>
            </w:pPr>
            <w:r>
              <w:rPr>
                <w:rFonts w:ascii="Arial" w:cs="Arial" w:eastAsia="Arial" w:hAnsi="Arial"/>
                <w:sz w:val="11"/>
                <w:szCs w:val="11"/>
                <w:b w:val="1"/>
                <w:bCs w:val="1"/>
                <w:color w:val="auto"/>
              </w:rPr>
              <w:t>% of</w:t>
            </w: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4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170"/>
              <w:spacing w:after="0" w:line="135" w:lineRule="exact"/>
              <w:rPr>
                <w:sz w:val="20"/>
                <w:szCs w:val="20"/>
                <w:color w:val="auto"/>
              </w:rPr>
            </w:pPr>
            <w:r>
              <w:rPr>
                <w:rFonts w:ascii="Arial" w:cs="Arial" w:eastAsia="Arial" w:hAnsi="Arial"/>
                <w:sz w:val="14"/>
                <w:szCs w:val="14"/>
                <w:b w:val="1"/>
                <w:bCs w:val="1"/>
                <w:color w:val="auto"/>
                <w:w w:val="87"/>
              </w:rPr>
              <w:t>Segment</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3"/>
          </w:tcPr>
          <w:p>
            <w:pPr>
              <w:jc w:val="center"/>
              <w:ind w:right="150"/>
              <w:spacing w:after="0" w:line="135" w:lineRule="exact"/>
              <w:rPr>
                <w:sz w:val="20"/>
                <w:szCs w:val="20"/>
                <w:color w:val="auto"/>
              </w:rPr>
            </w:pPr>
            <w:r>
              <w:rPr>
                <w:rFonts w:ascii="Arial" w:cs="Arial" w:eastAsia="Arial" w:hAnsi="Arial"/>
                <w:sz w:val="14"/>
                <w:szCs w:val="14"/>
                <w:b w:val="1"/>
                <w:bCs w:val="1"/>
                <w:color w:val="auto"/>
                <w:w w:val="87"/>
              </w:rPr>
              <w:t>Segment</w:t>
            </w:r>
          </w:p>
        </w:tc>
        <w:tc>
          <w:tcPr>
            <w:tcW w:w="5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60" w:type="dxa"/>
            <w:vAlign w:val="bottom"/>
          </w:tcPr>
          <w:p>
            <w:pPr>
              <w:spacing w:after="0"/>
              <w:rPr>
                <w:sz w:val="11"/>
                <w:szCs w:val="11"/>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150"/>
              <w:spacing w:after="0" w:line="135" w:lineRule="exact"/>
              <w:rPr>
                <w:sz w:val="20"/>
                <w:szCs w:val="20"/>
                <w:color w:val="auto"/>
              </w:rPr>
            </w:pPr>
            <w:r>
              <w:rPr>
                <w:rFonts w:ascii="Arial" w:cs="Arial" w:eastAsia="Arial" w:hAnsi="Arial"/>
                <w:sz w:val="14"/>
                <w:szCs w:val="14"/>
                <w:b w:val="1"/>
                <w:bCs w:val="1"/>
                <w:color w:val="auto"/>
                <w:w w:val="97"/>
              </w:rPr>
              <w:t>Net</w:t>
            </w:r>
          </w:p>
        </w:tc>
        <w:tc>
          <w:tcPr>
            <w:tcW w:w="940" w:type="dxa"/>
            <w:vAlign w:val="bottom"/>
            <w:gridSpan w:val="4"/>
            <w:vMerge w:val="restart"/>
          </w:tcPr>
          <w:p>
            <w:pPr>
              <w:jc w:val="right"/>
              <w:ind w:right="308"/>
              <w:spacing w:after="0"/>
              <w:rPr>
                <w:sz w:val="20"/>
                <w:szCs w:val="20"/>
                <w:color w:val="auto"/>
              </w:rPr>
            </w:pPr>
            <w:r>
              <w:rPr>
                <w:rFonts w:ascii="Arial" w:cs="Arial" w:eastAsia="Arial" w:hAnsi="Arial"/>
                <w:sz w:val="14"/>
                <w:szCs w:val="14"/>
                <w:b w:val="1"/>
                <w:bCs w:val="1"/>
                <w:color w:val="auto"/>
              </w:rPr>
              <w:t>Amount</w:t>
            </w:r>
          </w:p>
        </w:tc>
        <w:tc>
          <w:tcPr>
            <w:tcW w:w="760" w:type="dxa"/>
            <w:vAlign w:val="bottom"/>
            <w:gridSpan w:val="2"/>
          </w:tcPr>
          <w:p>
            <w:pPr>
              <w:jc w:val="center"/>
              <w:ind w:right="310"/>
              <w:spacing w:after="0" w:line="135" w:lineRule="exact"/>
              <w:rPr>
                <w:sz w:val="20"/>
                <w:szCs w:val="20"/>
                <w:color w:val="auto"/>
              </w:rPr>
            </w:pPr>
            <w:r>
              <w:rPr>
                <w:rFonts w:ascii="Arial" w:cs="Arial" w:eastAsia="Arial" w:hAnsi="Arial"/>
                <w:sz w:val="14"/>
                <w:szCs w:val="14"/>
                <w:b w:val="1"/>
                <w:bCs w:val="1"/>
                <w:color w:val="auto"/>
                <w:w w:val="88"/>
              </w:rPr>
              <w:t>Net</w:t>
            </w:r>
          </w:p>
        </w:tc>
        <w:tc>
          <w:tcPr>
            <w:tcW w:w="5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7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87"/>
              </w:rPr>
              <w:t>Sales</w:t>
            </w:r>
          </w:p>
        </w:tc>
        <w:tc>
          <w:tcPr>
            <w:tcW w:w="940" w:type="dxa"/>
            <w:vAlign w:val="bottom"/>
            <w:gridSpan w:val="4"/>
            <w:vMerge w:val="continue"/>
          </w:tcPr>
          <w:p>
            <w:pPr>
              <w:spacing w:after="0"/>
              <w:rPr>
                <w:sz w:val="14"/>
                <w:szCs w:val="14"/>
                <w:color w:val="auto"/>
              </w:rPr>
            </w:pPr>
          </w:p>
        </w:tc>
        <w:tc>
          <w:tcPr>
            <w:tcW w:w="760" w:type="dxa"/>
            <w:vAlign w:val="bottom"/>
            <w:gridSpan w:val="2"/>
          </w:tcPr>
          <w:p>
            <w:pPr>
              <w:jc w:val="center"/>
              <w:ind w:right="310"/>
              <w:spacing w:after="0"/>
              <w:rPr>
                <w:sz w:val="20"/>
                <w:szCs w:val="20"/>
                <w:color w:val="auto"/>
              </w:rPr>
            </w:pPr>
            <w:r>
              <w:rPr>
                <w:rFonts w:ascii="Arial" w:cs="Arial" w:eastAsia="Arial" w:hAnsi="Arial"/>
                <w:sz w:val="14"/>
                <w:szCs w:val="14"/>
                <w:b w:val="1"/>
                <w:bCs w:val="1"/>
                <w:color w:val="auto"/>
                <w:w w:val="87"/>
              </w:rPr>
              <w:t>Sales</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476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SMB</w:t>
            </w:r>
          </w:p>
        </w:tc>
        <w:tc>
          <w:tcPr>
            <w:tcW w:w="12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7"/>
              </w:rPr>
              <w:t>102.0</w:t>
            </w:r>
          </w:p>
        </w:tc>
        <w:tc>
          <w:tcPr>
            <w:tcW w:w="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11.9</w:t>
            </w:r>
          </w:p>
        </w:tc>
        <w:tc>
          <w:tcPr>
            <w:tcW w:w="260" w:type="dxa"/>
            <w:vAlign w:val="bottom"/>
            <w:tcBorders>
              <w:top w:val="single" w:sz="8" w:color="CCEEFF"/>
            </w:tcBorders>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96.7</w:t>
            </w:r>
          </w:p>
        </w:tc>
        <w:tc>
          <w:tcPr>
            <w:tcW w:w="1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11.9</w:t>
            </w:r>
          </w:p>
        </w:tc>
        <w:tc>
          <w:tcPr>
            <w:tcW w:w="240" w:type="dxa"/>
            <w:vAlign w:val="bottom"/>
            <w:tcBorders>
              <w:top w:val="single" w:sz="8" w:color="CCEEFF"/>
            </w:tcBorders>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74"/>
              </w:rPr>
              <w:t>%</w:t>
            </w:r>
          </w:p>
        </w:tc>
        <w:tc>
          <w:tcPr>
            <w:tcW w:w="500" w:type="dxa"/>
            <w:vAlign w:val="bottom"/>
            <w:tcBorders>
              <w:top w:val="single" w:sz="8" w:color="auto"/>
            </w:tcBorders>
            <w:shd w:val="clear" w:color="auto" w:fill="CCEEFF"/>
          </w:tcPr>
          <w:p>
            <w:pPr>
              <w:ind w:left="220"/>
              <w:spacing w:after="0" w:line="170" w:lineRule="exact"/>
              <w:rPr>
                <w:sz w:val="20"/>
                <w:szCs w:val="20"/>
                <w:color w:val="auto"/>
              </w:rPr>
            </w:pPr>
            <w:r>
              <w:rPr>
                <w:rFonts w:ascii="Arial" w:cs="Arial" w:eastAsia="Arial" w:hAnsi="Arial"/>
                <w:sz w:val="18"/>
                <w:szCs w:val="18"/>
                <w:color w:val="auto"/>
              </w:rPr>
              <w:t>5.5</w:t>
            </w:r>
          </w:p>
        </w:tc>
        <w:tc>
          <w:tcPr>
            <w:tcW w:w="340" w:type="dxa"/>
            <w:vAlign w:val="bottom"/>
            <w:tcBorders>
              <w:top w:val="single" w:sz="8" w:color="CCEEFF"/>
            </w:tcBorders>
            <w:shd w:val="clear" w:color="auto" w:fill="CCEEFF"/>
          </w:tcPr>
          <w:p>
            <w:pPr>
              <w:jc w:val="right"/>
              <w:ind w:right="110"/>
              <w:spacing w:after="0" w:line="170"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176"/>
        </w:trPr>
        <w:tc>
          <w:tcPr>
            <w:tcW w:w="4760" w:type="dxa"/>
            <w:vAlign w:val="bottom"/>
          </w:tcPr>
          <w:p>
            <w:pPr>
              <w:spacing w:after="0" w:line="176" w:lineRule="exact"/>
              <w:rPr>
                <w:sz w:val="20"/>
                <w:szCs w:val="20"/>
                <w:color w:val="auto"/>
              </w:rPr>
            </w:pPr>
            <w:r>
              <w:rPr>
                <w:rFonts w:ascii="Arial" w:cs="Arial" w:eastAsia="Arial" w:hAnsi="Arial"/>
                <w:sz w:val="18"/>
                <w:szCs w:val="18"/>
                <w:color w:val="auto"/>
              </w:rPr>
              <w:t>Large Account</w:t>
            </w:r>
          </w:p>
        </w:tc>
        <w:tc>
          <w:tcPr>
            <w:tcW w:w="120" w:type="dxa"/>
            <w:vAlign w:val="bottom"/>
          </w:tcPr>
          <w:p>
            <w:pPr>
              <w:spacing w:after="0"/>
              <w:rPr>
                <w:sz w:val="15"/>
                <w:szCs w:val="15"/>
                <w:color w:val="auto"/>
              </w:rPr>
            </w:pPr>
          </w:p>
        </w:tc>
        <w:tc>
          <w:tcPr>
            <w:tcW w:w="480" w:type="dxa"/>
            <w:vAlign w:val="bottom"/>
          </w:tcPr>
          <w:p>
            <w:pPr>
              <w:jc w:val="right"/>
              <w:spacing w:after="0" w:line="176" w:lineRule="exact"/>
              <w:rPr>
                <w:sz w:val="20"/>
                <w:szCs w:val="20"/>
                <w:color w:val="auto"/>
              </w:rPr>
            </w:pPr>
            <w:r>
              <w:rPr>
                <w:rFonts w:ascii="Arial" w:cs="Arial" w:eastAsia="Arial" w:hAnsi="Arial"/>
                <w:sz w:val="18"/>
                <w:szCs w:val="18"/>
                <w:color w:val="auto"/>
              </w:rPr>
              <w:t>67.0</w:t>
            </w:r>
          </w:p>
        </w:tc>
        <w:tc>
          <w:tcPr>
            <w:tcW w:w="90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8.1</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spacing w:after="0" w:line="176" w:lineRule="exact"/>
              <w:rPr>
                <w:sz w:val="20"/>
                <w:szCs w:val="20"/>
                <w:color w:val="auto"/>
              </w:rPr>
            </w:pPr>
            <w:r>
              <w:rPr>
                <w:rFonts w:ascii="Arial" w:cs="Arial" w:eastAsia="Arial" w:hAnsi="Arial"/>
                <w:sz w:val="18"/>
                <w:szCs w:val="18"/>
                <w:color w:val="auto"/>
              </w:rPr>
              <w:t>63.4</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8"/>
                <w:szCs w:val="18"/>
                <w:color w:val="auto"/>
              </w:rPr>
              <w:t>8.8</w:t>
            </w:r>
          </w:p>
        </w:tc>
        <w:tc>
          <w:tcPr>
            <w:tcW w:w="240" w:type="dxa"/>
            <w:vAlign w:val="bottom"/>
          </w:tcPr>
          <w:p>
            <w:pPr>
              <w:spacing w:after="0"/>
              <w:rPr>
                <w:sz w:val="15"/>
                <w:szCs w:val="15"/>
                <w:color w:val="auto"/>
              </w:rPr>
            </w:pPr>
          </w:p>
        </w:tc>
        <w:tc>
          <w:tcPr>
            <w:tcW w:w="500" w:type="dxa"/>
            <w:vAlign w:val="bottom"/>
          </w:tcPr>
          <w:p>
            <w:pPr>
              <w:ind w:left="220"/>
              <w:spacing w:after="0" w:line="176" w:lineRule="exact"/>
              <w:rPr>
                <w:sz w:val="20"/>
                <w:szCs w:val="20"/>
                <w:color w:val="auto"/>
              </w:rPr>
            </w:pPr>
            <w:r>
              <w:rPr>
                <w:rFonts w:ascii="Arial" w:cs="Arial" w:eastAsia="Arial" w:hAnsi="Arial"/>
                <w:sz w:val="18"/>
                <w:szCs w:val="18"/>
                <w:color w:val="auto"/>
              </w:rPr>
              <w:t>5.7</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Public Sector</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48.1</w:t>
            </w:r>
          </w:p>
        </w:tc>
        <w:tc>
          <w:tcPr>
            <w:tcW w:w="90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10.3</w:t>
            </w: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45.1</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10.8</w:t>
            </w: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6.7</w:t>
            </w:r>
          </w:p>
        </w:tc>
        <w:tc>
          <w:tcPr>
            <w:tcW w:w="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6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Headquarters/Other, unallocated</w:t>
            </w: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9.8</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9.</w:t>
            </w:r>
            <w:r>
              <w:rPr>
                <w:rFonts w:ascii="Arial" w:cs="Arial" w:eastAsia="Arial" w:hAnsi="Arial"/>
                <w:sz w:val="18"/>
                <w:szCs w:val="18"/>
                <w:u w:val="single" w:color="auto"/>
                <w:color w:val="auto"/>
              </w:rPr>
              <w:t>2</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6.5</w:t>
            </w:r>
          </w:p>
        </w:tc>
        <w:tc>
          <w:tcPr>
            <w:tcW w:w="3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60" w:type="dxa"/>
            <w:vAlign w:val="bottom"/>
            <w:tcBorders>
              <w:bottom w:val="single" w:sz="8" w:color="CCEEFF"/>
            </w:tcBorders>
            <w:shd w:val="clear" w:color="auto" w:fill="CCEEFF"/>
          </w:tcPr>
          <w:p>
            <w:pPr>
              <w:ind w:left="320"/>
              <w:spacing w:after="0" w:line="170" w:lineRule="exact"/>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7"/>
              </w:rPr>
              <w:t>226.9</w:t>
            </w:r>
          </w:p>
        </w:tc>
        <w:tc>
          <w:tcPr>
            <w:tcW w:w="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CCEEFF"/>
            </w:tcBorders>
            <w:gridSpan w:val="3"/>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rPr>
              <w:t>10.6 %</w:t>
            </w:r>
          </w:p>
        </w:tc>
        <w:tc>
          <w:tcPr>
            <w:tcW w:w="1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3"/>
              </w:rPr>
              <w:t>214.4</w:t>
            </w:r>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rPr>
              <w:t>11.0 %</w:t>
            </w:r>
          </w:p>
        </w:tc>
        <w:tc>
          <w:tcPr>
            <w:tcW w:w="840" w:type="dxa"/>
            <w:vAlign w:val="bottom"/>
            <w:tcBorders>
              <w:bottom w:val="single" w:sz="8" w:color="CCEEFF"/>
            </w:tcBorders>
            <w:gridSpan w:val="2"/>
            <w:shd w:val="clear" w:color="auto" w:fill="CCEEFF"/>
          </w:tcPr>
          <w:p>
            <w:pPr>
              <w:ind w:left="220"/>
              <w:spacing w:after="0" w:line="170" w:lineRule="exact"/>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660" w:right="200" w:hanging="333"/>
        <w:spacing w:after="0" w:line="21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SG&amp;A expenses for the SMB segment increased in dollars and remained unchanged as a percentage of net sales. The year-over-year increase in SG&amp;A dollars was due to the inclusion of $2.4 million of personnel costs related to technical staff transferred from Headquarters and higher usage of Headquarter services of $2.5 million. The increase in Headquarter services was related to our investments in technical and engineering support provided to the SMB segment.</w:t>
      </w:r>
    </w:p>
    <w:p>
      <w:pPr>
        <w:spacing w:after="0" w:line="81" w:lineRule="exact"/>
        <w:rPr>
          <w:rFonts w:ascii="Arial" w:cs="Arial" w:eastAsia="Arial" w:hAnsi="Arial"/>
          <w:sz w:val="18"/>
          <w:szCs w:val="18"/>
          <w:color w:val="auto"/>
        </w:rPr>
      </w:pPr>
    </w:p>
    <w:p>
      <w:pPr>
        <w:ind w:left="660" w:hanging="333"/>
        <w:spacing w:after="0" w:line="244"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SG&amp;A expenses for the Large Account segment increased in dollars, but decreased as a percentage of net sales. The year-over-year increase in SG&amp;A dollars was due to the inclusion of $2.7 million of operating expenses for Globalserve and higher usage of Headquarter services of $0.8 million. The increase in Headquarter services was related to our investments in technical and engineering support provided to the Large Account segment. The decrease in SG&amp;A as a percentage of net sales was due to the leveraging of fixed costs over larger net sales.</w:t>
      </w:r>
    </w:p>
    <w:p>
      <w:pPr>
        <w:spacing w:after="0" w:line="77" w:lineRule="exact"/>
        <w:rPr>
          <w:rFonts w:ascii="Arial" w:cs="Arial" w:eastAsia="Arial" w:hAnsi="Arial"/>
          <w:sz w:val="16"/>
          <w:szCs w:val="16"/>
          <w:color w:val="auto"/>
        </w:rPr>
      </w:pPr>
    </w:p>
    <w:p>
      <w:pPr>
        <w:ind w:left="660" w:right="20" w:hanging="333"/>
        <w:spacing w:after="0" w:line="241"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SG&amp;A expenses for the Public Sector segment increased in dollars, but decreased as a percentage of net sales. The year-over-year increase in SG&amp;A dollars was due to $1.0 million of personnel costs which is primarily due to transfers of technical staff transferred from Headquarters and increased headcount, an increase in credit card fees of $0.4 million, and $1.3 million of higher usage of Headquarter services. The increase in Headquarter services was related to our investments in technical and engineering support provided to the Public Sector segment. The decrease in SG&amp;A as a percentage of net sales was due to the leveraging of fixed costs over larger net sales.</w:t>
      </w:r>
    </w:p>
    <w:p>
      <w:pPr>
        <w:spacing w:after="0" w:line="79" w:lineRule="exact"/>
        <w:rPr>
          <w:rFonts w:ascii="Arial" w:cs="Arial" w:eastAsia="Arial" w:hAnsi="Arial"/>
          <w:sz w:val="16"/>
          <w:szCs w:val="16"/>
          <w:color w:val="auto"/>
        </w:rPr>
      </w:pPr>
    </w:p>
    <w:p>
      <w:pPr>
        <w:ind w:left="660" w:right="200" w:hanging="333"/>
        <w:spacing w:after="0" w:line="232"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SG&amp;A expenses for the Headquarters/Other group increased due to an increase in unallocated executive oversight costs. The Headquarters/Other group provides services to the three segments in areas such as finance, human resources, IT, marketing, and product management. Most of the operating costs associated with such corporate headquarters services are charged to the segments based on their estimated usage of the underlying services. The amounts shown above represent the remaining unallocated costs.</w:t>
      </w:r>
    </w:p>
    <w:p>
      <w:pPr>
        <w:spacing w:after="0" w:line="122" w:lineRule="exact"/>
        <w:rPr>
          <w:sz w:val="20"/>
          <w:szCs w:val="20"/>
          <w:color w:val="auto"/>
        </w:rPr>
      </w:pPr>
    </w:p>
    <w:p>
      <w:pPr>
        <w:ind w:right="120" w:firstLine="324"/>
        <w:spacing w:after="0" w:line="219" w:lineRule="auto"/>
        <w:rPr>
          <w:sz w:val="20"/>
          <w:szCs w:val="20"/>
          <w:color w:val="auto"/>
        </w:rPr>
      </w:pPr>
      <w:r>
        <w:rPr>
          <w:rFonts w:ascii="Arial" w:cs="Arial" w:eastAsia="Arial" w:hAnsi="Arial"/>
          <w:sz w:val="18"/>
          <w:szCs w:val="18"/>
          <w:i w:val="1"/>
          <w:iCs w:val="1"/>
          <w:color w:val="auto"/>
        </w:rPr>
        <w:t xml:space="preserve">Income from operations </w:t>
      </w:r>
      <w:r>
        <w:rPr>
          <w:rFonts w:ascii="Arial" w:cs="Arial" w:eastAsia="Arial" w:hAnsi="Arial"/>
          <w:sz w:val="18"/>
          <w:szCs w:val="18"/>
          <w:color w:val="auto"/>
        </w:rPr>
        <w:t>for the nine months ended September 30, 2017 decreased to $55.7 million, compared to $58.6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nine months ended September 30, 2016, due to the increase in SG&amp;A. Income from operations as a percentage of net sales was 2.6% for the nine months ended September 30, 2017, compared to 3.0% of net sales for the nine months ended September 30, 2016.</w:t>
      </w:r>
    </w:p>
    <w:p>
      <w:pPr>
        <w:spacing w:after="0" w:line="122" w:lineRule="exact"/>
        <w:rPr>
          <w:sz w:val="20"/>
          <w:szCs w:val="20"/>
          <w:color w:val="auto"/>
        </w:rPr>
      </w:pPr>
    </w:p>
    <w:p>
      <w:pPr>
        <w:ind w:firstLine="324"/>
        <w:spacing w:after="0" w:line="238" w:lineRule="auto"/>
        <w:rPr>
          <w:sz w:val="20"/>
          <w:szCs w:val="20"/>
          <w:color w:val="auto"/>
        </w:rPr>
      </w:pPr>
      <w:r>
        <w:rPr>
          <w:rFonts w:ascii="Arial" w:cs="Arial" w:eastAsia="Arial" w:hAnsi="Arial"/>
          <w:sz w:val="17"/>
          <w:szCs w:val="17"/>
          <w:color w:val="auto"/>
        </w:rPr>
        <w:t>Our effective tax rate was 38.7% for the nine months ended September 30, 2017, compared to 40.0% for the nine months ended September 30, 2016. Our effective tax rate was mainly impacted by the recognition of excess tax benefit associated with stock based compensation exercised during the nine months ended September 30, 2017.</w:t>
      </w:r>
    </w:p>
    <w:p>
      <w:pPr>
        <w:spacing w:after="0" w:line="121" w:lineRule="exact"/>
        <w:rPr>
          <w:sz w:val="20"/>
          <w:szCs w:val="20"/>
          <w:color w:val="auto"/>
        </w:rPr>
      </w:pPr>
    </w:p>
    <w:p>
      <w:pPr>
        <w:ind w:right="220" w:firstLine="648"/>
        <w:spacing w:after="0" w:line="235"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for the nine months ended September 30, 2017 decreased to $34.1 million, compared to $35.1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nine months ended September 30, 2016, due to the decrease in operating income.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7" w:lineRule="exact"/>
        <w:rPr>
          <w:sz w:val="20"/>
          <w:szCs w:val="20"/>
          <w:color w:val="auto"/>
        </w:rPr>
      </w:pPr>
    </w:p>
    <w:p>
      <w:pPr>
        <w:ind w:right="40" w:firstLine="324"/>
        <w:spacing w:after="0" w:line="248" w:lineRule="auto"/>
        <w:rPr>
          <w:sz w:val="20"/>
          <w:szCs w:val="20"/>
          <w:color w:val="auto"/>
        </w:rPr>
      </w:pPr>
      <w:r>
        <w:rPr>
          <w:rFonts w:ascii="Arial" w:cs="Arial" w:eastAsia="Arial" w:hAnsi="Arial"/>
          <w:sz w:val="16"/>
          <w:szCs w:val="16"/>
          <w:color w:val="auto"/>
        </w:rPr>
        <w:t>Our primary sources of liquidity have historically been internally generated funds from operations and borrowings under our bank line of credit. We have used those funds to meet our capital requirements, which consist primarily of working capital for operational needs, capital expenditures for computer equipment and software used in our business, special dividend payments, repurchases of common stock for treasury, and as opportunities arise, acquisitions of new businesses.</w:t>
      </w:r>
    </w:p>
    <w:p>
      <w:pPr>
        <w:spacing w:after="0" w:line="117" w:lineRule="exact"/>
        <w:rPr>
          <w:sz w:val="20"/>
          <w:szCs w:val="20"/>
          <w:color w:val="auto"/>
        </w:rPr>
      </w:pPr>
    </w:p>
    <w:p>
      <w:pPr>
        <w:ind w:firstLine="324"/>
        <w:spacing w:after="0" w:line="223" w:lineRule="auto"/>
        <w:rPr>
          <w:sz w:val="20"/>
          <w:szCs w:val="20"/>
          <w:color w:val="auto"/>
        </w:rPr>
      </w:pPr>
      <w:r>
        <w:rPr>
          <w:rFonts w:ascii="Arial" w:cs="Arial" w:eastAsia="Arial" w:hAnsi="Arial"/>
          <w:sz w:val="17"/>
          <w:szCs w:val="17"/>
          <w:color w:val="auto"/>
        </w:rPr>
        <w:t>We believe that funds generated from operations, together with available credit under our bank line of credit, will be sufficient to finance our working capital, capital expenditures, and other requirements for at least the next twelve calendar months. We expect our capital needs for the next twelve months to consist primarily of capital expenditures of $18.0 to $20.0 million, and payments on leases and other contractual obligations of approximately $5.0 million. We have completed a comprehensive review and assessment of our entire business software needs, including commercially available software that meets, or can be configured to meet, those needs better than our existing software. In October 2017, we began a multi-year initiative to upgrade our IT infrastructure, and accordingly we expect our related capital investments to range from $20.0 to $25.0 million over the next two to three years.</w:t>
      </w:r>
    </w:p>
    <w:p>
      <w:pPr>
        <w:spacing w:after="0" w:line="127" w:lineRule="exact"/>
        <w:rPr>
          <w:sz w:val="20"/>
          <w:szCs w:val="20"/>
          <w:color w:val="auto"/>
        </w:rPr>
      </w:pPr>
    </w:p>
    <w:p>
      <w:pPr>
        <w:ind w:right="520" w:firstLine="324"/>
        <w:spacing w:after="0" w:line="235" w:lineRule="auto"/>
        <w:rPr>
          <w:sz w:val="20"/>
          <w:szCs w:val="20"/>
          <w:color w:val="auto"/>
        </w:rPr>
      </w:pPr>
      <w:r>
        <w:rPr>
          <w:rFonts w:ascii="Arial" w:cs="Arial" w:eastAsia="Arial" w:hAnsi="Arial"/>
          <w:sz w:val="18"/>
          <w:szCs w:val="18"/>
          <w:color w:val="auto"/>
        </w:rPr>
        <w:t>We expect to meet our cash requirements for the next twelve months through a combination of cash on hand, cash generated from operations, and borrowings on our bank line of credit, as follows:</w:t>
      </w:r>
    </w:p>
    <w:p>
      <w:pPr>
        <w:spacing w:after="0" w:line="121" w:lineRule="exact"/>
        <w:rPr>
          <w:sz w:val="20"/>
          <w:szCs w:val="20"/>
          <w:color w:val="auto"/>
        </w:rPr>
      </w:pPr>
    </w:p>
    <w:p>
      <w:pPr>
        <w:ind w:left="660" w:hanging="333"/>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Cash on Hand</w:t>
      </w:r>
      <w:r>
        <w:rPr>
          <w:rFonts w:ascii="Arial" w:cs="Arial" w:eastAsia="Arial" w:hAnsi="Arial"/>
          <w:sz w:val="17"/>
          <w:szCs w:val="17"/>
          <w:color w:val="auto"/>
        </w:rPr>
        <w:t>. At September 30, 2017, we had approximately $62.3 million in cash and cash equivalents.</w:t>
      </w:r>
    </w:p>
    <w:p>
      <w:pPr>
        <w:spacing w:after="0" w:line="115" w:lineRule="exact"/>
        <w:rPr>
          <w:rFonts w:ascii="Arial" w:cs="Arial" w:eastAsia="Arial" w:hAnsi="Arial"/>
          <w:sz w:val="17"/>
          <w:szCs w:val="17"/>
          <w:color w:val="auto"/>
        </w:rPr>
      </w:pPr>
    </w:p>
    <w:p>
      <w:pPr>
        <w:ind w:left="660" w:right="140" w:hanging="333"/>
        <w:spacing w:after="0" w:line="22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Cash Generated from Operations</w:t>
      </w:r>
      <w:r>
        <w:rPr>
          <w:rFonts w:ascii="Arial" w:cs="Arial" w:eastAsia="Arial" w:hAnsi="Arial"/>
          <w:sz w:val="18"/>
          <w:szCs w:val="18"/>
          <w:color w:val="auto"/>
        </w:rPr>
        <w:t>. We expect to generate cash flows from operations in excess of operating cash</w:t>
      </w:r>
      <w:r>
        <w:rPr>
          <w:rFonts w:ascii="Arial" w:cs="Arial" w:eastAsia="Arial" w:hAnsi="Arial"/>
          <w:sz w:val="18"/>
          <w:szCs w:val="18"/>
          <w:i w:val="1"/>
          <w:iCs w:val="1"/>
          <w:color w:val="auto"/>
        </w:rPr>
        <w:t xml:space="preserve"> </w:t>
      </w:r>
      <w:r>
        <w:rPr>
          <w:rFonts w:ascii="Arial" w:cs="Arial" w:eastAsia="Arial" w:hAnsi="Arial"/>
          <w:sz w:val="18"/>
          <w:szCs w:val="18"/>
          <w:color w:val="auto"/>
        </w:rPr>
        <w:t>needs by generating earnings and managing net changes in inventories and receivables with changes in payables to generate a positive cash flow.</w:t>
      </w:r>
    </w:p>
    <w:p>
      <w:pPr>
        <w:spacing w:after="0" w:line="82" w:lineRule="exact"/>
        <w:rPr>
          <w:rFonts w:ascii="Arial" w:cs="Arial" w:eastAsia="Arial" w:hAnsi="Arial"/>
          <w:sz w:val="18"/>
          <w:szCs w:val="18"/>
          <w:color w:val="auto"/>
        </w:rPr>
      </w:pPr>
    </w:p>
    <w:p>
      <w:pPr>
        <w:ind w:left="660" w:right="120" w:hanging="333"/>
        <w:spacing w:after="0" w:line="216"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Credit Facilities. </w:t>
      </w:r>
      <w:r>
        <w:rPr>
          <w:rFonts w:ascii="Arial" w:cs="Arial" w:eastAsia="Arial" w:hAnsi="Arial"/>
          <w:sz w:val="18"/>
          <w:szCs w:val="18"/>
          <w:color w:val="auto"/>
        </w:rPr>
        <w:t>As of September 30, 2017, no borrowings were outstanding against our $50.0 million bank line</w:t>
      </w:r>
      <w:r>
        <w:rPr>
          <w:rFonts w:ascii="Arial" w:cs="Arial" w:eastAsia="Arial" w:hAnsi="Arial"/>
          <w:sz w:val="18"/>
          <w:szCs w:val="18"/>
          <w:i w:val="1"/>
          <w:iCs w:val="1"/>
          <w:color w:val="auto"/>
        </w:rPr>
        <w:t xml:space="preserve"> </w:t>
      </w:r>
      <w:r>
        <w:rPr>
          <w:rFonts w:ascii="Arial" w:cs="Arial" w:eastAsia="Arial" w:hAnsi="Arial"/>
          <w:sz w:val="18"/>
          <w:szCs w:val="18"/>
          <w:color w:val="auto"/>
        </w:rPr>
        <w:t>of credit, which is available until February 10, 2022. Accordingly, our entire line of credit was available for borrowing at September 30, 2017. This line of credit can be increased, at our option, to $80.0 million for approved acquisitions or other uses authorized by the bank. Borrowings are, however, limited by certain minimum collateral and earnings requirements, as described more fully below.</w:t>
      </w:r>
    </w:p>
    <w:p>
      <w:pPr>
        <w:spacing w:after="0" w:line="122" w:lineRule="exact"/>
        <w:rPr>
          <w:sz w:val="20"/>
          <w:szCs w:val="20"/>
          <w:color w:val="auto"/>
        </w:rPr>
      </w:pPr>
    </w:p>
    <w:p>
      <w:pPr>
        <w:ind w:firstLine="324"/>
        <w:spacing w:after="0" w:line="229" w:lineRule="auto"/>
        <w:rPr>
          <w:sz w:val="20"/>
          <w:szCs w:val="20"/>
          <w:color w:val="auto"/>
        </w:rPr>
      </w:pPr>
      <w:r>
        <w:rPr>
          <w:rFonts w:ascii="Arial" w:cs="Arial" w:eastAsia="Arial" w:hAnsi="Arial"/>
          <w:sz w:val="17"/>
          <w:szCs w:val="17"/>
          <w:color w:val="auto"/>
        </w:rPr>
        <w:t>Our ability to continue funding our planned growth, both internally and externally, is dependent upon our ability to generate sufficient cash flow from operations or to obtain additional funds through equity or debt financing, or from other sources of financing, as may be required. While we do not anticipate needing any additional sources of financing to fund our operations at this time, if demand for IT products declines, our cash flows from operations may be substantially affected. See also related risks listed below under “Item 1A. “Risk Factors.”</w:t>
      </w:r>
    </w:p>
    <w:p>
      <w:pPr>
        <w:spacing w:after="0" w:line="29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Summary of Sources and Uses of Cash</w:t>
      </w:r>
    </w:p>
    <w:p>
      <w:pPr>
        <w:spacing w:after="0" w:line="1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sources and uses of cash over the periods indicated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14"/>
                <w:szCs w:val="14"/>
                <w:b w:val="1"/>
                <w:bCs w:val="1"/>
                <w:color w:val="auto"/>
              </w:rPr>
              <w:t>Nine Months Ended</w:t>
            </w:r>
          </w:p>
        </w:tc>
      </w:tr>
      <w:tr>
        <w:trPr>
          <w:trHeight w:val="129"/>
        </w:trPr>
        <w:tc>
          <w:tcPr>
            <w:tcW w:w="71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96"/>
              <w:spacing w:after="0" w:line="129"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74"/>
              <w:spacing w:after="0" w:line="129"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1"/>
                <w:szCs w:val="11"/>
                <w:color w:val="auto"/>
              </w:rPr>
            </w:pPr>
          </w:p>
        </w:tc>
      </w:tr>
      <w:tr>
        <w:trPr>
          <w:trHeight w:val="169"/>
        </w:trPr>
        <w:tc>
          <w:tcPr>
            <w:tcW w:w="71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Net cash provided by operating activities</w:t>
            </w:r>
          </w:p>
        </w:tc>
        <w:tc>
          <w:tcPr>
            <w:tcW w:w="1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28.4</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39.8</w:t>
            </w:r>
          </w:p>
        </w:tc>
        <w:tc>
          <w:tcPr>
            <w:tcW w:w="140" w:type="dxa"/>
            <w:vAlign w:val="bottom"/>
            <w:shd w:val="clear" w:color="auto" w:fill="CCEEFF"/>
          </w:tcPr>
          <w:p>
            <w:pPr>
              <w:spacing w:after="0"/>
              <w:rPr>
                <w:sz w:val="14"/>
                <w:szCs w:val="14"/>
                <w:color w:val="auto"/>
              </w:rPr>
            </w:pPr>
          </w:p>
        </w:tc>
      </w:tr>
      <w:tr>
        <w:trPr>
          <w:trHeight w:val="176"/>
        </w:trPr>
        <w:tc>
          <w:tcPr>
            <w:tcW w:w="7100" w:type="dxa"/>
            <w:vAlign w:val="bottom"/>
          </w:tcPr>
          <w:p>
            <w:pPr>
              <w:spacing w:after="0" w:line="176" w:lineRule="exact"/>
              <w:rPr>
                <w:sz w:val="20"/>
                <w:szCs w:val="20"/>
                <w:color w:val="auto"/>
              </w:rPr>
            </w:pPr>
            <w:r>
              <w:rPr>
                <w:rFonts w:ascii="Arial" w:cs="Arial" w:eastAsia="Arial" w:hAnsi="Arial"/>
                <w:sz w:val="18"/>
                <w:szCs w:val="18"/>
                <w:color w:val="auto"/>
              </w:rPr>
              <w:t>Net cash used for investing activities</w:t>
            </w:r>
          </w:p>
        </w:tc>
        <w:tc>
          <w:tcPr>
            <w:tcW w:w="180" w:type="dxa"/>
            <w:vAlign w:val="bottom"/>
          </w:tcPr>
          <w:p>
            <w:pPr>
              <w:spacing w:after="0"/>
              <w:rPr>
                <w:sz w:val="15"/>
                <w:szCs w:val="15"/>
                <w:color w:val="auto"/>
              </w:rPr>
            </w:pPr>
          </w:p>
        </w:tc>
        <w:tc>
          <w:tcPr>
            <w:tcW w:w="660" w:type="dxa"/>
            <w:vAlign w:val="bottom"/>
          </w:tcPr>
          <w:p>
            <w:pPr>
              <w:jc w:val="right"/>
              <w:spacing w:after="0" w:line="176" w:lineRule="exact"/>
              <w:rPr>
                <w:sz w:val="20"/>
                <w:szCs w:val="20"/>
                <w:color w:val="auto"/>
              </w:rPr>
            </w:pPr>
            <w:r>
              <w:rPr>
                <w:rFonts w:ascii="Arial" w:cs="Arial" w:eastAsia="Arial" w:hAnsi="Arial"/>
                <w:sz w:val="18"/>
                <w:szCs w:val="18"/>
                <w:color w:val="auto"/>
              </w:rPr>
              <w:t>(7.9)</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(42.7)</w:t>
            </w:r>
          </w:p>
        </w:tc>
      </w:tr>
      <w:tr>
        <w:trPr>
          <w:trHeight w:val="176"/>
        </w:trPr>
        <w:tc>
          <w:tcPr>
            <w:tcW w:w="71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Net cash used for financing activities</w:t>
            </w:r>
          </w:p>
        </w:tc>
        <w:tc>
          <w:tcPr>
            <w:tcW w:w="1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(7.3)</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(10.4)</w:t>
            </w:r>
          </w:p>
        </w:tc>
      </w:tr>
      <w:tr>
        <w:trPr>
          <w:trHeight w:val="176"/>
        </w:trPr>
        <w:tc>
          <w:tcPr>
            <w:tcW w:w="7100" w:type="dxa"/>
            <w:vAlign w:val="bottom"/>
          </w:tcPr>
          <w:p>
            <w:pPr>
              <w:spacing w:after="0" w:line="170" w:lineRule="exact"/>
              <w:rPr>
                <w:sz w:val="20"/>
                <w:szCs w:val="20"/>
                <w:color w:val="auto"/>
              </w:rPr>
            </w:pPr>
            <w:r>
              <w:rPr>
                <w:rFonts w:ascii="Arial" w:cs="Arial" w:eastAsia="Arial" w:hAnsi="Arial"/>
                <w:sz w:val="18"/>
                <w:szCs w:val="18"/>
                <w:color w:val="auto"/>
              </w:rPr>
              <w:t>Increase (decrease) in cash and cash equivalents</w:t>
            </w:r>
          </w:p>
        </w:tc>
        <w:tc>
          <w:tcPr>
            <w:tcW w:w="1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13.2</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gridSpan w:val="2"/>
          </w:tcPr>
          <w:p>
            <w:pPr>
              <w:jc w:val="right"/>
              <w:ind w:right="120"/>
              <w:spacing w:after="0" w:line="170" w:lineRule="exact"/>
              <w:rPr>
                <w:sz w:val="20"/>
                <w:szCs w:val="20"/>
                <w:color w:val="auto"/>
              </w:rPr>
            </w:pPr>
            <w:r>
              <w:rPr>
                <w:rFonts w:ascii="Arial" w:cs="Arial" w:eastAsia="Arial" w:hAnsi="Arial"/>
                <w:sz w:val="18"/>
                <w:szCs w:val="18"/>
                <w:color w:val="auto"/>
              </w:rPr>
              <w:t>(13.3)</w:t>
            </w:r>
          </w:p>
        </w:tc>
      </w:tr>
    </w:tbl>
    <w:p>
      <w:pPr>
        <w:spacing w:after="0" w:line="148" w:lineRule="exact"/>
        <w:rPr>
          <w:sz w:val="20"/>
          <w:szCs w:val="20"/>
          <w:color w:val="auto"/>
        </w:rPr>
      </w:pPr>
    </w:p>
    <w:p>
      <w:pPr>
        <w:ind w:firstLine="324"/>
        <w:spacing w:after="0" w:line="225" w:lineRule="auto"/>
        <w:rPr>
          <w:sz w:val="20"/>
          <w:szCs w:val="20"/>
          <w:color w:val="auto"/>
        </w:rPr>
      </w:pPr>
      <w:r>
        <w:rPr>
          <w:rFonts w:ascii="Arial" w:cs="Arial" w:eastAsia="Arial" w:hAnsi="Arial"/>
          <w:sz w:val="17"/>
          <w:szCs w:val="17"/>
          <w:i w:val="1"/>
          <w:iCs w:val="1"/>
          <w:color w:val="auto"/>
        </w:rPr>
        <w:t xml:space="preserve">Cash provided by operating activities </w:t>
      </w:r>
      <w:r>
        <w:rPr>
          <w:rFonts w:ascii="Arial" w:cs="Arial" w:eastAsia="Arial" w:hAnsi="Arial"/>
          <w:sz w:val="17"/>
          <w:szCs w:val="17"/>
          <w:color w:val="auto"/>
        </w:rPr>
        <w:t>was $28.4 million in the nine months ended September 30, 2017. Cash flow</w:t>
      </w:r>
      <w:r>
        <w:rPr>
          <w:rFonts w:ascii="Arial" w:cs="Arial" w:eastAsia="Arial" w:hAnsi="Arial"/>
          <w:sz w:val="17"/>
          <w:szCs w:val="17"/>
          <w:i w:val="1"/>
          <w:iCs w:val="1"/>
          <w:color w:val="auto"/>
        </w:rPr>
        <w:t xml:space="preserve"> </w:t>
      </w:r>
      <w:r>
        <w:rPr>
          <w:rFonts w:ascii="Arial" w:cs="Arial" w:eastAsia="Arial" w:hAnsi="Arial"/>
          <w:sz w:val="17"/>
          <w:szCs w:val="17"/>
          <w:color w:val="auto"/>
        </w:rPr>
        <w:t>provided for operations in the nine months ended September 30, 2017 resulted primarily from net income before depreciation and amortization and a decrease in accounts receivable, offset by an increase in inventory and a decrease in accounts payable. Accounts receivable decreased by $28.1 million from the prior year-end balance. Days sales outstanding increased to 43 days at September 30, 2017, compared to 42 days at September 30, 2016. Inventory increased from the prior year-end balance by $16.2 million due to higher levels of inventory on-hand related to future backlog and an increase in shipments not received by our customers as of September 30, 2017 compared to December</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31, 2016. Inventory turns decreased to 22 turns for the third quarter of 2017 compared to 23 turns for the prior year quarter.</w:t>
      </w:r>
    </w:p>
    <w:p>
      <w:pPr>
        <w:spacing w:after="0" w:line="167" w:lineRule="exact"/>
        <w:rPr>
          <w:sz w:val="20"/>
          <w:szCs w:val="20"/>
          <w:color w:val="auto"/>
        </w:rPr>
      </w:pPr>
    </w:p>
    <w:p>
      <w:pPr>
        <w:ind w:firstLine="324"/>
        <w:spacing w:after="0" w:line="219" w:lineRule="auto"/>
        <w:rPr>
          <w:sz w:val="20"/>
          <w:szCs w:val="20"/>
          <w:color w:val="auto"/>
        </w:rPr>
      </w:pPr>
      <w:r>
        <w:rPr>
          <w:rFonts w:ascii="Arial" w:cs="Arial" w:eastAsia="Arial" w:hAnsi="Arial"/>
          <w:sz w:val="18"/>
          <w:szCs w:val="18"/>
          <w:color w:val="auto"/>
        </w:rPr>
        <w:t>At September 30, 2017, we had $164.9 million in outstanding accounts payable. Such accounts are generally paid within 30 days of incurrence, or earlier when favorable cash discounts are offered. This balance will be paid by cash flows from operations or short-term borrowings under the line of credit. We believe we will be able to meet our obligations under our accounts payable with cash flows from operations and our existing line of credit.</w:t>
      </w:r>
    </w:p>
    <w:p>
      <w:pPr>
        <w:spacing w:after="0" w:line="122" w:lineRule="exact"/>
        <w:rPr>
          <w:sz w:val="20"/>
          <w:szCs w:val="20"/>
          <w:color w:val="auto"/>
        </w:rPr>
      </w:pPr>
    </w:p>
    <w:p>
      <w:pPr>
        <w:ind w:right="60" w:firstLine="324"/>
        <w:spacing w:after="0" w:line="216" w:lineRule="auto"/>
        <w:rPr>
          <w:sz w:val="20"/>
          <w:szCs w:val="20"/>
          <w:color w:val="auto"/>
        </w:rPr>
      </w:pPr>
      <w:r>
        <w:rPr>
          <w:rFonts w:ascii="Arial" w:cs="Arial" w:eastAsia="Arial" w:hAnsi="Arial"/>
          <w:sz w:val="18"/>
          <w:szCs w:val="18"/>
          <w:i w:val="1"/>
          <w:iCs w:val="1"/>
          <w:color w:val="auto"/>
        </w:rPr>
        <w:t xml:space="preserve">Cash used for investing activities </w:t>
      </w:r>
      <w:r>
        <w:rPr>
          <w:rFonts w:ascii="Arial" w:cs="Arial" w:eastAsia="Arial" w:hAnsi="Arial"/>
          <w:sz w:val="18"/>
          <w:szCs w:val="18"/>
          <w:color w:val="auto"/>
        </w:rPr>
        <w:t>in the nine months ended September 30, 2017 represented $7.9 million of purchases of</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and equipment. These expenditures were primarily for computer equipment and capitalized internally-developed software in connection with investments in our IT infrastructure. Whereas in the prior year period, investing activities represented $34.0 million payment for the acquisition of Softmart, Inc. and $8.7 million of purchases of property and equipment.</w:t>
      </w:r>
    </w:p>
    <w:p>
      <w:pPr>
        <w:spacing w:after="0" w:line="122" w:lineRule="exact"/>
        <w:rPr>
          <w:sz w:val="20"/>
          <w:szCs w:val="20"/>
          <w:color w:val="auto"/>
        </w:rPr>
      </w:pPr>
    </w:p>
    <w:p>
      <w:pPr>
        <w:ind w:right="300" w:firstLine="324"/>
        <w:spacing w:after="0" w:line="225" w:lineRule="auto"/>
        <w:rPr>
          <w:sz w:val="20"/>
          <w:szCs w:val="20"/>
          <w:color w:val="auto"/>
        </w:rPr>
      </w:pPr>
      <w:r>
        <w:rPr>
          <w:rFonts w:ascii="Arial" w:cs="Arial" w:eastAsia="Arial" w:hAnsi="Arial"/>
          <w:sz w:val="17"/>
          <w:szCs w:val="17"/>
          <w:i w:val="1"/>
          <w:iCs w:val="1"/>
          <w:color w:val="auto"/>
        </w:rPr>
        <w:t xml:space="preserve">Cash used for financing activities </w:t>
      </w:r>
      <w:r>
        <w:rPr>
          <w:rFonts w:ascii="Arial" w:cs="Arial" w:eastAsia="Arial" w:hAnsi="Arial"/>
          <w:sz w:val="17"/>
          <w:szCs w:val="17"/>
          <w:color w:val="auto"/>
        </w:rPr>
        <w:t>in the nine months ended September 30, 2017 consisted primarily of a $9.0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payment of a special $0.34 per share dividend, offset by $1.6 million of proceeds from the exercise of stock</w:t>
      </w:r>
    </w:p>
    <w:p>
      <w:pPr>
        <w:spacing w:after="0" w:line="1" w:lineRule="exact"/>
        <w:rPr>
          <w:sz w:val="20"/>
          <w:szCs w:val="20"/>
          <w:color w:val="auto"/>
        </w:rPr>
      </w:pPr>
    </w:p>
    <w:p>
      <w:pPr>
        <w:ind w:right="340"/>
        <w:spacing w:after="0" w:line="226" w:lineRule="auto"/>
        <w:rPr>
          <w:sz w:val="20"/>
          <w:szCs w:val="20"/>
          <w:color w:val="auto"/>
        </w:rPr>
      </w:pPr>
      <w:r>
        <w:rPr>
          <w:rFonts w:ascii="Arial" w:cs="Arial" w:eastAsia="Arial" w:hAnsi="Arial"/>
          <w:sz w:val="18"/>
          <w:szCs w:val="18"/>
          <w:color w:val="auto"/>
        </w:rPr>
        <w:t>options. Whereas in the prior year period, financing activities primarily represented a $10.6 million payment of a special $0.40 per share dividend.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Instruments, Contractual Agreements, and Related Covenants</w:t>
      </w:r>
    </w:p>
    <w:p>
      <w:pPr>
        <w:spacing w:after="0" w:line="144" w:lineRule="exact"/>
        <w:rPr>
          <w:sz w:val="20"/>
          <w:szCs w:val="20"/>
          <w:color w:val="auto"/>
        </w:rPr>
      </w:pPr>
    </w:p>
    <w:p>
      <w:pPr>
        <w:ind w:firstLine="324"/>
        <w:spacing w:after="0" w:line="232" w:lineRule="auto"/>
        <w:rPr>
          <w:sz w:val="20"/>
          <w:szCs w:val="20"/>
          <w:color w:val="auto"/>
        </w:rPr>
      </w:pPr>
      <w:r>
        <w:rPr>
          <w:rFonts w:ascii="Arial" w:cs="Arial" w:eastAsia="Arial" w:hAnsi="Arial"/>
          <w:sz w:val="17"/>
          <w:szCs w:val="17"/>
          <w:color w:val="auto"/>
        </w:rPr>
        <w:t>Below is a summary of certain provisions of our credit facilities and other contractual obligations. For more information about the restrictive covenants in our debt instruments and inventory financing agreements, see “Factors Affecting Sources of Liquidity” below. For more information about our obligations, commitments, and contingencies, see our condensed consolidated financial statements and the accompanying notes included in this Quarterly Report.</w:t>
      </w:r>
    </w:p>
    <w:p>
      <w:pPr>
        <w:spacing w:after="0" w:line="122" w:lineRule="exact"/>
        <w:rPr>
          <w:sz w:val="20"/>
          <w:szCs w:val="20"/>
          <w:color w:val="auto"/>
        </w:rPr>
      </w:pPr>
    </w:p>
    <w:p>
      <w:pPr>
        <w:ind w:right="80" w:firstLine="324"/>
        <w:spacing w:after="0" w:line="212" w:lineRule="auto"/>
        <w:rPr>
          <w:sz w:val="20"/>
          <w:szCs w:val="20"/>
          <w:color w:val="auto"/>
        </w:rPr>
      </w:pPr>
      <w:r>
        <w:rPr>
          <w:rFonts w:ascii="Arial" w:cs="Arial" w:eastAsia="Arial" w:hAnsi="Arial"/>
          <w:sz w:val="18"/>
          <w:szCs w:val="18"/>
          <w:i w:val="1"/>
          <w:iCs w:val="1"/>
          <w:color w:val="auto"/>
        </w:rPr>
        <w:t>Bank Line of Credit</w:t>
      </w:r>
      <w:r>
        <w:rPr>
          <w:rFonts w:ascii="Arial" w:cs="Arial" w:eastAsia="Arial" w:hAnsi="Arial"/>
          <w:sz w:val="18"/>
          <w:szCs w:val="18"/>
          <w:color w:val="auto"/>
        </w:rPr>
        <w:t>. Our bank line of credit extends until February 2022 and is collateralized by our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 Our borrowing capacity is up to $50.0 million at the one-month London Interbank Offered Rate, or LIBOR, plus a spread based on our funded debt ratio, or in the absence of LIBOR, the prime rate (4.25% at September 30, 2017). The one-month LIBOR rate at September 30, 2017 was 1.23%. In addition, we have the option to increase the facility by an additional $30.0 million to meet additional borrowing requirements. Our credit facility is subject to certain covenant requirements which are described below under “Factors Affecting Sources of Liquidity.” At September 30, 2017, the entire $50.0 million facility was available for borrowing.</w:t>
      </w:r>
    </w:p>
    <w:p>
      <w:pPr>
        <w:spacing w:after="0" w:line="125" w:lineRule="exact"/>
        <w:rPr>
          <w:sz w:val="20"/>
          <w:szCs w:val="20"/>
          <w:color w:val="auto"/>
        </w:rPr>
      </w:pPr>
    </w:p>
    <w:p>
      <w:pPr>
        <w:ind w:right="40" w:firstLine="324"/>
        <w:spacing w:after="0" w:line="224" w:lineRule="auto"/>
        <w:rPr>
          <w:sz w:val="20"/>
          <w:szCs w:val="20"/>
          <w:color w:val="auto"/>
        </w:rPr>
      </w:pPr>
      <w:r>
        <w:rPr>
          <w:rFonts w:ascii="Arial" w:cs="Arial" w:eastAsia="Arial" w:hAnsi="Arial"/>
          <w:sz w:val="18"/>
          <w:szCs w:val="18"/>
          <w:color w:val="auto"/>
        </w:rPr>
        <w:t>Cash receipts are automatically applied against any outstanding borrowings. Any excess cash on account may either remain on account to generate earned credits to offset up to 100% of cash management fees, or may be invested in short-term qualified investments. Borrowings under the line of credit are classified as current.</w:t>
      </w:r>
    </w:p>
    <w:p>
      <w:pPr>
        <w:spacing w:after="0" w:line="123" w:lineRule="exact"/>
        <w:rPr>
          <w:sz w:val="20"/>
          <w:szCs w:val="20"/>
          <w:color w:val="auto"/>
        </w:rPr>
      </w:pPr>
    </w:p>
    <w:p>
      <w:pPr>
        <w:ind w:right="280" w:firstLine="324"/>
        <w:spacing w:after="0" w:line="224" w:lineRule="auto"/>
        <w:rPr>
          <w:sz w:val="20"/>
          <w:szCs w:val="20"/>
          <w:color w:val="auto"/>
        </w:rPr>
      </w:pPr>
      <w:r>
        <w:rPr>
          <w:rFonts w:ascii="Arial" w:cs="Arial" w:eastAsia="Arial" w:hAnsi="Arial"/>
          <w:sz w:val="18"/>
          <w:szCs w:val="18"/>
          <w:i w:val="1"/>
          <w:iCs w:val="1"/>
          <w:color w:val="auto"/>
        </w:rPr>
        <w:t>Operating Leases</w:t>
      </w:r>
      <w:r>
        <w:rPr>
          <w:rFonts w:ascii="Arial" w:cs="Arial" w:eastAsia="Arial" w:hAnsi="Arial"/>
          <w:sz w:val="18"/>
          <w:szCs w:val="18"/>
          <w:color w:val="auto"/>
        </w:rPr>
        <w:t>. We lease facilities from our principal stockholders and facilities and equipment from third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under non-cancelable operating leases which have been reported in the “Contractual Obligations” section of our Annual Report on Form 10-K for the year ended December 31, 2016.</w:t>
      </w:r>
    </w:p>
    <w:p>
      <w:pPr>
        <w:spacing w:after="0" w:line="123" w:lineRule="exact"/>
        <w:rPr>
          <w:sz w:val="20"/>
          <w:szCs w:val="20"/>
          <w:color w:val="auto"/>
        </w:rPr>
      </w:pPr>
    </w:p>
    <w:p>
      <w:pPr>
        <w:ind w:right="60" w:firstLine="324"/>
        <w:spacing w:after="0" w:line="238" w:lineRule="auto"/>
        <w:rPr>
          <w:sz w:val="20"/>
          <w:szCs w:val="20"/>
          <w:color w:val="auto"/>
        </w:rPr>
      </w:pPr>
      <w:r>
        <w:rPr>
          <w:rFonts w:ascii="Arial" w:cs="Arial" w:eastAsia="Arial" w:hAnsi="Arial"/>
          <w:sz w:val="17"/>
          <w:szCs w:val="17"/>
          <w:i w:val="1"/>
          <w:iCs w:val="1"/>
          <w:color w:val="auto"/>
        </w:rPr>
        <w:t xml:space="preserve">Off-Balance Sheet Arrangements. </w:t>
      </w:r>
      <w:r>
        <w:rPr>
          <w:rFonts w:ascii="Arial" w:cs="Arial" w:eastAsia="Arial" w:hAnsi="Arial"/>
          <w:sz w:val="17"/>
          <w:szCs w:val="17"/>
          <w:color w:val="auto"/>
        </w:rPr>
        <w:t>We do not have any off-balance sheet arrangements that have or are reasonably likely</w:t>
      </w:r>
      <w:r>
        <w:rPr>
          <w:rFonts w:ascii="Arial" w:cs="Arial" w:eastAsia="Arial" w:hAnsi="Arial"/>
          <w:sz w:val="17"/>
          <w:szCs w:val="17"/>
          <w:i w:val="1"/>
          <w:iCs w:val="1"/>
          <w:color w:val="auto"/>
        </w:rPr>
        <w:t xml:space="preserve"> </w:t>
      </w:r>
      <w:r>
        <w:rPr>
          <w:rFonts w:ascii="Arial" w:cs="Arial" w:eastAsia="Arial" w:hAnsi="Arial"/>
          <w:sz w:val="17"/>
          <w:szCs w:val="17"/>
          <w:color w:val="auto"/>
        </w:rPr>
        <w:t>to have a current or future material effect on our financial condition, changes in financial condition, revenues and expenses, results of operations, liquidity, capital expenditures, or capital resources that is material to investors.</w:t>
      </w:r>
    </w:p>
    <w:p>
      <w:pPr>
        <w:spacing w:after="0" w:line="121" w:lineRule="exact"/>
        <w:rPr>
          <w:sz w:val="20"/>
          <w:szCs w:val="20"/>
          <w:color w:val="auto"/>
        </w:rPr>
      </w:pPr>
    </w:p>
    <w:p>
      <w:pPr>
        <w:jc w:val="both"/>
        <w:ind w:right="40" w:firstLine="324"/>
        <w:spacing w:after="0" w:line="235" w:lineRule="auto"/>
        <w:rPr>
          <w:sz w:val="20"/>
          <w:szCs w:val="20"/>
          <w:color w:val="auto"/>
        </w:rPr>
      </w:pPr>
      <w:r>
        <w:rPr>
          <w:rFonts w:ascii="Arial" w:cs="Arial" w:eastAsia="Arial" w:hAnsi="Arial"/>
          <w:sz w:val="18"/>
          <w:szCs w:val="18"/>
          <w:i w:val="1"/>
          <w:iCs w:val="1"/>
          <w:color w:val="auto"/>
        </w:rPr>
        <w:t xml:space="preserve">Contractual Obligations. </w:t>
      </w:r>
      <w:r>
        <w:rPr>
          <w:rFonts w:ascii="Arial" w:cs="Arial" w:eastAsia="Arial" w:hAnsi="Arial"/>
          <w:sz w:val="18"/>
          <w:szCs w:val="18"/>
          <w:color w:val="auto"/>
        </w:rPr>
        <w:t>The disclosures relating to our contractual obligations in our Annual Report on Form 10-K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2016 have not materially changed since the report was filed.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Factors Affecting Sources of Liquidity</w:t>
      </w:r>
    </w:p>
    <w:p>
      <w:pPr>
        <w:spacing w:after="0" w:line="144" w:lineRule="exact"/>
        <w:rPr>
          <w:sz w:val="20"/>
          <w:szCs w:val="20"/>
          <w:color w:val="auto"/>
        </w:rPr>
      </w:pPr>
    </w:p>
    <w:p>
      <w:pPr>
        <w:jc w:val="both"/>
        <w:ind w:right="60" w:firstLine="324"/>
        <w:spacing w:after="0" w:line="224" w:lineRule="auto"/>
        <w:rPr>
          <w:sz w:val="20"/>
          <w:szCs w:val="20"/>
          <w:color w:val="auto"/>
        </w:rPr>
      </w:pPr>
      <w:r>
        <w:rPr>
          <w:rFonts w:ascii="Arial" w:cs="Arial" w:eastAsia="Arial" w:hAnsi="Arial"/>
          <w:sz w:val="18"/>
          <w:szCs w:val="18"/>
          <w:i w:val="1"/>
          <w:iCs w:val="1"/>
          <w:color w:val="auto"/>
        </w:rPr>
        <w:t xml:space="preserve">Internally Generated Funds. </w:t>
      </w:r>
      <w:r>
        <w:rPr>
          <w:rFonts w:ascii="Arial" w:cs="Arial" w:eastAsia="Arial" w:hAnsi="Arial"/>
          <w:sz w:val="18"/>
          <w:szCs w:val="18"/>
          <w:color w:val="auto"/>
        </w:rPr>
        <w:t>The key factors affecting our internally generated funds are our ability to minimize costs</w:t>
      </w:r>
      <w:r>
        <w:rPr>
          <w:rFonts w:ascii="Arial" w:cs="Arial" w:eastAsia="Arial" w:hAnsi="Arial"/>
          <w:sz w:val="18"/>
          <w:szCs w:val="18"/>
          <w:i w:val="1"/>
          <w:iCs w:val="1"/>
          <w:color w:val="auto"/>
        </w:rPr>
        <w:t xml:space="preserve"> </w:t>
      </w:r>
      <w:r>
        <w:rPr>
          <w:rFonts w:ascii="Arial" w:cs="Arial" w:eastAsia="Arial" w:hAnsi="Arial"/>
          <w:sz w:val="18"/>
          <w:szCs w:val="18"/>
          <w:color w:val="auto"/>
        </w:rPr>
        <w:t>and fully achieve our operating efficiencies, timely collection of our customer receivables, and management of our inventory levels.</w:t>
      </w:r>
    </w:p>
    <w:p>
      <w:pPr>
        <w:spacing w:after="0" w:line="123" w:lineRule="exact"/>
        <w:rPr>
          <w:sz w:val="20"/>
          <w:szCs w:val="20"/>
          <w:color w:val="auto"/>
        </w:rPr>
      </w:pPr>
    </w:p>
    <w:p>
      <w:pPr>
        <w:jc w:val="center"/>
        <w:ind w:right="480"/>
        <w:spacing w:after="0" w:line="289" w:lineRule="auto"/>
        <w:rPr>
          <w:sz w:val="20"/>
          <w:szCs w:val="20"/>
          <w:color w:val="auto"/>
        </w:rPr>
      </w:pPr>
      <w:r>
        <w:rPr>
          <w:rFonts w:ascii="Arial" w:cs="Arial" w:eastAsia="Arial" w:hAnsi="Arial"/>
          <w:sz w:val="16"/>
          <w:szCs w:val="16"/>
          <w:i w:val="1"/>
          <w:iCs w:val="1"/>
          <w:color w:val="auto"/>
        </w:rPr>
        <w:t xml:space="preserve">Bank Line of Credit. </w:t>
      </w:r>
      <w:r>
        <w:rPr>
          <w:rFonts w:ascii="Arial" w:cs="Arial" w:eastAsia="Arial" w:hAnsi="Arial"/>
          <w:sz w:val="16"/>
          <w:szCs w:val="16"/>
          <w:color w:val="auto"/>
        </w:rPr>
        <w:t>Our bank line of credit extends until February 2022 and is collateralized by our accounts</w:t>
      </w:r>
      <w:r>
        <w:rPr>
          <w:rFonts w:ascii="Arial" w:cs="Arial" w:eastAsia="Arial" w:hAnsi="Arial"/>
          <w:sz w:val="16"/>
          <w:szCs w:val="16"/>
          <w:i w:val="1"/>
          <w:iCs w:val="1"/>
          <w:color w:val="auto"/>
        </w:rPr>
        <w:t xml:space="preserve"> </w:t>
      </w:r>
      <w:r>
        <w:rPr>
          <w:rFonts w:ascii="Arial" w:cs="Arial" w:eastAsia="Arial" w:hAnsi="Arial"/>
          <w:sz w:val="16"/>
          <w:szCs w:val="16"/>
          <w:color w:val="auto"/>
        </w:rPr>
        <w:t>receivable. As of September 30, 2017, the entire $50.0 million facility was available for borrowing. Our credit facility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80"/>
        <w:spacing w:after="0" w:line="216" w:lineRule="auto"/>
        <w:rPr>
          <w:sz w:val="20"/>
          <w:szCs w:val="20"/>
          <w:color w:val="auto"/>
        </w:rPr>
      </w:pPr>
      <w:r>
        <w:rPr>
          <w:rFonts w:ascii="Arial" w:cs="Arial" w:eastAsia="Arial" w:hAnsi="Arial"/>
          <w:sz w:val="18"/>
          <w:szCs w:val="18"/>
          <w:color w:val="auto"/>
        </w:rPr>
        <w:t>contains certain financial ratios and operational covenants and other restrictions (including restrictions on additional debt, guarantees, and other distributions, investments, and liens) with which we and all of our subsidiaries must comply. Our credit facility does not include restrictions on future dividend payments. Any failure to comply with the covenants and other restrictions would constitute a default and could prevent us from borrowing additional funds under this line of credit. This credit facility contains two financial tests:</w:t>
      </w:r>
    </w:p>
    <w:p>
      <w:pPr>
        <w:spacing w:after="0" w:line="122" w:lineRule="exact"/>
        <w:rPr>
          <w:sz w:val="20"/>
          <w:szCs w:val="20"/>
          <w:color w:val="auto"/>
        </w:rPr>
      </w:pPr>
    </w:p>
    <w:p>
      <w:pPr>
        <w:ind w:left="660" w:right="80" w:hanging="333"/>
        <w:spacing w:after="0" w:line="216"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funded debt ratio (defined as the average outstanding advances under the line for the quarter, divided by the consolidated Adjusted EBITDA for the trailing four quarters) must not be more than 2.0 to 1.0. Our actual funded ratio as of September 30, 2017 was 0.01 to 1.0, as average borrowings against our credit facility were minimal during the three months ended September 30, 2017. Future decreases in our consolidated Adjusted EBITDA, could limit our potential borrowings under the credit facility.</w:t>
      </w:r>
    </w:p>
    <w:p>
      <w:pPr>
        <w:spacing w:after="0" w:line="81" w:lineRule="exact"/>
        <w:rPr>
          <w:rFonts w:ascii="Arial" w:cs="Arial" w:eastAsia="Arial" w:hAnsi="Arial"/>
          <w:sz w:val="18"/>
          <w:szCs w:val="18"/>
          <w:color w:val="auto"/>
        </w:rPr>
      </w:pPr>
    </w:p>
    <w:p>
      <w:pPr>
        <w:ind w:left="660" w:right="240" w:hanging="333"/>
        <w:spacing w:after="0" w:line="21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Minimum Consolidated Net Worth must be at least $346.7 million, plus 50% of consolidated net income for each quarter, beginning with the quarter ended December 31, 2016 (loss quarters not counted). Such amount was calculated as $370.3 million at September 30, 2017, whereas our actual consolidated stockholders’ equity at this date was in compliance at $469.9 million.</w:t>
      </w:r>
    </w:p>
    <w:p>
      <w:pPr>
        <w:spacing w:after="0" w:line="122" w:lineRule="exact"/>
        <w:rPr>
          <w:sz w:val="20"/>
          <w:szCs w:val="20"/>
          <w:color w:val="auto"/>
        </w:rPr>
      </w:pPr>
    </w:p>
    <w:p>
      <w:pPr>
        <w:ind w:firstLine="324"/>
        <w:spacing w:after="0" w:line="224" w:lineRule="auto"/>
        <w:rPr>
          <w:sz w:val="20"/>
          <w:szCs w:val="20"/>
          <w:color w:val="auto"/>
        </w:rPr>
      </w:pPr>
      <w:r>
        <w:rPr>
          <w:rFonts w:ascii="Arial" w:cs="Arial" w:eastAsia="Arial" w:hAnsi="Arial"/>
          <w:sz w:val="18"/>
          <w:szCs w:val="18"/>
          <w:i w:val="1"/>
          <w:iCs w:val="1"/>
          <w:color w:val="auto"/>
        </w:rPr>
        <w:t xml:space="preserve">Capital Markets. </w:t>
      </w:r>
      <w:r>
        <w:rPr>
          <w:rFonts w:ascii="Arial" w:cs="Arial" w:eastAsia="Arial" w:hAnsi="Arial"/>
          <w:sz w:val="18"/>
          <w:szCs w:val="18"/>
          <w:color w:val="auto"/>
        </w:rPr>
        <w:t>Our ability to raise additional funds in the capital market depends upon, among other things,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economic conditions, the condition of the information technology industry, our financial performance and stock price, and the state of the capital markets.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CRITICAL ACCOUNTING POLICIES AND ESTIMATES</w:t>
      </w:r>
    </w:p>
    <w:p>
      <w:pPr>
        <w:spacing w:after="0" w:line="148" w:lineRule="exact"/>
        <w:rPr>
          <w:sz w:val="20"/>
          <w:szCs w:val="20"/>
          <w:color w:val="auto"/>
        </w:rPr>
      </w:pPr>
    </w:p>
    <w:p>
      <w:pPr>
        <w:jc w:val="both"/>
        <w:ind w:right="80" w:firstLine="324"/>
        <w:spacing w:after="0" w:line="224" w:lineRule="auto"/>
        <w:rPr>
          <w:sz w:val="20"/>
          <w:szCs w:val="20"/>
          <w:color w:val="auto"/>
        </w:rPr>
      </w:pPr>
      <w:r>
        <w:rPr>
          <w:rFonts w:ascii="Arial" w:cs="Arial" w:eastAsia="Arial" w:hAnsi="Arial"/>
          <w:sz w:val="18"/>
          <w:szCs w:val="18"/>
          <w:color w:val="auto"/>
        </w:rPr>
        <w:t>Our critical accounting policies have not materially changed from those discussed in our Annual Report on Form 10-K for the year ended December 31, 2016. These policies include revenue recognition, accounts receivable, vendor allowances, inventory, and the value of goodwill and long-lived assets, including intangibles.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FINANCIAL ACCOUNTING STANDARDS</w:t>
      </w:r>
    </w:p>
    <w:p>
      <w:pPr>
        <w:spacing w:after="0" w:line="148" w:lineRule="exact"/>
        <w:rPr>
          <w:sz w:val="20"/>
          <w:szCs w:val="20"/>
          <w:color w:val="auto"/>
        </w:rPr>
      </w:pPr>
    </w:p>
    <w:p>
      <w:pPr>
        <w:ind w:right="60" w:firstLine="324"/>
        <w:spacing w:after="0" w:line="224" w:lineRule="auto"/>
        <w:rPr>
          <w:sz w:val="20"/>
          <w:szCs w:val="20"/>
          <w:color w:val="auto"/>
        </w:rPr>
      </w:pPr>
      <w:r>
        <w:rPr>
          <w:rFonts w:ascii="Arial" w:cs="Arial" w:eastAsia="Arial" w:hAnsi="Arial"/>
          <w:sz w:val="18"/>
          <w:szCs w:val="18"/>
          <w:color w:val="auto"/>
        </w:rPr>
        <w:t>Recently issued financial accounting standards are detailed in Note 1, “Summary of Significant Accounting Policies,” in the Notes to the Unaudited Condensed Consolidated Financial Statements included in Item 1 of this Quarterly Report on Form 10-Q.</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PC CONNECTION, INC. AND SUBSIDIARIES</w:t>
      </w:r>
    </w:p>
    <w:p>
      <w:pPr>
        <w:jc w:val="center"/>
        <w:ind w:right="-40"/>
        <w:spacing w:after="0" w:line="203" w:lineRule="auto"/>
        <w:rPr>
          <w:sz w:val="20"/>
          <w:szCs w:val="20"/>
          <w:color w:val="auto"/>
        </w:rPr>
      </w:pPr>
      <w:r>
        <w:rPr>
          <w:rFonts w:ascii="Arial" w:cs="Arial" w:eastAsia="Arial" w:hAnsi="Arial"/>
          <w:sz w:val="18"/>
          <w:szCs w:val="18"/>
          <w:b w:val="1"/>
          <w:bCs w:val="1"/>
          <w:color w:val="auto"/>
        </w:rPr>
        <w:t>PART I―FINANCIAL INFORMATION</w:t>
      </w:r>
    </w:p>
    <w:p>
      <w:pPr>
        <w:jc w:val="center"/>
        <w:ind w:right="-40"/>
        <w:spacing w:after="0"/>
        <w:rPr>
          <w:sz w:val="20"/>
          <w:szCs w:val="20"/>
          <w:color w:val="auto"/>
        </w:rPr>
      </w:pPr>
      <w:r>
        <w:rPr>
          <w:rFonts w:ascii="Arial" w:cs="Arial" w:eastAsia="Arial" w:hAnsi="Arial"/>
          <w:sz w:val="18"/>
          <w:szCs w:val="18"/>
          <w:b w:val="1"/>
          <w:bCs w:val="1"/>
          <w:color w:val="auto"/>
        </w:rPr>
        <w:t>Item 3 - QUANTITATIVE AND QUALITATIVE DISCLOSURES ABOUT MARKET RISK</w:t>
      </w:r>
    </w:p>
    <w:p>
      <w:pPr>
        <w:spacing w:after="0" w:line="277" w:lineRule="exact"/>
        <w:rPr>
          <w:sz w:val="20"/>
          <w:szCs w:val="20"/>
          <w:color w:val="auto"/>
        </w:rPr>
      </w:pPr>
    </w:p>
    <w:p>
      <w:pPr>
        <w:ind w:right="39" w:firstLine="324"/>
        <w:spacing w:after="0" w:line="224" w:lineRule="auto"/>
        <w:rPr>
          <w:sz w:val="20"/>
          <w:szCs w:val="20"/>
          <w:color w:val="auto"/>
        </w:rPr>
      </w:pPr>
      <w:r>
        <w:rPr>
          <w:rFonts w:ascii="Arial" w:cs="Arial" w:eastAsia="Arial" w:hAnsi="Arial"/>
          <w:sz w:val="18"/>
          <w:szCs w:val="18"/>
          <w:color w:val="auto"/>
        </w:rPr>
        <w:t>For a description of our market risks, see Item 7A. “Quantitative and Qualitative Disclosures About Market Risk” in our Annual Report on Form 10-K for the fiscal year ended December 31, 2016. No material changes have occurred in our market risks since December 31, 2016.</w:t>
      </w:r>
    </w:p>
    <w:p>
      <w:pPr>
        <w:spacing w:after="0" w:line="3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PC CONNECTION, INC. AND SUBSIDIARIES</w:t>
      </w:r>
    </w:p>
    <w:p>
      <w:pPr>
        <w:jc w:val="center"/>
        <w:ind w:right="-40"/>
        <w:spacing w:after="0" w:line="203" w:lineRule="auto"/>
        <w:rPr>
          <w:sz w:val="20"/>
          <w:szCs w:val="20"/>
          <w:color w:val="auto"/>
        </w:rPr>
      </w:pPr>
      <w:r>
        <w:rPr>
          <w:rFonts w:ascii="Arial" w:cs="Arial" w:eastAsia="Arial" w:hAnsi="Arial"/>
          <w:sz w:val="18"/>
          <w:szCs w:val="18"/>
          <w:b w:val="1"/>
          <w:bCs w:val="1"/>
          <w:color w:val="auto"/>
        </w:rPr>
        <w:t>PART I―FINANCIAL INFORMATION</w:t>
      </w:r>
    </w:p>
    <w:p>
      <w:pPr>
        <w:jc w:val="center"/>
        <w:ind w:right="-40"/>
        <w:spacing w:after="0"/>
        <w:rPr>
          <w:sz w:val="20"/>
          <w:szCs w:val="20"/>
          <w:color w:val="auto"/>
        </w:rPr>
      </w:pPr>
      <w:r>
        <w:rPr>
          <w:rFonts w:ascii="Arial" w:cs="Arial" w:eastAsia="Arial" w:hAnsi="Arial"/>
          <w:sz w:val="18"/>
          <w:szCs w:val="18"/>
          <w:b w:val="1"/>
          <w:bCs w:val="1"/>
          <w:color w:val="auto"/>
        </w:rPr>
        <w:t>Item 4 - CONTROLS AND PROCEDURES</w:t>
      </w:r>
    </w:p>
    <w:p>
      <w:pPr>
        <w:spacing w:after="0" w:line="277" w:lineRule="exact"/>
        <w:rPr>
          <w:sz w:val="20"/>
          <w:szCs w:val="20"/>
          <w:color w:val="auto"/>
        </w:rPr>
      </w:pPr>
    </w:p>
    <w:p>
      <w:pPr>
        <w:ind w:right="99" w:firstLine="324"/>
        <w:spacing w:after="0" w:line="233" w:lineRule="auto"/>
        <w:rPr>
          <w:sz w:val="20"/>
          <w:szCs w:val="20"/>
          <w:color w:val="auto"/>
        </w:rPr>
      </w:pPr>
      <w:r>
        <w:rPr>
          <w:rFonts w:ascii="Arial" w:cs="Arial" w:eastAsia="Arial" w:hAnsi="Arial"/>
          <w:sz w:val="16"/>
          <w:szCs w:val="16"/>
          <w:color w:val="auto"/>
        </w:rPr>
        <w:t>The Company’s management, with the participation of the Chief Executive Officer and Interim Chief Financial Officer, evaluated the effectiveness of the Company’s disclosure controls and procedures as of September 30, 2017. The term “disclosure controls and procedures,” as defined in Rules 13a-15(e) and 15d-15(e) promulgated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The Company’s disclosure controls and procedures are designed to provide reasonable assurance of achieving their objectives as described above. Based on this evaluation, the Chief Executive Officer and Interim Chief Financial Officer concluded that, as of the end of the period covered by this report, the Company’s disclosure controls and procedures were effective at the reasonable assurance level.</w:t>
      </w:r>
    </w:p>
    <w:p>
      <w:pPr>
        <w:spacing w:after="0" w:line="127" w:lineRule="exact"/>
        <w:rPr>
          <w:sz w:val="20"/>
          <w:szCs w:val="20"/>
          <w:color w:val="auto"/>
        </w:rPr>
      </w:pPr>
    </w:p>
    <w:p>
      <w:pPr>
        <w:ind w:right="319" w:firstLine="324"/>
        <w:spacing w:after="0" w:line="224" w:lineRule="auto"/>
        <w:rPr>
          <w:sz w:val="20"/>
          <w:szCs w:val="20"/>
          <w:color w:val="auto"/>
        </w:rPr>
      </w:pPr>
      <w:r>
        <w:rPr>
          <w:rFonts w:ascii="Arial" w:cs="Arial" w:eastAsia="Arial" w:hAnsi="Arial"/>
          <w:sz w:val="18"/>
          <w:szCs w:val="18"/>
          <w:color w:val="auto"/>
        </w:rPr>
        <w:t>No change in our internal control over financial reporting (as defined in Rules 13a-15(f) and 15d-15(f) under the Exchange Act) occurred during the fiscal quarter ended September 30, 2017 that has materially affected, or is reasonably likely to materially affect, our internal control over financial reporting.</w:t>
      </w:r>
    </w:p>
    <w:p>
      <w:pPr>
        <w:spacing w:after="0" w:line="33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 - OTHER INFORMATION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 Risk Factors</w:t>
      </w:r>
    </w:p>
    <w:p>
      <w:pPr>
        <w:spacing w:after="0" w:line="148" w:lineRule="exact"/>
        <w:rPr>
          <w:sz w:val="20"/>
          <w:szCs w:val="20"/>
          <w:color w:val="auto"/>
        </w:rPr>
      </w:pPr>
    </w:p>
    <w:p>
      <w:pPr>
        <w:ind w:right="19" w:firstLine="324"/>
        <w:spacing w:after="0" w:line="214" w:lineRule="auto"/>
        <w:rPr>
          <w:sz w:val="20"/>
          <w:szCs w:val="20"/>
          <w:color w:val="auto"/>
        </w:rPr>
      </w:pPr>
      <w:r>
        <w:rPr>
          <w:rFonts w:ascii="Arial" w:cs="Arial" w:eastAsia="Arial" w:hAnsi="Arial"/>
          <w:sz w:val="18"/>
          <w:szCs w:val="18"/>
          <w:color w:val="auto"/>
        </w:rPr>
        <w:t>In addition to other information set forth in this report, you should carefully consider the factors discussed in Item 1A. “Risk Factors” in our Annual Report on Form 10-K for the year ended December 31, 2016, which could materially affect our business, financial position, and results of operations. Risk factors which could cause actual results to differ materially from those suggested by forward-looking statements include but are not limited to those discussed or identified in this document, in our public filings with the SEC, and those incorporated by reference in Item 1A. “Risk Factors” in our Annual Report on Form 10-K for the year ended December 31, 2016.</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 Exhibits</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40" w:type="dxa"/>
            <w:vAlign w:val="bottom"/>
          </w:tcPr>
          <w:p>
            <w:pPr>
              <w:spacing w:after="0"/>
              <w:rPr>
                <w:sz w:val="17"/>
                <w:szCs w:val="17"/>
                <w:color w:val="auto"/>
              </w:rPr>
            </w:pPr>
          </w:p>
        </w:tc>
        <w:tc>
          <w:tcPr>
            <w:tcW w:w="920" w:type="dxa"/>
            <w:vAlign w:val="bottom"/>
            <w:gridSpan w:val="3"/>
          </w:tcPr>
          <w:p>
            <w:pPr>
              <w:jc w:val="center"/>
              <w:ind w:right="320"/>
              <w:spacing w:after="0"/>
              <w:rPr>
                <w:sz w:val="20"/>
                <w:szCs w:val="20"/>
                <w:color w:val="auto"/>
              </w:rPr>
            </w:pPr>
            <w:r>
              <w:rPr>
                <w:rFonts w:ascii="Arial" w:cs="Arial" w:eastAsia="Arial" w:hAnsi="Arial"/>
                <w:sz w:val="18"/>
                <w:szCs w:val="18"/>
                <w:color w:val="auto"/>
                <w:w w:val="96"/>
              </w:rPr>
              <w:t>Exhibit</w:t>
            </w:r>
          </w:p>
        </w:tc>
        <w:tc>
          <w:tcPr>
            <w:tcW w:w="7900" w:type="dxa"/>
            <w:vAlign w:val="bottom"/>
            <w:gridSpan w:val="11"/>
            <w:vMerge w:val="restart"/>
          </w:tcPr>
          <w:p>
            <w:pPr>
              <w:spacing w:after="0"/>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189"/>
        </w:trPr>
        <w:tc>
          <w:tcPr>
            <w:tcW w:w="140" w:type="dxa"/>
            <w:vAlign w:val="bottom"/>
          </w:tcPr>
          <w:p>
            <w:pPr>
              <w:spacing w:after="0"/>
              <w:rPr>
                <w:sz w:val="16"/>
                <w:szCs w:val="16"/>
                <w:color w:val="auto"/>
              </w:rPr>
            </w:pPr>
          </w:p>
        </w:tc>
        <w:tc>
          <w:tcPr>
            <w:tcW w:w="600" w:type="dxa"/>
            <w:vAlign w:val="bottom"/>
            <w:gridSpan w:val="2"/>
          </w:tcPr>
          <w:p>
            <w:pPr>
              <w:jc w:val="center"/>
              <w:spacing w:after="0" w:line="189" w:lineRule="exact"/>
              <w:rPr>
                <w:sz w:val="20"/>
                <w:szCs w:val="20"/>
                <w:color w:val="auto"/>
              </w:rPr>
            </w:pPr>
            <w:r>
              <w:rPr>
                <w:rFonts w:ascii="Arial" w:cs="Arial" w:eastAsia="Arial" w:hAnsi="Arial"/>
                <w:sz w:val="18"/>
                <w:szCs w:val="18"/>
                <w:color w:val="auto"/>
                <w:w w:val="93"/>
              </w:rPr>
              <w:t>Number</w:t>
            </w:r>
          </w:p>
        </w:tc>
        <w:tc>
          <w:tcPr>
            <w:tcW w:w="320" w:type="dxa"/>
            <w:vAlign w:val="bottom"/>
          </w:tcPr>
          <w:p>
            <w:pPr>
              <w:spacing w:after="0"/>
              <w:rPr>
                <w:sz w:val="16"/>
                <w:szCs w:val="16"/>
                <w:color w:val="auto"/>
              </w:rPr>
            </w:pPr>
          </w:p>
        </w:tc>
        <w:tc>
          <w:tcPr>
            <w:tcW w:w="7900" w:type="dxa"/>
            <w:vAlign w:val="bottom"/>
            <w:gridSpan w:val="1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060" w:type="dxa"/>
            <w:vAlign w:val="bottom"/>
            <w:gridSpan w:val="9"/>
            <w:vMerge w:val="restart"/>
          </w:tcPr>
          <w:p>
            <w:pPr>
              <w:ind w:left="120"/>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of the Company’s President and Chief Executive Officer pursuant to Section 302 of the</w:t>
              </w:r>
            </w:hyperlink>
          </w:p>
        </w:tc>
        <w:tc>
          <w:tcPr>
            <w:tcW w:w="0" w:type="dxa"/>
            <w:vAlign w:val="bottom"/>
          </w:tcPr>
          <w:p>
            <w:pPr>
              <w:spacing w:after="0" w:line="20" w:lineRule="exact"/>
              <w:rPr>
                <w:sz w:val="1"/>
                <w:szCs w:val="1"/>
                <w:color w:val="auto"/>
              </w:rPr>
            </w:pPr>
          </w:p>
        </w:tc>
      </w:tr>
      <w:tr>
        <w:trPr>
          <w:trHeight w:val="156"/>
        </w:trPr>
        <w:tc>
          <w:tcPr>
            <w:tcW w:w="140" w:type="dxa"/>
            <w:vAlign w:val="bottom"/>
            <w:vMerge w:val="continue"/>
          </w:tcPr>
          <w:p>
            <w:pPr>
              <w:spacing w:after="0"/>
              <w:rPr>
                <w:sz w:val="13"/>
                <w:szCs w:val="13"/>
                <w:color w:val="auto"/>
              </w:rPr>
            </w:pPr>
          </w:p>
        </w:tc>
        <w:tc>
          <w:tcPr>
            <w:tcW w:w="440" w:type="dxa"/>
            <w:vAlign w:val="bottom"/>
          </w:tcPr>
          <w:p>
            <w:pPr>
              <w:jc w:val="right"/>
              <w:spacing w:after="0" w:line="156" w:lineRule="exact"/>
              <w:rPr>
                <w:sz w:val="20"/>
                <w:szCs w:val="20"/>
                <w:color w:val="auto"/>
              </w:rPr>
            </w:pPr>
            <w:r>
              <w:rPr>
                <w:rFonts w:ascii="Arial" w:cs="Arial" w:eastAsia="Arial" w:hAnsi="Arial"/>
                <w:sz w:val="18"/>
                <w:szCs w:val="18"/>
                <w:color w:val="auto"/>
                <w:w w:val="96"/>
              </w:rPr>
              <w:t>31.1</w:t>
            </w:r>
          </w:p>
        </w:tc>
        <w:tc>
          <w:tcPr>
            <w:tcW w:w="480" w:type="dxa"/>
            <w:vAlign w:val="bottom"/>
            <w:gridSpan w:val="2"/>
          </w:tcPr>
          <w:p>
            <w:pPr>
              <w:jc w:val="right"/>
              <w:ind w:right="280"/>
              <w:spacing w:after="0" w:line="156" w:lineRule="exact"/>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3"/>
                <w:szCs w:val="13"/>
                <w:color w:val="auto"/>
              </w:rPr>
            </w:pPr>
          </w:p>
        </w:tc>
        <w:tc>
          <w:tcPr>
            <w:tcW w:w="820" w:type="dxa"/>
            <w:vAlign w:val="bottom"/>
          </w:tcPr>
          <w:p>
            <w:pPr>
              <w:spacing w:after="0" w:line="156" w:lineRule="exact"/>
              <w:rPr>
                <w:rFonts w:ascii="Arial" w:cs="Arial" w:eastAsia="Arial" w:hAnsi="Arial"/>
                <w:sz w:val="18"/>
                <w:szCs w:val="18"/>
                <w:color w:val="0000EE"/>
                <w:w w:val="84"/>
              </w:rPr>
            </w:pPr>
            <w:hyperlink w:anchor="page27">
              <w:r>
                <w:rPr>
                  <w:rFonts w:ascii="Arial" w:cs="Arial" w:eastAsia="Arial" w:hAnsi="Arial"/>
                  <w:sz w:val="18"/>
                  <w:szCs w:val="18"/>
                  <w:color w:val="0000EE"/>
                  <w:w w:val="84"/>
                </w:rPr>
                <w:t>Certification</w:t>
              </w:r>
            </w:hyperlink>
          </w:p>
        </w:tc>
        <w:tc>
          <w:tcPr>
            <w:tcW w:w="7060" w:type="dxa"/>
            <w:vAlign w:val="bottom"/>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40" w:type="dxa"/>
            <w:vAlign w:val="bottom"/>
            <w:tcBorders>
              <w:top w:val="single" w:sz="8" w:color="0000EE"/>
            </w:tcBorders>
            <w:gridSpan w:val="7"/>
          </w:tcPr>
          <w:p>
            <w:pPr>
              <w:spacing w:after="0" w:line="156" w:lineRule="exact"/>
              <w:rPr>
                <w:rFonts w:ascii="Arial" w:cs="Arial" w:eastAsia="Arial" w:hAnsi="Arial"/>
                <w:sz w:val="18"/>
                <w:szCs w:val="18"/>
                <w:color w:val="0000EE"/>
              </w:rPr>
            </w:pPr>
            <w:hyperlink w:anchor="page27">
              <w:r>
                <w:rPr>
                  <w:rFonts w:ascii="Arial" w:cs="Arial" w:eastAsia="Arial" w:hAnsi="Arial"/>
                  <w:sz w:val="18"/>
                  <w:szCs w:val="18"/>
                  <w:color w:val="0000EE"/>
                </w:rPr>
                <w:t>Sarbanes-Oxley Act of 2002.</w:t>
              </w:r>
            </w:hyperlink>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gridSpan w:val="2"/>
          </w:tcPr>
          <w:p>
            <w:pPr>
              <w:jc w:val="right"/>
              <w:spacing w:after="0" w:line="156" w:lineRule="exact"/>
              <w:rPr>
                <w:sz w:val="20"/>
                <w:szCs w:val="20"/>
                <w:color w:val="auto"/>
              </w:rPr>
            </w:pPr>
            <w:r>
              <w:rPr>
                <w:rFonts w:ascii="Arial" w:cs="Arial" w:eastAsia="Arial" w:hAnsi="Arial"/>
                <w:sz w:val="18"/>
                <w:szCs w:val="18"/>
                <w:color w:val="auto"/>
              </w:rPr>
              <w:t>31.2</w:t>
            </w:r>
          </w:p>
        </w:tc>
        <w:tc>
          <w:tcPr>
            <w:tcW w:w="480" w:type="dxa"/>
            <w:vAlign w:val="bottom"/>
            <w:gridSpan w:val="2"/>
          </w:tcPr>
          <w:p>
            <w:pPr>
              <w:jc w:val="right"/>
              <w:ind w:right="280"/>
              <w:spacing w:after="0" w:line="156" w:lineRule="exact"/>
              <w:rPr>
                <w:sz w:val="20"/>
                <w:szCs w:val="20"/>
                <w:color w:val="auto"/>
              </w:rPr>
            </w:pPr>
            <w:r>
              <w:rPr>
                <w:rFonts w:ascii="Arial" w:cs="Arial" w:eastAsia="Arial" w:hAnsi="Arial"/>
                <w:sz w:val="18"/>
                <w:szCs w:val="18"/>
                <w:color w:val="auto"/>
              </w:rPr>
              <w:t>*</w:t>
            </w:r>
          </w:p>
        </w:tc>
        <w:tc>
          <w:tcPr>
            <w:tcW w:w="2100" w:type="dxa"/>
            <w:vAlign w:val="bottom"/>
            <w:tcBorders>
              <w:top w:val="single" w:sz="8" w:color="0000EE"/>
            </w:tcBorders>
            <w:gridSpan w:val="3"/>
          </w:tcPr>
          <w:p>
            <w:pPr>
              <w:spacing w:after="0" w:line="156" w:lineRule="exact"/>
              <w:rPr>
                <w:rFonts w:ascii="Arial" w:cs="Arial" w:eastAsia="Arial" w:hAnsi="Arial"/>
                <w:sz w:val="18"/>
                <w:szCs w:val="18"/>
                <w:color w:val="0000EE"/>
                <w:w w:val="86"/>
              </w:rPr>
            </w:pPr>
            <w:hyperlink w:anchor="page28">
              <w:r>
                <w:rPr>
                  <w:rFonts w:ascii="Arial" w:cs="Arial" w:eastAsia="Arial" w:hAnsi="Arial"/>
                  <w:sz w:val="18"/>
                  <w:szCs w:val="18"/>
                  <w:color w:val="0000EE"/>
                  <w:w w:val="86"/>
                </w:rPr>
                <w:t>Certification of the Company’s</w:t>
              </w:r>
            </w:hyperlink>
          </w:p>
        </w:tc>
        <w:tc>
          <w:tcPr>
            <w:tcW w:w="5800" w:type="dxa"/>
            <w:vAlign w:val="bottom"/>
            <w:gridSpan w:val="8"/>
          </w:tcPr>
          <w:p>
            <w:pPr>
              <w:ind w:left="180"/>
              <w:spacing w:after="0" w:line="156" w:lineRule="exact"/>
              <w:rPr>
                <w:rFonts w:ascii="Arial" w:cs="Arial" w:eastAsia="Arial" w:hAnsi="Arial"/>
                <w:sz w:val="18"/>
                <w:szCs w:val="18"/>
                <w:color w:val="0000EE"/>
                <w:w w:val="92"/>
              </w:rPr>
            </w:pPr>
            <w:hyperlink w:anchor="page28">
              <w:r>
                <w:rPr>
                  <w:rFonts w:ascii="Arial" w:cs="Arial" w:eastAsia="Arial" w:hAnsi="Arial"/>
                  <w:sz w:val="18"/>
                  <w:szCs w:val="18"/>
                  <w:color w:val="0000EE"/>
                  <w:w w:val="92"/>
                </w:rPr>
                <w:t>Vice President and Interim Chief Financial Officer pursuant to Section 302 of</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80" w:type="dxa"/>
            <w:vAlign w:val="bottom"/>
            <w:tcBorders>
              <w:top w:val="single" w:sz="8" w:color="0000EE"/>
            </w:tcBorders>
            <w:gridSpan w:val="10"/>
          </w:tcPr>
          <w:p>
            <w:pPr>
              <w:spacing w:after="0" w:line="156" w:lineRule="exact"/>
              <w:rPr>
                <w:rFonts w:ascii="Arial" w:cs="Arial" w:eastAsia="Arial" w:hAnsi="Arial"/>
                <w:sz w:val="18"/>
                <w:szCs w:val="18"/>
                <w:color w:val="0000EE"/>
              </w:rPr>
            </w:pPr>
            <w:hyperlink w:anchor="page28">
              <w:r>
                <w:rPr>
                  <w:rFonts w:ascii="Arial" w:cs="Arial" w:eastAsia="Arial" w:hAnsi="Arial"/>
                  <w:sz w:val="18"/>
                  <w:szCs w:val="18"/>
                  <w:color w:val="0000EE"/>
                </w:rPr>
                <w:t>the Sarbanes-Oxley Act of 2002.</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gridSpan w:val="2"/>
          </w:tcPr>
          <w:p>
            <w:pPr>
              <w:jc w:val="right"/>
              <w:spacing w:after="0" w:line="156" w:lineRule="exact"/>
              <w:rPr>
                <w:sz w:val="20"/>
                <w:szCs w:val="20"/>
                <w:color w:val="auto"/>
              </w:rPr>
            </w:pPr>
            <w:r>
              <w:rPr>
                <w:rFonts w:ascii="Arial" w:cs="Arial" w:eastAsia="Arial" w:hAnsi="Arial"/>
                <w:sz w:val="18"/>
                <w:szCs w:val="18"/>
                <w:color w:val="auto"/>
              </w:rPr>
              <w:t>32.1</w:t>
            </w:r>
          </w:p>
        </w:tc>
        <w:tc>
          <w:tcPr>
            <w:tcW w:w="480" w:type="dxa"/>
            <w:vAlign w:val="bottom"/>
            <w:gridSpan w:val="2"/>
          </w:tcPr>
          <w:p>
            <w:pPr>
              <w:jc w:val="right"/>
              <w:ind w:right="280"/>
              <w:spacing w:after="0" w:line="156" w:lineRule="exact"/>
              <w:rPr>
                <w:sz w:val="20"/>
                <w:szCs w:val="20"/>
                <w:color w:val="auto"/>
              </w:rPr>
            </w:pPr>
            <w:r>
              <w:rPr>
                <w:rFonts w:ascii="Arial" w:cs="Arial" w:eastAsia="Arial" w:hAnsi="Arial"/>
                <w:sz w:val="18"/>
                <w:szCs w:val="18"/>
                <w:color w:val="auto"/>
              </w:rPr>
              <w:t>*</w:t>
            </w:r>
          </w:p>
        </w:tc>
        <w:tc>
          <w:tcPr>
            <w:tcW w:w="2360" w:type="dxa"/>
            <w:vAlign w:val="bottom"/>
            <w:tcBorders>
              <w:top w:val="single" w:sz="8" w:color="0000EE"/>
            </w:tcBorders>
            <w:gridSpan w:val="4"/>
          </w:tcPr>
          <w:p>
            <w:pPr>
              <w:spacing w:after="0" w:line="156" w:lineRule="exact"/>
              <w:rPr>
                <w:rFonts w:ascii="Arial" w:cs="Arial" w:eastAsia="Arial" w:hAnsi="Arial"/>
                <w:sz w:val="18"/>
                <w:szCs w:val="18"/>
                <w:color w:val="0000EE"/>
                <w:w w:val="97"/>
              </w:rPr>
            </w:pPr>
            <w:hyperlink w:anchor="page29">
              <w:r>
                <w:rPr>
                  <w:rFonts w:ascii="Arial" w:cs="Arial" w:eastAsia="Arial" w:hAnsi="Arial"/>
                  <w:sz w:val="18"/>
                  <w:szCs w:val="18"/>
                  <w:color w:val="0000EE"/>
                  <w:w w:val="97"/>
                </w:rPr>
                <w:t>Certification of the Company’s</w:t>
              </w:r>
            </w:hyperlink>
          </w:p>
        </w:tc>
        <w:tc>
          <w:tcPr>
            <w:tcW w:w="5540" w:type="dxa"/>
            <w:vAlign w:val="bottom"/>
            <w:gridSpan w:val="7"/>
          </w:tcPr>
          <w:p>
            <w:pPr>
              <w:spacing w:after="0" w:line="15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President and Chief Executive Officer pursuant to 18 U.S.C. Section 1350, as</w:t>
              </w:r>
            </w:hyperlink>
          </w:p>
        </w:tc>
        <w:tc>
          <w:tcPr>
            <w:tcW w:w="0" w:type="dxa"/>
            <w:vAlign w:val="bottom"/>
          </w:tcPr>
          <w:p>
            <w:pPr>
              <w:spacing w:after="0"/>
              <w:rPr>
                <w:sz w:val="1"/>
                <w:szCs w:val="1"/>
                <w:color w:val="auto"/>
              </w:rPr>
            </w:pPr>
          </w:p>
        </w:tc>
      </w:tr>
      <w:tr>
        <w:trPr>
          <w:trHeight w:val="156"/>
        </w:trPr>
        <w:tc>
          <w:tcPr>
            <w:tcW w:w="580" w:type="dxa"/>
            <w:vAlign w:val="bottom"/>
            <w:gridSpan w:val="2"/>
            <w:vMerge w:val="restart"/>
          </w:tcPr>
          <w:p>
            <w:pPr>
              <w:jc w:val="right"/>
              <w:spacing w:after="0"/>
              <w:rPr>
                <w:sz w:val="20"/>
                <w:szCs w:val="20"/>
                <w:color w:val="auto"/>
              </w:rPr>
            </w:pPr>
            <w:r>
              <w:rPr>
                <w:rFonts w:ascii="Arial" w:cs="Arial" w:eastAsia="Arial" w:hAnsi="Arial"/>
                <w:sz w:val="18"/>
                <w:szCs w:val="18"/>
                <w:color w:val="auto"/>
              </w:rPr>
              <w:t>32.2</w:t>
            </w:r>
          </w:p>
        </w:tc>
        <w:tc>
          <w:tcPr>
            <w:tcW w:w="48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7860" w:type="dxa"/>
            <w:vAlign w:val="bottom"/>
            <w:tcBorders>
              <w:top w:val="single" w:sz="8" w:color="0000EE"/>
            </w:tcBorders>
            <w:gridSpan w:val="9"/>
          </w:tcPr>
          <w:p>
            <w:pPr>
              <w:spacing w:after="0" w:line="156" w:lineRule="exact"/>
              <w:rPr>
                <w:rFonts w:ascii="Arial" w:cs="Arial" w:eastAsia="Arial" w:hAnsi="Arial"/>
                <w:sz w:val="18"/>
                <w:szCs w:val="18"/>
                <w:color w:val="0000EE"/>
              </w:rPr>
            </w:pPr>
            <w:hyperlink w:anchor="page29">
              <w:r>
                <w:rPr>
                  <w:rFonts w:ascii="Arial" w:cs="Arial" w:eastAsia="Arial" w:hAnsi="Arial"/>
                  <w:sz w:val="18"/>
                  <w:szCs w:val="18"/>
                  <w:color w:val="0000EE"/>
                </w:rPr>
                <w:t>adopted pursuant to Section 906 of the Sarbanes-Oxley Act of 2002.</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0" w:type="dxa"/>
            <w:vAlign w:val="bottom"/>
            <w:gridSpan w:val="2"/>
            <w:vMerge w:val="continue"/>
          </w:tcPr>
          <w:p>
            <w:pPr>
              <w:spacing w:after="0" w:line="20" w:lineRule="exact"/>
              <w:rPr>
                <w:sz w:val="1"/>
                <w:szCs w:val="1"/>
                <w:color w:val="auto"/>
              </w:rPr>
            </w:pPr>
          </w:p>
        </w:tc>
        <w:tc>
          <w:tcPr>
            <w:tcW w:w="480" w:type="dxa"/>
            <w:vAlign w:val="bottom"/>
            <w:gridSpan w:val="2"/>
            <w:vMerge w:val="continue"/>
          </w:tcPr>
          <w:p>
            <w:pPr>
              <w:spacing w:after="0" w:line="20" w:lineRule="exact"/>
              <w:rPr>
                <w:sz w:val="1"/>
                <w:szCs w:val="1"/>
                <w:color w:val="auto"/>
              </w:rPr>
            </w:pPr>
          </w:p>
        </w:tc>
        <w:tc>
          <w:tcPr>
            <w:tcW w:w="4920" w:type="dxa"/>
            <w:vAlign w:val="bottom"/>
            <w:gridSpan w:val="5"/>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80" w:type="dxa"/>
            <w:vAlign w:val="bottom"/>
            <w:gridSpan w:val="2"/>
            <w:vMerge w:val="continue"/>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7900" w:type="dxa"/>
            <w:vAlign w:val="bottom"/>
            <w:gridSpan w:val="11"/>
          </w:tcPr>
          <w:p>
            <w:pPr>
              <w:spacing w:after="0" w:line="156" w:lineRule="exact"/>
              <w:rPr>
                <w:rFonts w:ascii="Arial" w:cs="Arial" w:eastAsia="Arial" w:hAnsi="Arial"/>
                <w:sz w:val="18"/>
                <w:szCs w:val="18"/>
                <w:color w:val="0000EE"/>
                <w:w w:val="96"/>
              </w:rPr>
            </w:pPr>
            <w:hyperlink w:anchor="page30">
              <w:r>
                <w:rPr>
                  <w:rFonts w:ascii="Arial" w:cs="Arial" w:eastAsia="Arial" w:hAnsi="Arial"/>
                  <w:sz w:val="18"/>
                  <w:szCs w:val="18"/>
                  <w:color w:val="0000EE"/>
                  <w:w w:val="96"/>
                </w:rPr>
                <w:t>Certification of the Company’s Vice President and Interim Chief Financial Officer pursuant to 18 U.S.C.</w:t>
              </w:r>
            </w:hyperlink>
          </w:p>
        </w:tc>
        <w:tc>
          <w:tcPr>
            <w:tcW w:w="0" w:type="dxa"/>
            <w:vAlign w:val="bottom"/>
          </w:tcPr>
          <w:p>
            <w:pPr>
              <w:spacing w:after="0"/>
              <w:rPr>
                <w:sz w:val="1"/>
                <w:szCs w:val="1"/>
                <w:color w:val="auto"/>
              </w:rPr>
            </w:pPr>
          </w:p>
        </w:tc>
      </w:tr>
      <w:tr>
        <w:trPr>
          <w:trHeight w:val="156"/>
        </w:trPr>
        <w:tc>
          <w:tcPr>
            <w:tcW w:w="1060" w:type="dxa"/>
            <w:vAlign w:val="bottom"/>
            <w:gridSpan w:val="4"/>
            <w:vMerge w:val="restart"/>
          </w:tcPr>
          <w:p>
            <w:pPr>
              <w:jc w:val="center"/>
              <w:ind w:right="160"/>
              <w:spacing w:after="0"/>
              <w:rPr>
                <w:sz w:val="20"/>
                <w:szCs w:val="20"/>
                <w:color w:val="auto"/>
              </w:rPr>
            </w:pPr>
            <w:r>
              <w:rPr>
                <w:rFonts w:ascii="Arial" w:cs="Arial" w:eastAsia="Arial" w:hAnsi="Arial"/>
                <w:sz w:val="18"/>
                <w:szCs w:val="18"/>
                <w:color w:val="auto"/>
                <w:w w:val="97"/>
              </w:rPr>
              <w:t>101.INS **</w:t>
            </w:r>
          </w:p>
        </w:tc>
        <w:tc>
          <w:tcPr>
            <w:tcW w:w="7540" w:type="dxa"/>
            <w:vAlign w:val="bottom"/>
            <w:tcBorders>
              <w:top w:val="single" w:sz="8" w:color="0000EE"/>
            </w:tcBorders>
            <w:gridSpan w:val="8"/>
          </w:tcPr>
          <w:p>
            <w:pPr>
              <w:spacing w:after="0" w:line="156" w:lineRule="exact"/>
              <w:rPr>
                <w:rFonts w:ascii="Arial" w:cs="Arial" w:eastAsia="Arial" w:hAnsi="Arial"/>
                <w:sz w:val="18"/>
                <w:szCs w:val="18"/>
                <w:color w:val="0000EE"/>
              </w:rPr>
            </w:pPr>
            <w:hyperlink w:anchor="page30">
              <w:r>
                <w:rPr>
                  <w:rFonts w:ascii="Arial" w:cs="Arial" w:eastAsia="Arial" w:hAnsi="Arial"/>
                  <w:sz w:val="18"/>
                  <w:szCs w:val="18"/>
                  <w:color w:val="0000EE"/>
                </w:rPr>
                <w:t>Section 1350, as adopted pursuant to Section 906 of the Sarbanes-Oxley Act of 2002.</w:t>
              </w:r>
            </w:hyperlink>
          </w:p>
        </w:tc>
        <w:tc>
          <w:tcPr>
            <w:tcW w:w="3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060" w:type="dxa"/>
            <w:vAlign w:val="bottom"/>
            <w:gridSpan w:val="4"/>
            <w:vMerge w:val="continue"/>
          </w:tcPr>
          <w:p>
            <w:pPr>
              <w:spacing w:after="0"/>
              <w:rPr>
                <w:sz w:val="12"/>
                <w:szCs w:val="12"/>
                <w:color w:val="auto"/>
              </w:rPr>
            </w:pPr>
          </w:p>
        </w:tc>
        <w:tc>
          <w:tcPr>
            <w:tcW w:w="6160" w:type="dxa"/>
            <w:vAlign w:val="bottom"/>
            <w:tcBorders>
              <w:top w:val="single" w:sz="8" w:color="0000EE"/>
            </w:tcBorders>
            <w:gridSpan w:val="6"/>
          </w:tcPr>
          <w:p>
            <w:pPr>
              <w:spacing w:after="0" w:line="142" w:lineRule="exact"/>
              <w:rPr>
                <w:sz w:val="20"/>
                <w:szCs w:val="20"/>
                <w:color w:val="auto"/>
              </w:rPr>
            </w:pPr>
            <w:r>
              <w:rPr>
                <w:rFonts w:ascii="Arial" w:cs="Arial" w:eastAsia="Arial" w:hAnsi="Arial"/>
                <w:sz w:val="16"/>
                <w:szCs w:val="16"/>
                <w:color w:val="auto"/>
              </w:rPr>
              <w:t>XBRL Instance Document.</w:t>
            </w:r>
          </w:p>
        </w:tc>
        <w:tc>
          <w:tcPr>
            <w:tcW w:w="174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060" w:type="dxa"/>
            <w:vAlign w:val="bottom"/>
            <w:gridSpan w:val="4"/>
          </w:tcPr>
          <w:p>
            <w:pPr>
              <w:jc w:val="center"/>
              <w:ind w:right="200"/>
              <w:spacing w:after="0" w:line="176" w:lineRule="exact"/>
              <w:rPr>
                <w:sz w:val="20"/>
                <w:szCs w:val="20"/>
                <w:color w:val="auto"/>
              </w:rPr>
            </w:pPr>
            <w:r>
              <w:rPr>
                <w:rFonts w:ascii="Arial" w:cs="Arial" w:eastAsia="Arial" w:hAnsi="Arial"/>
                <w:sz w:val="18"/>
                <w:szCs w:val="18"/>
                <w:color w:val="auto"/>
                <w:w w:val="98"/>
              </w:rPr>
              <w:t>101.SCH**</w:t>
            </w:r>
          </w:p>
        </w:tc>
        <w:tc>
          <w:tcPr>
            <w:tcW w:w="7900" w:type="dxa"/>
            <w:vAlign w:val="bottom"/>
            <w:gridSpan w:val="11"/>
          </w:tcPr>
          <w:p>
            <w:pPr>
              <w:spacing w:after="0" w:line="176" w:lineRule="exact"/>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176"/>
        </w:trPr>
        <w:tc>
          <w:tcPr>
            <w:tcW w:w="1060" w:type="dxa"/>
            <w:vAlign w:val="bottom"/>
            <w:gridSpan w:val="4"/>
          </w:tcPr>
          <w:p>
            <w:pPr>
              <w:jc w:val="center"/>
              <w:ind w:right="200"/>
              <w:spacing w:after="0" w:line="176" w:lineRule="exact"/>
              <w:rPr>
                <w:sz w:val="20"/>
                <w:szCs w:val="20"/>
                <w:color w:val="auto"/>
              </w:rPr>
            </w:pPr>
            <w:r>
              <w:rPr>
                <w:rFonts w:ascii="Arial" w:cs="Arial" w:eastAsia="Arial" w:hAnsi="Arial"/>
                <w:sz w:val="18"/>
                <w:szCs w:val="18"/>
                <w:color w:val="auto"/>
              </w:rPr>
              <w:t>101.CAL**</w:t>
            </w:r>
          </w:p>
        </w:tc>
        <w:tc>
          <w:tcPr>
            <w:tcW w:w="7900" w:type="dxa"/>
            <w:vAlign w:val="bottom"/>
            <w:gridSpan w:val="11"/>
          </w:tcPr>
          <w:p>
            <w:pPr>
              <w:spacing w:after="0" w:line="176" w:lineRule="exact"/>
              <w:rPr>
                <w:sz w:val="20"/>
                <w:szCs w:val="20"/>
                <w:color w:val="auto"/>
              </w:rPr>
            </w:pPr>
            <w:r>
              <w:rPr>
                <w:rFonts w:ascii="Arial" w:cs="Arial" w:eastAsia="Arial" w:hAnsi="Arial"/>
                <w:sz w:val="18"/>
                <w:szCs w:val="18"/>
                <w:color w:val="auto"/>
              </w:rPr>
              <w:t>XBRL Taxonomy Calculation Linkbase Document.</w:t>
            </w:r>
          </w:p>
        </w:tc>
        <w:tc>
          <w:tcPr>
            <w:tcW w:w="0" w:type="dxa"/>
            <w:vAlign w:val="bottom"/>
          </w:tcPr>
          <w:p>
            <w:pPr>
              <w:spacing w:after="0"/>
              <w:rPr>
                <w:sz w:val="1"/>
                <w:szCs w:val="1"/>
                <w:color w:val="auto"/>
              </w:rPr>
            </w:pPr>
          </w:p>
        </w:tc>
      </w:tr>
      <w:tr>
        <w:trPr>
          <w:trHeight w:val="176"/>
        </w:trPr>
        <w:tc>
          <w:tcPr>
            <w:tcW w:w="1060" w:type="dxa"/>
            <w:vAlign w:val="bottom"/>
            <w:gridSpan w:val="4"/>
          </w:tcPr>
          <w:p>
            <w:pPr>
              <w:jc w:val="center"/>
              <w:ind w:right="200"/>
              <w:spacing w:after="0" w:line="176" w:lineRule="exact"/>
              <w:rPr>
                <w:sz w:val="20"/>
                <w:szCs w:val="20"/>
                <w:color w:val="auto"/>
              </w:rPr>
            </w:pPr>
            <w:r>
              <w:rPr>
                <w:rFonts w:ascii="Arial" w:cs="Arial" w:eastAsia="Arial" w:hAnsi="Arial"/>
                <w:sz w:val="18"/>
                <w:szCs w:val="18"/>
                <w:color w:val="auto"/>
                <w:w w:val="95"/>
              </w:rPr>
              <w:t>101.DEF **</w:t>
            </w:r>
          </w:p>
        </w:tc>
        <w:tc>
          <w:tcPr>
            <w:tcW w:w="7900" w:type="dxa"/>
            <w:vAlign w:val="bottom"/>
            <w:gridSpan w:val="11"/>
          </w:tcPr>
          <w:p>
            <w:pPr>
              <w:spacing w:after="0" w:line="176" w:lineRule="exact"/>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176"/>
        </w:trPr>
        <w:tc>
          <w:tcPr>
            <w:tcW w:w="1060" w:type="dxa"/>
            <w:vAlign w:val="bottom"/>
            <w:gridSpan w:val="4"/>
          </w:tcPr>
          <w:p>
            <w:pPr>
              <w:jc w:val="center"/>
              <w:ind w:right="200"/>
              <w:spacing w:after="0" w:line="176" w:lineRule="exact"/>
              <w:rPr>
                <w:sz w:val="20"/>
                <w:szCs w:val="20"/>
                <w:color w:val="auto"/>
              </w:rPr>
            </w:pPr>
            <w:r>
              <w:rPr>
                <w:rFonts w:ascii="Arial" w:cs="Arial" w:eastAsia="Arial" w:hAnsi="Arial"/>
                <w:sz w:val="18"/>
                <w:szCs w:val="18"/>
                <w:color w:val="auto"/>
              </w:rPr>
              <w:t>101.LAB**</w:t>
            </w:r>
          </w:p>
        </w:tc>
        <w:tc>
          <w:tcPr>
            <w:tcW w:w="7900" w:type="dxa"/>
            <w:vAlign w:val="bottom"/>
            <w:gridSpan w:val="11"/>
          </w:tcPr>
          <w:p>
            <w:pPr>
              <w:spacing w:after="0" w:line="176" w:lineRule="exact"/>
              <w:rPr>
                <w:sz w:val="20"/>
                <w:szCs w:val="20"/>
                <w:color w:val="auto"/>
              </w:rPr>
            </w:pPr>
            <w:r>
              <w:rPr>
                <w:rFonts w:ascii="Arial" w:cs="Arial" w:eastAsia="Arial" w:hAnsi="Arial"/>
                <w:sz w:val="18"/>
                <w:szCs w:val="18"/>
                <w:color w:val="auto"/>
              </w:rPr>
              <w:t>XBRL Taxonomy Label Linkbase Document.</w:t>
            </w:r>
          </w:p>
        </w:tc>
        <w:tc>
          <w:tcPr>
            <w:tcW w:w="0" w:type="dxa"/>
            <w:vAlign w:val="bottom"/>
          </w:tcPr>
          <w:p>
            <w:pPr>
              <w:spacing w:after="0"/>
              <w:rPr>
                <w:sz w:val="1"/>
                <w:szCs w:val="1"/>
                <w:color w:val="auto"/>
              </w:rPr>
            </w:pPr>
          </w:p>
        </w:tc>
      </w:tr>
      <w:tr>
        <w:trPr>
          <w:trHeight w:val="230"/>
        </w:trPr>
        <w:tc>
          <w:tcPr>
            <w:tcW w:w="1060" w:type="dxa"/>
            <w:vAlign w:val="bottom"/>
            <w:gridSpan w:val="4"/>
          </w:tcPr>
          <w:p>
            <w:pPr>
              <w:jc w:val="center"/>
              <w:ind w:right="180"/>
              <w:spacing w:after="0"/>
              <w:rPr>
                <w:sz w:val="20"/>
                <w:szCs w:val="20"/>
                <w:color w:val="auto"/>
              </w:rPr>
            </w:pPr>
            <w:r>
              <w:rPr>
                <w:rFonts w:ascii="Arial" w:cs="Arial" w:eastAsia="Arial" w:hAnsi="Arial"/>
                <w:sz w:val="18"/>
                <w:szCs w:val="18"/>
                <w:color w:val="auto"/>
                <w:w w:val="92"/>
              </w:rPr>
              <w:t>101.PRE **</w:t>
            </w:r>
          </w:p>
        </w:tc>
        <w:tc>
          <w:tcPr>
            <w:tcW w:w="7900" w:type="dxa"/>
            <w:vAlign w:val="bottom"/>
            <w:gridSpan w:val="11"/>
          </w:tcPr>
          <w:p>
            <w:pPr>
              <w:spacing w:after="0"/>
              <w:rPr>
                <w:sz w:val="20"/>
                <w:szCs w:val="20"/>
                <w:color w:val="auto"/>
              </w:rPr>
            </w:pPr>
            <w:r>
              <w:rPr>
                <w:rFonts w:ascii="Arial" w:cs="Arial" w:eastAsia="Arial" w:hAnsi="Arial"/>
                <w:sz w:val="18"/>
                <w:szCs w:val="18"/>
                <w:color w:val="auto"/>
              </w:rPr>
              <w:t>XBRL Taxonomy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205105</wp:posOffset>
            </wp:positionV>
            <wp:extent cx="6858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1080" w:hanging="1077"/>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herewith.</w:t>
      </w:r>
    </w:p>
    <w:p>
      <w:pPr>
        <w:ind w:left="1080" w:hanging="1077"/>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Submitted electronically herewith.</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Attached as Exhibit 101 to this report are the following formatted in XBRL (Extensible Business Reporting Language):</w:t>
      </w:r>
    </w:p>
    <w:p>
      <w:pPr>
        <w:spacing w:after="0" w:line="8" w:lineRule="exact"/>
        <w:rPr>
          <w:sz w:val="20"/>
          <w:szCs w:val="20"/>
          <w:color w:val="auto"/>
        </w:rPr>
      </w:pPr>
    </w:p>
    <w:p>
      <w:pPr>
        <w:jc w:val="both"/>
        <w:ind w:right="299" w:firstLine="3"/>
        <w:spacing w:after="0" w:line="227" w:lineRule="auto"/>
        <w:tabs>
          <w:tab w:leader="none" w:pos="215"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Condensed Consolidated Balance Sheets at September 30, 2017 and December 31, 2016, (ii) Condensed Consolidated Statements of Income for the three and nine months ended September 30, 2017 and September 30, 2016, (iii) Condensed Consolidated Statements of Cash Flows for the nine months ended September 30, 2017 and September 30, 2016, and (v) Notes to Unaudited Condensed Consolidated Financial Statements.</w:t>
      </w:r>
    </w:p>
    <w:p>
      <w:pPr>
        <w:spacing w:after="0" w:line="33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97" w:lineRule="exact"/>
        <w:rPr>
          <w:sz w:val="20"/>
          <w:szCs w:val="20"/>
          <w:color w:val="auto"/>
        </w:rPr>
      </w:pPr>
    </w:p>
    <w:p>
      <w:pPr>
        <w:ind w:right="379" w:firstLine="324"/>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PC CONNECTION,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20"/>
        <w:spacing w:after="0"/>
        <w:tabs>
          <w:tab w:leader="none" w:pos="880" w:val="left"/>
          <w:tab w:leader="none" w:pos="4160" w:val="left"/>
          <w:tab w:leader="none" w:pos="48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9,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TIMOTHY MCGRATH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3011805</wp:posOffset>
            </wp:positionH>
            <wp:positionV relativeFrom="paragraph">
              <wp:posOffset>-635</wp:posOffset>
            </wp:positionV>
            <wp:extent cx="27444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ind w:left="4860"/>
        <w:spacing w:after="0" w:line="203" w:lineRule="auto"/>
        <w:rPr>
          <w:sz w:val="20"/>
          <w:szCs w:val="20"/>
          <w:color w:val="auto"/>
        </w:rPr>
      </w:pPr>
      <w:r>
        <w:rPr>
          <w:rFonts w:ascii="Arial" w:cs="Arial" w:eastAsia="Arial" w:hAnsi="Arial"/>
          <w:sz w:val="18"/>
          <w:szCs w:val="18"/>
          <w:color w:val="auto"/>
        </w:rPr>
        <w:t>Timothy McGrath</w:t>
      </w:r>
    </w:p>
    <w:p>
      <w:pPr>
        <w:ind w:left="4860"/>
        <w:spacing w:after="0" w:line="204" w:lineRule="auto"/>
        <w:rPr>
          <w:sz w:val="20"/>
          <w:szCs w:val="20"/>
          <w:color w:val="auto"/>
        </w:rPr>
      </w:pPr>
      <w:r>
        <w:rPr>
          <w:rFonts w:ascii="Arial" w:cs="Arial" w:eastAsia="Arial" w:hAnsi="Arial"/>
          <w:sz w:val="18"/>
          <w:szCs w:val="18"/>
          <w:color w:val="auto"/>
        </w:rPr>
        <w:t>President and Chief Executive Officer</w:t>
      </w:r>
    </w:p>
    <w:p>
      <w:pPr>
        <w:ind w:left="4860"/>
        <w:spacing w:after="0"/>
        <w:rPr>
          <w:sz w:val="20"/>
          <w:szCs w:val="20"/>
          <w:color w:val="auto"/>
        </w:rPr>
      </w:pPr>
      <w:r>
        <w:rPr>
          <w:rFonts w:ascii="Arial" w:cs="Arial" w:eastAsia="Arial" w:hAnsi="Arial"/>
          <w:sz w:val="18"/>
          <w:szCs w:val="18"/>
          <w:color w:val="auto"/>
        </w:rPr>
        <w:t>(Duly Authorized Officer)</w:t>
      </w:r>
    </w:p>
    <w:p>
      <w:pPr>
        <w:spacing w:after="0" w:line="126" w:lineRule="exact"/>
        <w:rPr>
          <w:sz w:val="20"/>
          <w:szCs w:val="20"/>
          <w:color w:val="auto"/>
        </w:rPr>
      </w:pPr>
    </w:p>
    <w:p>
      <w:pPr>
        <w:ind w:left="120"/>
        <w:spacing w:after="0"/>
        <w:tabs>
          <w:tab w:leader="none" w:pos="880" w:val="left"/>
          <w:tab w:leader="none" w:pos="4160" w:val="left"/>
          <w:tab w:leader="none" w:pos="48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9,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 WILLIAM SCHULZE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3011805</wp:posOffset>
            </wp:positionH>
            <wp:positionV relativeFrom="paragraph">
              <wp:posOffset>-635</wp:posOffset>
            </wp:positionV>
            <wp:extent cx="27444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ind w:left="4860"/>
        <w:spacing w:after="0" w:line="203" w:lineRule="auto"/>
        <w:rPr>
          <w:sz w:val="20"/>
          <w:szCs w:val="20"/>
          <w:color w:val="auto"/>
        </w:rPr>
      </w:pPr>
      <w:r>
        <w:rPr>
          <w:rFonts w:ascii="Arial" w:cs="Arial" w:eastAsia="Arial" w:hAnsi="Arial"/>
          <w:sz w:val="18"/>
          <w:szCs w:val="18"/>
          <w:color w:val="auto"/>
        </w:rPr>
        <w:t>G. William Schulze</w:t>
      </w:r>
    </w:p>
    <w:p>
      <w:pPr>
        <w:ind w:left="4860"/>
        <w:spacing w:after="0" w:line="216" w:lineRule="auto"/>
        <w:rPr>
          <w:sz w:val="20"/>
          <w:szCs w:val="20"/>
          <w:color w:val="auto"/>
        </w:rPr>
      </w:pPr>
      <w:r>
        <w:rPr>
          <w:rFonts w:ascii="Arial" w:cs="Arial" w:eastAsia="Arial" w:hAnsi="Arial"/>
          <w:sz w:val="17"/>
          <w:szCs w:val="17"/>
          <w:color w:val="auto"/>
        </w:rPr>
        <w:t>Vice President, Interim Treasurer and Chief Financial</w:t>
      </w:r>
    </w:p>
    <w:p>
      <w:pPr>
        <w:ind w:left="4860"/>
        <w:spacing w:after="0"/>
        <w:rPr>
          <w:sz w:val="20"/>
          <w:szCs w:val="20"/>
          <w:color w:val="auto"/>
        </w:rPr>
      </w:pPr>
      <w:r>
        <w:rPr>
          <w:rFonts w:ascii="Arial" w:cs="Arial" w:eastAsia="Arial" w:hAnsi="Arial"/>
          <w:sz w:val="18"/>
          <w:szCs w:val="18"/>
          <w:color w:val="auto"/>
        </w:rPr>
        <w:t>Officer (Principal Financial and Accounting Officer)</w:t>
      </w:r>
    </w:p>
    <w:p>
      <w:pPr>
        <w:spacing w:after="0" w:line="3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color w:val="auto"/>
        </w:rPr>
        <w:t>Exhibit 31.1</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I, Timothy McGrath, certify that:</w:t>
      </w:r>
    </w:p>
    <w:p>
      <w:pPr>
        <w:spacing w:after="0" w:line="144" w:lineRule="exact"/>
        <w:rPr>
          <w:sz w:val="20"/>
          <w:szCs w:val="20"/>
          <w:color w:val="auto"/>
        </w:rPr>
      </w:pPr>
    </w:p>
    <w:p>
      <w:pPr>
        <w:ind w:left="660" w:hanging="657"/>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PC Connection, Inc.;</w:t>
      </w:r>
    </w:p>
    <w:p>
      <w:pPr>
        <w:spacing w:after="0" w:line="144" w:lineRule="exact"/>
        <w:rPr>
          <w:rFonts w:ascii="Arial" w:cs="Arial" w:eastAsia="Arial" w:hAnsi="Arial"/>
          <w:sz w:val="18"/>
          <w:szCs w:val="18"/>
          <w:color w:val="auto"/>
        </w:rPr>
      </w:pPr>
    </w:p>
    <w:p>
      <w:pPr>
        <w:ind w:left="660" w:right="380" w:hanging="657"/>
        <w:spacing w:after="0" w:line="22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660" w:right="220" w:hanging="657"/>
        <w:spacing w:after="0" w:line="22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660" w:right="300" w:hanging="657"/>
        <w:spacing w:after="0" w:line="235"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 w:lineRule="exact"/>
        <w:rPr>
          <w:rFonts w:ascii="Arial" w:cs="Arial" w:eastAsia="Arial" w:hAnsi="Arial"/>
          <w:sz w:val="16"/>
          <w:szCs w:val="16"/>
          <w:color w:val="auto"/>
        </w:rPr>
      </w:pPr>
    </w:p>
    <w:p>
      <w:pPr>
        <w:ind w:left="1300" w:right="80" w:hanging="649"/>
        <w:spacing w:after="0" w:line="203"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1300" w:right="80" w:hanging="649"/>
        <w:spacing w:after="0" w:line="203"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hanging="649"/>
        <w:spacing w:after="0" w:line="203"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8"/>
          <w:szCs w:val="18"/>
          <w:color w:val="auto"/>
        </w:rPr>
      </w:pPr>
    </w:p>
    <w:p>
      <w:pPr>
        <w:ind w:left="1300" w:right="40" w:hanging="649"/>
        <w:spacing w:after="0" w:line="214"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rFonts w:ascii="Arial" w:cs="Arial" w:eastAsia="Arial" w:hAnsi="Arial"/>
          <w:sz w:val="18"/>
          <w:szCs w:val="18"/>
          <w:color w:val="auto"/>
        </w:rPr>
      </w:pPr>
    </w:p>
    <w:p>
      <w:pPr>
        <w:jc w:val="both"/>
        <w:ind w:left="660" w:right="60" w:hanging="657"/>
        <w:spacing w:after="0" w:line="20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8"/>
          <w:szCs w:val="18"/>
          <w:color w:val="auto"/>
        </w:rPr>
      </w:pPr>
    </w:p>
    <w:p>
      <w:pPr>
        <w:ind w:left="1300" w:right="40" w:hanging="649"/>
        <w:spacing w:after="0" w:line="203"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1300" w:right="180" w:hanging="649"/>
        <w:spacing w:after="0" w:line="226"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0"/>
        <w:spacing w:after="0"/>
        <w:tabs>
          <w:tab w:leader="none" w:pos="4760" w:val="left"/>
        </w:tabs>
        <w:rPr>
          <w:sz w:val="20"/>
          <w:szCs w:val="20"/>
          <w:color w:val="auto"/>
        </w:rPr>
      </w:pPr>
      <w:r>
        <w:rPr>
          <w:rFonts w:ascii="Arial" w:cs="Arial" w:eastAsia="Arial" w:hAnsi="Arial"/>
          <w:sz w:val="18"/>
          <w:szCs w:val="18"/>
          <w:color w:val="auto"/>
        </w:rPr>
        <w:t>Date: November 9, 2017</w:t>
      </w:r>
      <w:r>
        <w:rPr>
          <w:sz w:val="20"/>
          <w:szCs w:val="20"/>
          <w:color w:val="auto"/>
        </w:rPr>
        <w:tab/>
      </w:r>
      <w:r>
        <w:rPr>
          <w:rFonts w:ascii="Arial" w:cs="Arial" w:eastAsia="Arial" w:hAnsi="Arial"/>
          <w:sz w:val="18"/>
          <w:szCs w:val="18"/>
          <w:color w:val="auto"/>
        </w:rPr>
        <w:t xml:space="preserve">/s/ </w:t>
      </w:r>
      <w:r>
        <w:rPr>
          <w:rFonts w:ascii="Arial" w:cs="Arial" w:eastAsia="Arial" w:hAnsi="Arial"/>
          <w:sz w:val="14"/>
          <w:szCs w:val="14"/>
          <w:color w:val="auto"/>
        </w:rPr>
        <w:t>TIMOTHY MCGRATH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2960370</wp:posOffset>
            </wp:positionH>
            <wp:positionV relativeFrom="paragraph">
              <wp:posOffset>6350</wp:posOffset>
            </wp:positionV>
            <wp:extent cx="279590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ind w:left="4780"/>
        <w:spacing w:after="0" w:line="217" w:lineRule="auto"/>
        <w:rPr>
          <w:sz w:val="20"/>
          <w:szCs w:val="20"/>
          <w:color w:val="auto"/>
        </w:rPr>
      </w:pPr>
      <w:r>
        <w:rPr>
          <w:rFonts w:ascii="Arial" w:cs="Arial" w:eastAsia="Arial" w:hAnsi="Arial"/>
          <w:sz w:val="18"/>
          <w:szCs w:val="18"/>
          <w:color w:val="auto"/>
        </w:rPr>
        <w:t>Timothy McGrath</w:t>
      </w:r>
    </w:p>
    <w:p>
      <w:pPr>
        <w:ind w:left="478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color w:val="auto"/>
        </w:rPr>
        <w:t>Exhibit 31.2</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I, G. William Schulze, certify that:</w:t>
      </w:r>
    </w:p>
    <w:p>
      <w:pPr>
        <w:spacing w:after="0" w:line="144" w:lineRule="exact"/>
        <w:rPr>
          <w:sz w:val="20"/>
          <w:szCs w:val="20"/>
          <w:color w:val="auto"/>
        </w:rPr>
      </w:pPr>
    </w:p>
    <w:p>
      <w:pPr>
        <w:ind w:left="660" w:hanging="65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PC Connection, Inc.;</w:t>
      </w:r>
    </w:p>
    <w:p>
      <w:pPr>
        <w:spacing w:after="0" w:line="144" w:lineRule="exact"/>
        <w:rPr>
          <w:rFonts w:ascii="Arial" w:cs="Arial" w:eastAsia="Arial" w:hAnsi="Arial"/>
          <w:sz w:val="18"/>
          <w:szCs w:val="18"/>
          <w:color w:val="auto"/>
        </w:rPr>
      </w:pPr>
    </w:p>
    <w:p>
      <w:pPr>
        <w:ind w:left="660" w:right="380" w:hanging="657"/>
        <w:spacing w:after="0" w:line="22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660" w:right="220" w:hanging="657"/>
        <w:spacing w:after="0" w:line="22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660" w:right="300" w:hanging="657"/>
        <w:spacing w:after="0" w:line="259"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95" w:lineRule="exact"/>
        <w:rPr>
          <w:rFonts w:ascii="Arial" w:cs="Arial" w:eastAsia="Arial" w:hAnsi="Arial"/>
          <w:sz w:val="16"/>
          <w:szCs w:val="16"/>
          <w:color w:val="auto"/>
        </w:rPr>
      </w:pPr>
    </w:p>
    <w:p>
      <w:pPr>
        <w:ind w:left="1300" w:right="80" w:hanging="649"/>
        <w:spacing w:after="0" w:line="208"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300" w:right="80" w:hanging="649"/>
        <w:spacing w:after="0" w:line="203"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hanging="649"/>
        <w:spacing w:after="0" w:line="203"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8"/>
          <w:szCs w:val="18"/>
          <w:color w:val="auto"/>
        </w:rPr>
      </w:pPr>
    </w:p>
    <w:p>
      <w:pPr>
        <w:ind w:left="1300" w:right="40" w:hanging="649"/>
        <w:spacing w:after="0" w:line="214"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rFonts w:ascii="Arial" w:cs="Arial" w:eastAsia="Arial" w:hAnsi="Arial"/>
          <w:sz w:val="18"/>
          <w:szCs w:val="18"/>
          <w:color w:val="auto"/>
        </w:rPr>
      </w:pPr>
    </w:p>
    <w:p>
      <w:pPr>
        <w:jc w:val="both"/>
        <w:ind w:left="660" w:right="60" w:hanging="657"/>
        <w:spacing w:after="0" w:line="22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8" w:lineRule="exact"/>
        <w:rPr>
          <w:rFonts w:ascii="Arial" w:cs="Arial" w:eastAsia="Arial" w:hAnsi="Arial"/>
          <w:sz w:val="18"/>
          <w:szCs w:val="18"/>
          <w:color w:val="auto"/>
        </w:rPr>
      </w:pPr>
    </w:p>
    <w:p>
      <w:pPr>
        <w:ind w:left="1300" w:right="40" w:hanging="649"/>
        <w:spacing w:after="0" w:line="209"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1300" w:right="180" w:hanging="649"/>
        <w:spacing w:after="0" w:line="226"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0"/>
        <w:spacing w:after="0"/>
        <w:tabs>
          <w:tab w:leader="none" w:pos="660" w:val="left"/>
          <w:tab w:leader="none" w:pos="4440" w:val="left"/>
        </w:tabs>
        <w:rPr>
          <w:sz w:val="20"/>
          <w:szCs w:val="20"/>
          <w:color w:val="auto"/>
        </w:rPr>
      </w:pPr>
      <w:r>
        <w:rPr>
          <w:rFonts w:ascii="Arial" w:cs="Arial" w:eastAsia="Arial" w:hAnsi="Arial"/>
          <w:sz w:val="18"/>
          <w:szCs w:val="18"/>
          <w:color w:val="auto"/>
        </w:rPr>
        <w:t>Date:</w:t>
        <w:tab/>
        <w:t>November 9, 2017</w:t>
      </w:r>
      <w:r>
        <w:rPr>
          <w:sz w:val="20"/>
          <w:szCs w:val="20"/>
          <w:color w:val="auto"/>
        </w:rPr>
        <w:tab/>
      </w:r>
      <w:r>
        <w:rPr>
          <w:rFonts w:ascii="Arial" w:cs="Arial" w:eastAsia="Arial" w:hAnsi="Arial"/>
          <w:sz w:val="18"/>
          <w:szCs w:val="18"/>
          <w:color w:val="auto"/>
        </w:rPr>
        <w:t xml:space="preserve">/s/ </w:t>
      </w:r>
      <w:r>
        <w:rPr>
          <w:rFonts w:ascii="Arial" w:cs="Arial" w:eastAsia="Arial" w:hAnsi="Arial"/>
          <w:sz w:val="12"/>
          <w:szCs w:val="12"/>
          <w:color w:val="auto"/>
        </w:rPr>
        <w:t>G. WILLIAM SCHULZE</w:t>
      </w:r>
    </w:p>
    <w:p>
      <w:pPr>
        <w:ind w:left="4460"/>
        <w:spacing w:after="0" w:line="232" w:lineRule="auto"/>
        <w:rPr>
          <w:sz w:val="20"/>
          <w:szCs w:val="20"/>
          <w:color w:val="auto"/>
        </w:rPr>
      </w:pPr>
      <w:r>
        <w:rPr>
          <w:rFonts w:ascii="Arial" w:cs="Arial" w:eastAsia="Arial" w:hAnsi="Arial"/>
          <w:sz w:val="18"/>
          <w:szCs w:val="18"/>
          <w:color w:val="auto"/>
        </w:rPr>
        <w:t>G. William Schulze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2763520</wp:posOffset>
            </wp:positionH>
            <wp:positionV relativeFrom="paragraph">
              <wp:posOffset>-111760</wp:posOffset>
            </wp:positionV>
            <wp:extent cx="29927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ind w:left="4460"/>
        <w:spacing w:after="0"/>
        <w:rPr>
          <w:sz w:val="20"/>
          <w:szCs w:val="20"/>
          <w:color w:val="auto"/>
        </w:rPr>
      </w:pPr>
      <w:r>
        <w:rPr>
          <w:rFonts w:ascii="Arial" w:cs="Arial" w:eastAsia="Arial" w:hAnsi="Arial"/>
          <w:sz w:val="17"/>
          <w:szCs w:val="17"/>
          <w:color w:val="auto"/>
        </w:rPr>
        <w:t>Vice President, Interim Treasurer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243840</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color w:val="auto"/>
        </w:rPr>
        <w:t>Exhibit 32.1</w:t>
      </w:r>
    </w:p>
    <w:p>
      <w:pPr>
        <w:spacing w:after="0" w:line="200" w:lineRule="exact"/>
        <w:rPr>
          <w:sz w:val="20"/>
          <w:szCs w:val="20"/>
          <w:color w:val="auto"/>
        </w:rPr>
      </w:pPr>
    </w:p>
    <w:p>
      <w:pPr>
        <w:spacing w:after="0" w:line="309" w:lineRule="exact"/>
        <w:rPr>
          <w:sz w:val="20"/>
          <w:szCs w:val="20"/>
          <w:color w:val="auto"/>
        </w:rPr>
      </w:pPr>
    </w:p>
    <w:p>
      <w:pPr>
        <w:jc w:val="center"/>
        <w:spacing w:after="0" w:line="467" w:lineRule="auto"/>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291" w:lineRule="exact"/>
        <w:rPr>
          <w:sz w:val="20"/>
          <w:szCs w:val="20"/>
          <w:color w:val="auto"/>
        </w:rPr>
      </w:pPr>
    </w:p>
    <w:p>
      <w:pPr>
        <w:ind w:right="600"/>
        <w:spacing w:after="0" w:line="219" w:lineRule="auto"/>
        <w:rPr>
          <w:sz w:val="20"/>
          <w:szCs w:val="20"/>
          <w:color w:val="auto"/>
        </w:rPr>
      </w:pPr>
      <w:r>
        <w:rPr>
          <w:rFonts w:ascii="Arial" w:cs="Arial" w:eastAsia="Arial" w:hAnsi="Arial"/>
          <w:sz w:val="18"/>
          <w:szCs w:val="18"/>
          <w:color w:val="auto"/>
        </w:rPr>
        <w:t>In connection with the Quarterly Report on Form 10-Q of PC Connection, Inc. (the “Company”) for the period ended September 30, 2017 as filed with the Securities and Exchange Commission on the date hereof (the “Report”), the undersigned, Timothy McGrath, President and Chief Executive Officer of the Company, hereby certifies, pursuant to 18 U.S.C. Section 1350, that:</w:t>
      </w:r>
    </w:p>
    <w:p>
      <w:pPr>
        <w:spacing w:after="0" w:line="122" w:lineRule="exact"/>
        <w:rPr>
          <w:sz w:val="20"/>
          <w:szCs w:val="20"/>
          <w:color w:val="auto"/>
        </w:rPr>
      </w:pPr>
    </w:p>
    <w:p>
      <w:pPr>
        <w:ind w:left="1160" w:right="640" w:hanging="1157"/>
        <w:spacing w:after="0" w:line="235"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9" w:lineRule="exact"/>
        <w:rPr>
          <w:rFonts w:ascii="Arial" w:cs="Arial" w:eastAsia="Arial" w:hAnsi="Arial"/>
          <w:sz w:val="18"/>
          <w:szCs w:val="18"/>
          <w:color w:val="auto"/>
        </w:rPr>
      </w:pPr>
    </w:p>
    <w:p>
      <w:pPr>
        <w:ind w:left="1160" w:right="560" w:hanging="1157"/>
        <w:spacing w:after="0" w:line="235"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0"/>
        <w:spacing w:after="0"/>
        <w:tabs>
          <w:tab w:leader="none" w:pos="4780" w:val="left"/>
        </w:tabs>
        <w:rPr>
          <w:sz w:val="20"/>
          <w:szCs w:val="20"/>
          <w:color w:val="auto"/>
        </w:rPr>
      </w:pPr>
      <w:r>
        <w:rPr>
          <w:rFonts w:ascii="Arial" w:cs="Arial" w:eastAsia="Arial" w:hAnsi="Arial"/>
          <w:sz w:val="18"/>
          <w:szCs w:val="18"/>
          <w:color w:val="auto"/>
        </w:rPr>
        <w:t>Date: November 9, 2017</w:t>
      </w:r>
      <w:r>
        <w:rPr>
          <w:sz w:val="20"/>
          <w:szCs w:val="20"/>
          <w:color w:val="auto"/>
        </w:rPr>
        <w:tab/>
      </w:r>
      <w:r>
        <w:rPr>
          <w:rFonts w:ascii="Arial" w:cs="Arial" w:eastAsia="Arial" w:hAnsi="Arial"/>
          <w:sz w:val="18"/>
          <w:szCs w:val="18"/>
          <w:color w:val="auto"/>
        </w:rPr>
        <w:t xml:space="preserve">/s/ </w:t>
      </w:r>
      <w:r>
        <w:rPr>
          <w:rFonts w:ascii="Arial" w:cs="Arial" w:eastAsia="Arial" w:hAnsi="Arial"/>
          <w:sz w:val="14"/>
          <w:szCs w:val="14"/>
          <w:color w:val="auto"/>
        </w:rPr>
        <w:t>TIMOTHY MCGRATH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2969260</wp:posOffset>
            </wp:positionH>
            <wp:positionV relativeFrom="paragraph">
              <wp:posOffset>6350</wp:posOffset>
            </wp:positionV>
            <wp:extent cx="278701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ind w:left="4800"/>
        <w:spacing w:after="0" w:line="217" w:lineRule="auto"/>
        <w:rPr>
          <w:sz w:val="20"/>
          <w:szCs w:val="20"/>
          <w:color w:val="auto"/>
        </w:rPr>
      </w:pPr>
      <w:r>
        <w:rPr>
          <w:rFonts w:ascii="Arial" w:cs="Arial" w:eastAsia="Arial" w:hAnsi="Arial"/>
          <w:sz w:val="18"/>
          <w:szCs w:val="18"/>
          <w:color w:val="auto"/>
        </w:rPr>
        <w:t>Timothy McGrath</w:t>
      </w:r>
    </w:p>
    <w:p>
      <w:pPr>
        <w:ind w:left="480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color w:val="auto"/>
        </w:rPr>
        <w:t>Exhibit 32.2</w:t>
      </w:r>
    </w:p>
    <w:p>
      <w:pPr>
        <w:spacing w:after="0" w:line="200" w:lineRule="exact"/>
        <w:rPr>
          <w:sz w:val="20"/>
          <w:szCs w:val="20"/>
          <w:color w:val="auto"/>
        </w:rPr>
      </w:pPr>
    </w:p>
    <w:p>
      <w:pPr>
        <w:spacing w:after="0" w:line="309" w:lineRule="exact"/>
        <w:rPr>
          <w:sz w:val="20"/>
          <w:szCs w:val="20"/>
          <w:color w:val="auto"/>
        </w:rPr>
      </w:pPr>
    </w:p>
    <w:p>
      <w:pPr>
        <w:jc w:val="center"/>
        <w:spacing w:after="0" w:line="467" w:lineRule="auto"/>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291" w:lineRule="exact"/>
        <w:rPr>
          <w:sz w:val="20"/>
          <w:szCs w:val="20"/>
          <w:color w:val="auto"/>
        </w:rPr>
      </w:pPr>
    </w:p>
    <w:p>
      <w:pPr>
        <w:ind w:right="660"/>
        <w:spacing w:after="0" w:line="219" w:lineRule="auto"/>
        <w:rPr>
          <w:sz w:val="20"/>
          <w:szCs w:val="20"/>
          <w:color w:val="auto"/>
        </w:rPr>
      </w:pPr>
      <w:r>
        <w:rPr>
          <w:rFonts w:ascii="Arial" w:cs="Arial" w:eastAsia="Arial" w:hAnsi="Arial"/>
          <w:sz w:val="18"/>
          <w:szCs w:val="18"/>
          <w:color w:val="auto"/>
        </w:rPr>
        <w:t>In connection with the Quarterly Report on Form 10-Q of PC Connection, Inc. (the “Company”) for the period ended September 30, 2017 as filed with the Securities and Exchange Commission on the date hereof (the “Report”), the undersigned, G. William Schulze, Vice President and Interim Chief Financial Officer of the Company, hereby certifies, pursuant to 18 U.S.C. Section 1350, that:</w:t>
      </w:r>
    </w:p>
    <w:p>
      <w:pPr>
        <w:spacing w:after="0" w:line="122" w:lineRule="exact"/>
        <w:rPr>
          <w:sz w:val="20"/>
          <w:szCs w:val="20"/>
          <w:color w:val="auto"/>
        </w:rPr>
      </w:pPr>
    </w:p>
    <w:p>
      <w:pPr>
        <w:ind w:left="1480" w:right="1080" w:hanging="1477"/>
        <w:spacing w:after="0" w:line="235" w:lineRule="auto"/>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9" w:lineRule="exact"/>
        <w:rPr>
          <w:rFonts w:ascii="Arial" w:cs="Arial" w:eastAsia="Arial" w:hAnsi="Arial"/>
          <w:sz w:val="18"/>
          <w:szCs w:val="18"/>
          <w:color w:val="auto"/>
        </w:rPr>
      </w:pPr>
    </w:p>
    <w:p>
      <w:pPr>
        <w:ind w:left="1480" w:right="960" w:hanging="1477"/>
        <w:spacing w:after="0" w:line="235" w:lineRule="auto"/>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0"/>
        <w:spacing w:after="0"/>
        <w:tabs>
          <w:tab w:leader="none" w:pos="4520" w:val="left"/>
        </w:tabs>
        <w:rPr>
          <w:sz w:val="20"/>
          <w:szCs w:val="20"/>
          <w:color w:val="auto"/>
        </w:rPr>
      </w:pPr>
      <w:r>
        <w:rPr>
          <w:rFonts w:ascii="Arial" w:cs="Arial" w:eastAsia="Arial" w:hAnsi="Arial"/>
          <w:sz w:val="18"/>
          <w:szCs w:val="18"/>
          <w:color w:val="auto"/>
        </w:rPr>
        <w:t>Date: November 9, 2017</w:t>
      </w:r>
      <w:r>
        <w:rPr>
          <w:sz w:val="20"/>
          <w:szCs w:val="20"/>
          <w:color w:val="auto"/>
        </w:rPr>
        <w:tab/>
      </w:r>
      <w:r>
        <w:rPr>
          <w:rFonts w:ascii="Arial" w:cs="Arial" w:eastAsia="Arial" w:hAnsi="Arial"/>
          <w:sz w:val="18"/>
          <w:szCs w:val="18"/>
          <w:color w:val="auto"/>
        </w:rPr>
        <w:t xml:space="preserve">/s/ </w:t>
      </w:r>
      <w:r>
        <w:rPr>
          <w:rFonts w:ascii="Arial" w:cs="Arial" w:eastAsia="Arial" w:hAnsi="Arial"/>
          <w:sz w:val="12"/>
          <w:szCs w:val="12"/>
          <w:color w:val="auto"/>
        </w:rPr>
        <w:t>G. WILLIAM SCHULZE</w:t>
      </w:r>
    </w:p>
    <w:p>
      <w:pPr>
        <w:ind w:left="4540"/>
        <w:spacing w:after="0" w:line="232" w:lineRule="auto"/>
        <w:rPr>
          <w:sz w:val="20"/>
          <w:szCs w:val="20"/>
          <w:color w:val="auto"/>
        </w:rPr>
      </w:pPr>
      <w:r>
        <w:rPr>
          <w:rFonts w:ascii="Arial" w:cs="Arial" w:eastAsia="Arial" w:hAnsi="Arial"/>
          <w:sz w:val="18"/>
          <w:szCs w:val="18"/>
          <w:color w:val="auto"/>
        </w:rPr>
        <w:t>G. William Schulze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2806065</wp:posOffset>
            </wp:positionH>
            <wp:positionV relativeFrom="paragraph">
              <wp:posOffset>-111760</wp:posOffset>
            </wp:positionV>
            <wp:extent cx="295021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ind w:left="4540"/>
        <w:spacing w:after="0" w:line="204" w:lineRule="auto"/>
        <w:rPr>
          <w:sz w:val="20"/>
          <w:szCs w:val="20"/>
          <w:color w:val="auto"/>
        </w:rPr>
      </w:pPr>
      <w:r>
        <w:rPr>
          <w:rFonts w:ascii="Arial" w:cs="Arial" w:eastAsia="Arial" w:hAnsi="Arial"/>
          <w:sz w:val="18"/>
          <w:szCs w:val="18"/>
          <w:color w:val="auto"/>
        </w:rPr>
        <w:t>Vice President, Interim Treasurer and Chief Financial</w:t>
      </w:r>
    </w:p>
    <w:p>
      <w:pPr>
        <w:ind w:left="4540"/>
        <w:spacing w:after="0"/>
        <w:rPr>
          <w:sz w:val="20"/>
          <w:szCs w:val="20"/>
          <w:color w:val="auto"/>
        </w:rPr>
      </w:pPr>
      <w:r>
        <w:rPr>
          <w:rFonts w:ascii="Arial" w:cs="Arial" w:eastAsia="Arial" w:hAnsi="Arial"/>
          <w:sz w:val="18"/>
          <w:szCs w:val="18"/>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11"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1)"/>
      <w:numFmt w:val="lowerRoman"/>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2019-12-29T03:12:06Z</dcterms:created>
  <dcterms:modified xsi:type="dcterms:W3CDTF">2019-12-29T03:12:06Z</dcterms:modified>
</cp:coreProperties>
</file>