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18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4" w:lineRule="exact"/>
        <w:rPr>
          <w:sz w:val="24"/>
          <w:szCs w:val="24"/>
          <w:color w:val="auto"/>
        </w:rPr>
      </w:pPr>
    </w:p>
    <w:p>
      <w:pPr>
        <w:ind w:left="580" w:right="20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 the quarterly period ended June 30, 2006</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OR</w:t>
      </w:r>
    </w:p>
    <w:p>
      <w:pPr>
        <w:spacing w:after="0" w:line="193"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8" w:lineRule="exact"/>
        <w:rPr>
          <w:sz w:val="24"/>
          <w:szCs w:val="24"/>
          <w:color w:val="auto"/>
        </w:rPr>
      </w:pPr>
    </w:p>
    <w:p>
      <w:pPr>
        <w:ind w:left="3660"/>
        <w:spacing w:after="0"/>
        <w:tabs>
          <w:tab w:leader="none" w:pos="67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4"/>
          <w:szCs w:val="14"/>
          <w:color w:val="auto"/>
        </w:rPr>
        <w:t>to</w:t>
      </w:r>
    </w:p>
    <w:p>
      <w:pPr>
        <w:spacing w:after="0" w:line="17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Commission file number 0-23827</w:t>
      </w:r>
    </w:p>
    <w:p>
      <w:pPr>
        <w:spacing w:after="0" w:line="136"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PC CONNECTION, INC.</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420" w:type="dxa"/>
        <w:tblCellMar>
          <w:top w:w="0" w:type="dxa"/>
          <w:left w:w="0" w:type="dxa"/>
          <w:bottom w:w="0" w:type="dxa"/>
          <w:right w:w="0" w:type="dxa"/>
        </w:tblCellMar>
      </w:tblPr>
      <w:tr>
        <w:trPr>
          <w:trHeight w:val="218"/>
        </w:trPr>
        <w:tc>
          <w:tcPr>
            <w:tcW w:w="4540" w:type="dxa"/>
            <w:vAlign w:val="bottom"/>
          </w:tcPr>
          <w:p>
            <w:pPr>
              <w:jc w:val="center"/>
              <w:ind w:right="1682"/>
              <w:spacing w:after="0"/>
              <w:rPr>
                <w:sz w:val="20"/>
                <w:szCs w:val="20"/>
                <w:color w:val="auto"/>
              </w:rPr>
            </w:pPr>
            <w:r>
              <w:rPr>
                <w:rFonts w:ascii="Arial" w:cs="Arial" w:eastAsia="Arial" w:hAnsi="Arial"/>
                <w:sz w:val="18"/>
                <w:szCs w:val="18"/>
                <w:b w:val="1"/>
                <w:bCs w:val="1"/>
                <w:color w:val="auto"/>
                <w:w w:val="94"/>
              </w:rPr>
              <w:t>DELAWARE</w:t>
            </w:r>
          </w:p>
        </w:tc>
        <w:tc>
          <w:tcPr>
            <w:tcW w:w="3820" w:type="dxa"/>
            <w:vAlign w:val="bottom"/>
          </w:tcPr>
          <w:p>
            <w:pPr>
              <w:jc w:val="right"/>
              <w:ind w:right="542"/>
              <w:spacing w:after="0"/>
              <w:rPr>
                <w:sz w:val="20"/>
                <w:szCs w:val="20"/>
                <w:color w:val="auto"/>
              </w:rPr>
            </w:pPr>
            <w:r>
              <w:rPr>
                <w:rFonts w:ascii="Arial" w:cs="Arial" w:eastAsia="Arial" w:hAnsi="Arial"/>
                <w:sz w:val="18"/>
                <w:szCs w:val="18"/>
                <w:b w:val="1"/>
                <w:bCs w:val="1"/>
                <w:color w:val="auto"/>
              </w:rPr>
              <w:t>02-0513618</w:t>
            </w:r>
          </w:p>
        </w:tc>
      </w:tr>
      <w:tr>
        <w:trPr>
          <w:trHeight w:val="149"/>
        </w:trPr>
        <w:tc>
          <w:tcPr>
            <w:tcW w:w="4540" w:type="dxa"/>
            <w:vAlign w:val="bottom"/>
          </w:tcPr>
          <w:p>
            <w:pPr>
              <w:jc w:val="center"/>
              <w:ind w:right="168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820" w:type="dxa"/>
            <w:vAlign w:val="bottom"/>
          </w:tcPr>
          <w:p>
            <w:pPr>
              <w:jc w:val="center"/>
              <w:ind w:left="166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4540" w:type="dxa"/>
            <w:vAlign w:val="bottom"/>
          </w:tcPr>
          <w:p>
            <w:pPr>
              <w:jc w:val="center"/>
              <w:ind w:right="1682"/>
              <w:spacing w:after="0"/>
              <w:rPr>
                <w:sz w:val="20"/>
                <w:szCs w:val="20"/>
                <w:color w:val="auto"/>
              </w:rPr>
            </w:pPr>
            <w:r>
              <w:rPr>
                <w:rFonts w:ascii="Arial" w:cs="Arial" w:eastAsia="Arial" w:hAnsi="Arial"/>
                <w:sz w:val="14"/>
                <w:szCs w:val="14"/>
                <w:b w:val="1"/>
                <w:bCs w:val="1"/>
                <w:color w:val="auto"/>
                <w:w w:val="89"/>
              </w:rPr>
              <w:t>incorporation or organization)</w:t>
            </w:r>
          </w:p>
        </w:tc>
        <w:tc>
          <w:tcPr>
            <w:tcW w:w="3820" w:type="dxa"/>
            <w:vAlign w:val="bottom"/>
          </w:tcPr>
          <w:p>
            <w:pPr>
              <w:spacing w:after="0"/>
              <w:rPr>
                <w:sz w:val="15"/>
                <w:szCs w:val="15"/>
                <w:color w:val="auto"/>
              </w:rPr>
            </w:pPr>
          </w:p>
        </w:tc>
      </w:tr>
      <w:tr>
        <w:trPr>
          <w:trHeight w:val="405"/>
        </w:trPr>
        <w:tc>
          <w:tcPr>
            <w:tcW w:w="4540" w:type="dxa"/>
            <w:vAlign w:val="bottom"/>
          </w:tcPr>
          <w:p>
            <w:pPr>
              <w:jc w:val="center"/>
              <w:ind w:right="1662"/>
              <w:spacing w:after="0"/>
              <w:rPr>
                <w:sz w:val="20"/>
                <w:szCs w:val="20"/>
                <w:color w:val="auto"/>
              </w:rPr>
            </w:pPr>
            <w:r>
              <w:rPr>
                <w:rFonts w:ascii="Arial" w:cs="Arial" w:eastAsia="Arial" w:hAnsi="Arial"/>
                <w:sz w:val="18"/>
                <w:szCs w:val="18"/>
                <w:b w:val="1"/>
                <w:bCs w:val="1"/>
                <w:color w:val="auto"/>
                <w:w w:val="97"/>
              </w:rPr>
              <w:t>730 MILFORD ROAD,</w:t>
            </w:r>
          </w:p>
        </w:tc>
        <w:tc>
          <w:tcPr>
            <w:tcW w:w="3820" w:type="dxa"/>
            <w:vAlign w:val="bottom"/>
          </w:tcPr>
          <w:p>
            <w:pPr>
              <w:spacing w:after="0"/>
              <w:rPr>
                <w:sz w:val="24"/>
                <w:szCs w:val="24"/>
                <w:color w:val="auto"/>
              </w:rPr>
            </w:pPr>
          </w:p>
        </w:tc>
      </w:tr>
      <w:tr>
        <w:trPr>
          <w:trHeight w:val="218"/>
        </w:trPr>
        <w:tc>
          <w:tcPr>
            <w:tcW w:w="4540" w:type="dxa"/>
            <w:vAlign w:val="bottom"/>
          </w:tcPr>
          <w:p>
            <w:pPr>
              <w:jc w:val="center"/>
              <w:ind w:right="1682"/>
              <w:spacing w:after="0"/>
              <w:rPr>
                <w:sz w:val="20"/>
                <w:szCs w:val="20"/>
                <w:color w:val="auto"/>
              </w:rPr>
            </w:pPr>
            <w:r>
              <w:rPr>
                <w:rFonts w:ascii="Arial" w:cs="Arial" w:eastAsia="Arial" w:hAnsi="Arial"/>
                <w:sz w:val="18"/>
                <w:szCs w:val="18"/>
                <w:b w:val="1"/>
                <w:bCs w:val="1"/>
                <w:color w:val="auto"/>
              </w:rPr>
              <w:t>MERRIMACK, NEW HAMPSHIRE</w:t>
            </w:r>
          </w:p>
        </w:tc>
        <w:tc>
          <w:tcPr>
            <w:tcW w:w="3820" w:type="dxa"/>
            <w:vAlign w:val="bottom"/>
          </w:tcPr>
          <w:p>
            <w:pPr>
              <w:jc w:val="right"/>
              <w:ind w:right="742"/>
              <w:spacing w:after="0"/>
              <w:rPr>
                <w:sz w:val="20"/>
                <w:szCs w:val="20"/>
                <w:color w:val="auto"/>
              </w:rPr>
            </w:pPr>
            <w:r>
              <w:rPr>
                <w:rFonts w:ascii="Arial" w:cs="Arial" w:eastAsia="Arial" w:hAnsi="Arial"/>
                <w:sz w:val="18"/>
                <w:szCs w:val="18"/>
                <w:b w:val="1"/>
                <w:bCs w:val="1"/>
                <w:color w:val="auto"/>
              </w:rPr>
              <w:t>03054</w:t>
            </w:r>
          </w:p>
        </w:tc>
      </w:tr>
      <w:tr>
        <w:trPr>
          <w:trHeight w:val="174"/>
        </w:trPr>
        <w:tc>
          <w:tcPr>
            <w:tcW w:w="4540" w:type="dxa"/>
            <w:vAlign w:val="bottom"/>
          </w:tcPr>
          <w:p>
            <w:pPr>
              <w:jc w:val="center"/>
              <w:ind w:right="168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820" w:type="dxa"/>
            <w:vAlign w:val="bottom"/>
          </w:tcPr>
          <w:p>
            <w:pPr>
              <w:jc w:val="center"/>
              <w:ind w:left="1662"/>
              <w:spacing w:after="0"/>
              <w:rPr>
                <w:sz w:val="20"/>
                <w:szCs w:val="20"/>
                <w:color w:val="auto"/>
              </w:rPr>
            </w:pPr>
            <w:r>
              <w:rPr>
                <w:rFonts w:ascii="Arial" w:cs="Arial" w:eastAsia="Arial" w:hAnsi="Arial"/>
                <w:sz w:val="14"/>
                <w:szCs w:val="14"/>
                <w:b w:val="1"/>
                <w:bCs w:val="1"/>
                <w:color w:val="auto"/>
                <w:w w:val="92"/>
              </w:rPr>
              <w:t>(Zip Code)</w:t>
            </w:r>
          </w:p>
        </w:tc>
      </w:tr>
    </w:tbl>
    <w:p>
      <w:pPr>
        <w:spacing w:after="0" w:line="13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(603) 683-2000</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190500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100" w:firstLine="456"/>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7" w:lineRule="exact"/>
        <w:rPr>
          <w:sz w:val="24"/>
          <w:szCs w:val="24"/>
          <w:color w:val="auto"/>
        </w:rPr>
      </w:pPr>
    </w:p>
    <w:p>
      <w:pPr>
        <w:jc w:val="center"/>
        <w:ind w:right="-139"/>
        <w:spacing w:after="0" w:line="207" w:lineRule="exact"/>
        <w:tabs>
          <w:tab w:leader="none" w:pos="16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8" w:lineRule="exact"/>
        <w:rPr>
          <w:sz w:val="24"/>
          <w:szCs w:val="24"/>
          <w:color w:val="auto"/>
        </w:rPr>
      </w:pPr>
    </w:p>
    <w:p>
      <w:pPr>
        <w:ind w:left="460"/>
        <w:spacing w:after="0" w:line="207" w:lineRule="exact"/>
        <w:tabs>
          <w:tab w:leader="none" w:pos="2780" w:val="left"/>
          <w:tab w:leader="none" w:pos="47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58" w:lineRule="exact"/>
        <w:rPr>
          <w:sz w:val="24"/>
          <w:szCs w:val="24"/>
          <w:color w:val="auto"/>
        </w:rPr>
      </w:pPr>
    </w:p>
    <w:p>
      <w:pPr>
        <w:ind w:left="5080"/>
        <w:spacing w:after="0" w:line="207" w:lineRule="exact"/>
        <w:tabs>
          <w:tab w:leader="none" w:pos="582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number of shares outstanding of the issuer’s Common Stock as of July 28, 2006 was 25,322,433.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60" w:type="dxa"/>
            <w:vAlign w:val="bottom"/>
            <w:gridSpan w:val="2"/>
            <w:vMerge w:val="restart"/>
          </w:tcPr>
          <w:p>
            <w:pPr>
              <w:ind w:left="1580"/>
              <w:spacing w:after="0"/>
              <w:rPr>
                <w:sz w:val="20"/>
                <w:szCs w:val="20"/>
                <w:color w:val="auto"/>
              </w:rPr>
            </w:pPr>
            <w:r>
              <w:rPr>
                <w:rFonts w:ascii="Arial" w:cs="Arial" w:eastAsia="Arial" w:hAnsi="Arial"/>
                <w:sz w:val="18"/>
                <w:szCs w:val="18"/>
                <w:b w:val="1"/>
                <w:bCs w:val="1"/>
                <w:color w:val="auto"/>
                <w:w w:val="94"/>
              </w:rPr>
              <w:t>PART I</w:t>
            </w:r>
          </w:p>
        </w:tc>
        <w:tc>
          <w:tcPr>
            <w:tcW w:w="6020" w:type="dxa"/>
            <w:vAlign w:val="bottom"/>
            <w:gridSpan w:val="9"/>
            <w:vMerge w:val="restart"/>
          </w:tcPr>
          <w:p>
            <w:pPr>
              <w:ind w:left="160"/>
              <w:spacing w:after="0"/>
              <w:rPr>
                <w:sz w:val="20"/>
                <w:szCs w:val="20"/>
                <w:color w:val="auto"/>
              </w:rPr>
            </w:pPr>
            <w:r>
              <w:rPr>
                <w:rFonts w:ascii="Arial" w:cs="Arial" w:eastAsia="Arial" w:hAnsi="Arial"/>
                <w:sz w:val="18"/>
                <w:szCs w:val="18"/>
                <w:b w:val="1"/>
                <w:bCs w:val="1"/>
                <w:color w:val="auto"/>
              </w:rPr>
              <w:t>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60" w:type="dxa"/>
            <w:vAlign w:val="bottom"/>
            <w:gridSpan w:val="2"/>
            <w:vMerge w:val="continue"/>
          </w:tcPr>
          <w:p>
            <w:pPr>
              <w:spacing w:after="0"/>
              <w:rPr>
                <w:sz w:val="17"/>
                <w:szCs w:val="17"/>
                <w:color w:val="auto"/>
              </w:rPr>
            </w:pPr>
          </w:p>
        </w:tc>
        <w:tc>
          <w:tcPr>
            <w:tcW w:w="6020" w:type="dxa"/>
            <w:vAlign w:val="bottom"/>
            <w:gridSpan w:val="9"/>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00" w:type="dxa"/>
            <w:vAlign w:val="bottom"/>
            <w:gridSpan w:val="15"/>
          </w:tcPr>
          <w:p>
            <w:pPr>
              <w:spacing w:after="0"/>
              <w:rPr>
                <w:sz w:val="20"/>
                <w:szCs w:val="20"/>
                <w:color w:val="auto"/>
              </w:rPr>
            </w:pPr>
            <w:r>
              <w:rPr>
                <w:rFonts w:ascii="Arial" w:cs="Arial" w:eastAsia="Arial" w:hAnsi="Arial"/>
                <w:sz w:val="18"/>
                <w:szCs w:val="18"/>
                <w:color w:val="auto"/>
              </w:rPr>
              <w:t>Unaudited Condensed Consolidated Financial Statements: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Report of Independent Registered Public Accounting Firm</w:t>
              </w:r>
            </w:hyperlink>
          </w:p>
        </w:tc>
        <w:tc>
          <w:tcPr>
            <w:tcW w:w="5780" w:type="dxa"/>
            <w:vAlign w:val="bottom"/>
            <w:gridSpan w:val="8"/>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4"/>
        </w:trPr>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7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Balance Sheets—June 30, 2006 and December 31, 2005</w:t>
              </w:r>
            </w:hyperlink>
          </w:p>
        </w:tc>
        <w:tc>
          <w:tcPr>
            <w:tcW w:w="4160" w:type="dxa"/>
            <w:vAlign w:val="bottom"/>
            <w:gridSpan w:val="5"/>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Income—Three and six months ended June 30, 2006 and 2005</w:t>
              </w:r>
            </w:hyperlink>
          </w:p>
        </w:tc>
        <w:tc>
          <w:tcPr>
            <w:tcW w:w="2700" w:type="dxa"/>
            <w:vAlign w:val="bottom"/>
            <w:gridSpan w:val="2"/>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4"/>
        </w:trPr>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900" w:type="dxa"/>
            <w:vAlign w:val="bottom"/>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Changes in Stockholders’ Equity—Six months ended June 30, 2006</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4"/>
        </w:trPr>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7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6"/>
              </w:rPr>
            </w:pPr>
            <w:hyperlink w:anchor="page7">
              <w:r>
                <w:rPr>
                  <w:rFonts w:ascii="Arial" w:cs="Arial" w:eastAsia="Arial" w:hAnsi="Arial"/>
                  <w:sz w:val="18"/>
                  <w:szCs w:val="18"/>
                  <w:color w:val="0000EE"/>
                  <w:w w:val="86"/>
                </w:rPr>
                <w:t>Condensed Consolidated Statements of Cash Flows—Six months ended June 30, 2006 and 2005</w:t>
              </w:r>
            </w:hyperlink>
          </w:p>
        </w:tc>
        <w:tc>
          <w:tcPr>
            <w:tcW w:w="720" w:type="dxa"/>
            <w:vAlign w:val="bottom"/>
            <w:tcBorders>
              <w:top w:val="single" w:sz="8" w:color="0000EE"/>
            </w:tcBorders>
            <w:gridSpan w:val="2"/>
          </w:tcPr>
          <w:p>
            <w:pPr>
              <w:spacing w:after="0"/>
              <w:rPr>
                <w:sz w:val="22"/>
                <w:szCs w:val="22"/>
                <w:color w:val="auto"/>
              </w:rPr>
            </w:pPr>
          </w:p>
        </w:tc>
        <w:tc>
          <w:tcPr>
            <w:tcW w:w="24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4"/>
        </w:trPr>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900" w:type="dxa"/>
            <w:vAlign w:val="bottom"/>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Management’s Discussion and Analysis of Financial Condition and Results of Operations</w:t>
              </w:r>
            </w:hyperlink>
          </w:p>
        </w:tc>
        <w:tc>
          <w:tcPr>
            <w:tcW w:w="3600" w:type="dxa"/>
            <w:vAlign w:val="bottom"/>
            <w:gridSpan w:val="4"/>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900" w:type="dxa"/>
            <w:vAlign w:val="bottom"/>
            <w:gridSpan w:val="1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880" w:type="dxa"/>
            <w:vAlign w:val="bottom"/>
            <w:tcBorders>
              <w:top w:val="single" w:sz="8" w:color="0000EE"/>
            </w:tcBorders>
            <w:gridSpan w:val="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24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70"/>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160" w:type="dxa"/>
            <w:vAlign w:val="bottom"/>
            <w:gridSpan w:val="2"/>
          </w:tcPr>
          <w:p>
            <w:pPr>
              <w:ind w:left="1360"/>
              <w:spacing w:after="0"/>
              <w:rPr>
                <w:sz w:val="20"/>
                <w:szCs w:val="20"/>
                <w:color w:val="auto"/>
              </w:rPr>
            </w:pPr>
            <w:r>
              <w:rPr>
                <w:rFonts w:ascii="Arial" w:cs="Arial" w:eastAsia="Arial" w:hAnsi="Arial"/>
                <w:sz w:val="18"/>
                <w:szCs w:val="18"/>
                <w:b w:val="1"/>
                <w:bCs w:val="1"/>
                <w:color w:val="auto"/>
              </w:rPr>
              <w:t>PART II</w:t>
            </w:r>
          </w:p>
        </w:tc>
        <w:tc>
          <w:tcPr>
            <w:tcW w:w="6020" w:type="dxa"/>
            <w:vAlign w:val="bottom"/>
            <w:gridSpan w:val="9"/>
          </w:tcPr>
          <w:p>
            <w:pPr>
              <w:ind w:left="20"/>
              <w:spacing w:after="0"/>
              <w:rPr>
                <w:sz w:val="20"/>
                <w:szCs w:val="20"/>
                <w:color w:val="auto"/>
              </w:rPr>
            </w:pPr>
            <w:r>
              <w:rPr>
                <w:rFonts w:ascii="Arial" w:cs="Arial" w:eastAsia="Arial" w:hAnsi="Arial"/>
                <w:sz w:val="18"/>
                <w:szCs w:val="18"/>
                <w:b w:val="1"/>
                <w:bCs w:val="1"/>
                <w:color w:val="auto"/>
              </w:rPr>
              <w:t>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Risk Factors</w:t>
              </w:r>
            </w:hyperlink>
          </w:p>
        </w:tc>
        <w:tc>
          <w:tcPr>
            <w:tcW w:w="3000" w:type="dxa"/>
            <w:vAlign w:val="bottom"/>
            <w:gridSpan w:val="4"/>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00" w:type="dxa"/>
            <w:vAlign w:val="bottom"/>
            <w:gridSpan w:val="1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6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Submission of Matters to a Vote of Security Holders</w:t>
              </w:r>
            </w:hyperlink>
          </w:p>
        </w:tc>
        <w:tc>
          <w:tcPr>
            <w:tcW w:w="20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120" w:type="dxa"/>
            <w:vAlign w:val="bottom"/>
            <w:tcBorders>
              <w:top w:val="single" w:sz="8" w:color="0000EE"/>
            </w:tcBorders>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Other Information</w:t>
              </w:r>
            </w:hyperlink>
          </w:p>
        </w:tc>
        <w:tc>
          <w:tcPr>
            <w:tcW w:w="2600" w:type="dxa"/>
            <w:vAlign w:val="bottom"/>
            <w:gridSpan w:val="3"/>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64"/>
        </w:trPr>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3880" w:type="dxa"/>
            <w:vAlign w:val="bottom"/>
            <w:gridSpan w:val="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64"/>
        </w:trPr>
        <w:tc>
          <w:tcPr>
            <w:tcW w:w="114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43">
              <w:r>
                <w:rPr>
                  <w:rFonts w:ascii="Arial" w:cs="Arial" w:eastAsia="Arial" w:hAnsi="Arial"/>
                  <w:sz w:val="18"/>
                  <w:szCs w:val="18"/>
                  <w:b w:val="1"/>
                  <w:bCs w:val="1"/>
                  <w:color w:val="0000EE"/>
                  <w:w w:val="94"/>
                </w:rPr>
                <w:t>SIGNATURES</w:t>
              </w:r>
            </w:hyperlink>
          </w:p>
        </w:tc>
        <w:tc>
          <w:tcPr>
            <w:tcW w:w="100" w:type="dxa"/>
            <w:vAlign w:val="bottom"/>
          </w:tcPr>
          <w:p>
            <w:pPr>
              <w:spacing w:after="0"/>
              <w:rPr>
                <w:sz w:val="22"/>
                <w:szCs w:val="22"/>
                <w:color w:val="auto"/>
              </w:rPr>
            </w:pPr>
          </w:p>
        </w:tc>
        <w:tc>
          <w:tcPr>
            <w:tcW w:w="580" w:type="dxa"/>
            <w:vAlign w:val="bottom"/>
            <w:tcBorders>
              <w:top w:val="single" w:sz="8" w:color="0000EE"/>
            </w:tcBorders>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PC Connection,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Merrimack, New Hampshire</w:t>
      </w:r>
    </w:p>
    <w:p>
      <w:pPr>
        <w:spacing w:after="0" w:line="165"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We have reviewed the accompanying condensed consolidated balance sheet of PC Connection, Inc. and subsidiaries (the “Company”) as of June 30, 2006, and the related condensed consolidated statements of income for the three-month and six-month periods ended June 30, 2006 and 2005, and the condensed consolidated statement of changes in stockholders’ equity for the six-month period ended June 30, 2006, and the condensed consolidated statements of cash flows for the six-month periods ended June 30, 2006 and 2005. These interim financial statements are the responsibility of the Company’s management.</w:t>
      </w:r>
    </w:p>
    <w:p>
      <w:pPr>
        <w:spacing w:after="0" w:line="9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of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Based on our reviews, we are not aware of any material modifications that should be made to such condensed consolidated interim financial statements for them to be in conformity with accounting principles generally accepted in the United States of America.</w:t>
      </w:r>
    </w:p>
    <w:p>
      <w:pPr>
        <w:spacing w:after="0" w:line="13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balance sheet of PC Connection, Inc. and subsidiaries as of December 31, 2005, and the related consolidated statements of income, stockholders’ equity, and cash flows for the year then ended (not presented herein); and in our report dated March 30, 2006, we expressed an unqualified opinion on those consolidated financial statements. In our opinion, the information set forth in the accompanying condensed consolidated balance sheet as of December 31, 2005 is fairly stated, in all material respects, in relation to the consolidated balance sheet from which it has been derived.</w:t>
      </w:r>
    </w:p>
    <w:p>
      <w:pPr>
        <w:spacing w:after="0" w:line="11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 xml:space="preserve">As discussed in Note 1 to the condensed consolidated financial statements, effective January 1, 2006 the Company changed its method of accounting for stock-based compensation to conform to Statement of Financial Accounting Standards No. 123(R), </w:t>
      </w:r>
      <w:r>
        <w:rPr>
          <w:rFonts w:ascii="Arial" w:cs="Arial" w:eastAsia="Arial" w:hAnsi="Arial"/>
          <w:sz w:val="16"/>
          <w:szCs w:val="16"/>
          <w:i w:val="1"/>
          <w:iCs w:val="1"/>
          <w:color w:val="auto"/>
        </w:rPr>
        <w:t>Share-Based Payment.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11, 2006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2"/>
              </w:rPr>
              <w:t>June 30,</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75"/>
        </w:trPr>
        <w:tc>
          <w:tcPr>
            <w:tcW w:w="20" w:type="dxa"/>
            <w:vAlign w:val="bottom"/>
          </w:tcPr>
          <w:p>
            <w:pPr>
              <w:spacing w:after="0"/>
              <w:rPr>
                <w:sz w:val="15"/>
                <w:szCs w:val="15"/>
                <w:color w:val="auto"/>
              </w:rPr>
            </w:pPr>
          </w:p>
        </w:tc>
        <w:tc>
          <w:tcPr>
            <w:tcW w:w="9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680" w:type="dxa"/>
            <w:vAlign w:val="bottom"/>
            <w:gridSpan w:val="2"/>
          </w:tcPr>
          <w:p>
            <w:pPr>
              <w:ind w:left="20"/>
              <w:spacing w:after="0" w:line="143" w:lineRule="exact"/>
              <w:rPr>
                <w:sz w:val="20"/>
                <w:szCs w:val="20"/>
                <w:color w:val="auto"/>
              </w:rPr>
            </w:pPr>
            <w:r>
              <w:rPr>
                <w:rFonts w:ascii="Arial" w:cs="Arial" w:eastAsia="Arial" w:hAnsi="Arial"/>
                <w:sz w:val="14"/>
                <w:szCs w:val="14"/>
                <w:b w:val="1"/>
                <w:bCs w:val="1"/>
                <w:i w:val="1"/>
                <w:iCs w:val="1"/>
                <w:color w:val="auto"/>
                <w:w w:val="83"/>
              </w:rPr>
              <w:t>(unaudited)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0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8,530</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6"/>
              </w:rPr>
              <w:t>161,915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162,525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Inventories—merchandise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67,653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75,374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3,566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receivable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1,369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6"/>
              </w:rPr>
              <w:t>246,826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257,399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19,290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56,867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Other intangibles, net</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4,898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328,233</w:t>
            </w:r>
          </w:p>
        </w:tc>
        <w:tc>
          <w:tcPr>
            <w:tcW w:w="340" w:type="dxa"/>
            <w:vAlign w:val="bottom"/>
          </w:tcPr>
          <w:p>
            <w:pPr>
              <w:spacing w:after="0"/>
              <w:rPr>
                <w:sz w:val="19"/>
                <w:szCs w:val="19"/>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337,705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40" w:type="dxa"/>
            <w:vAlign w:val="bottom"/>
            <w:shd w:val="clear" w:color="auto" w:fill="CCEEFF"/>
          </w:tcPr>
          <w:p>
            <w:pPr>
              <w:ind w:left="24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maturities of capital lease obligations: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To affiliate</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439</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 third party</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422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Note payable—bank</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18,000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19,975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96,690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114,413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25,475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6"/>
              </w:rPr>
              <w:t>141,026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156,506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Capital lease obligation, less current maturities: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 affiliate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5,074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To third party</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182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5,169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24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151,451</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166,306</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257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78,449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77,884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6"/>
              </w:rPr>
              <w:t>100,362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95,545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(2,286)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(2,286)</w:t>
            </w:r>
          </w:p>
        </w:tc>
      </w:tr>
      <w:tr>
        <w:trPr>
          <w:trHeight w:val="230"/>
        </w:trPr>
        <w:tc>
          <w:tcPr>
            <w:tcW w:w="20" w:type="dxa"/>
            <w:vAlign w:val="bottom"/>
          </w:tcPr>
          <w:p>
            <w:pPr>
              <w:spacing w:after="0"/>
              <w:rPr>
                <w:sz w:val="20"/>
                <w:szCs w:val="20"/>
                <w:color w:val="auto"/>
              </w:rPr>
            </w:pPr>
          </w:p>
        </w:tc>
        <w:tc>
          <w:tcPr>
            <w:tcW w:w="9240" w:type="dxa"/>
            <w:vAlign w:val="bottom"/>
          </w:tcPr>
          <w:p>
            <w:pPr>
              <w:ind w:left="860"/>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176,782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171,399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6"/>
              </w:rPr>
              <w:t>328,233</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337,705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7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5"/>
        </w:trPr>
        <w:tc>
          <w:tcPr>
            <w:tcW w:w="7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3"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3"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3"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3"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408,094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350,710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788,572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674,561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357,351</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310,346</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691,411</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596,863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50,743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40,364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44,534</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37,379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86,489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72,795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40" w:type="dxa"/>
            <w:vAlign w:val="bottom"/>
          </w:tcPr>
          <w:p>
            <w:pPr>
              <w:ind w:left="440"/>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5,759</w:t>
            </w: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9,331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Income before taxes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5,307</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8,246</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(2,196)</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(3,429)</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25,396</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25,211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25,372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25,274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amounts in thousands</w:t>
      </w:r>
      <w:r>
        <w:rPr>
          <w:rFonts w:ascii="Arial" w:cs="Arial" w:eastAsia="Arial" w:hAnsi="Arial"/>
          <w:sz w:val="18"/>
          <w:szCs w:val="18"/>
          <w:b w:val="1"/>
          <w:bCs w:val="1"/>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340" w:type="dxa"/>
            <w:vAlign w:val="bottom"/>
            <w:gridSpan w:val="4"/>
          </w:tcPr>
          <w:p>
            <w:pPr>
              <w:ind w:left="200"/>
              <w:spacing w:after="0"/>
              <w:rPr>
                <w:sz w:val="20"/>
                <w:szCs w:val="20"/>
                <w:color w:val="auto"/>
              </w:rPr>
            </w:pPr>
            <w:r>
              <w:rPr>
                <w:rFonts w:ascii="Arial" w:cs="Arial" w:eastAsia="Arial" w:hAnsi="Arial"/>
                <w:sz w:val="14"/>
                <w:szCs w:val="14"/>
                <w:b w:val="1"/>
                <w:bCs w:val="1"/>
                <w:color w:val="auto"/>
              </w:rPr>
              <w:t>Common Shares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15"/>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9"/>
              <w:spacing w:after="0"/>
              <w:rPr>
                <w:sz w:val="20"/>
                <w:szCs w:val="20"/>
                <w:color w:val="auto"/>
              </w:rPr>
            </w:pPr>
            <w:r>
              <w:rPr>
                <w:rFonts w:ascii="Arial" w:cs="Arial" w:eastAsia="Arial" w:hAnsi="Arial"/>
                <w:sz w:val="14"/>
                <w:szCs w:val="14"/>
                <w:b w:val="1"/>
                <w:bCs w:val="1"/>
                <w:color w:val="auto"/>
                <w:w w:val="87"/>
              </w:rPr>
              <w:t>Retained</w:t>
            </w:r>
          </w:p>
        </w:tc>
        <w:tc>
          <w:tcPr>
            <w:tcW w:w="220" w:type="dxa"/>
            <w:vAlign w:val="bottom"/>
          </w:tcPr>
          <w:p>
            <w:pPr>
              <w:spacing w:after="0"/>
              <w:rPr>
                <w:sz w:val="14"/>
                <w:szCs w:val="14"/>
                <w:color w:val="auto"/>
              </w:rPr>
            </w:pPr>
          </w:p>
        </w:tc>
        <w:tc>
          <w:tcPr>
            <w:tcW w:w="1580" w:type="dxa"/>
            <w:vAlign w:val="bottom"/>
            <w:gridSpan w:val="6"/>
          </w:tcPr>
          <w:p>
            <w:pPr>
              <w:ind w:left="220"/>
              <w:spacing w:after="0"/>
              <w:rPr>
                <w:sz w:val="20"/>
                <w:szCs w:val="20"/>
                <w:color w:val="auto"/>
              </w:rPr>
            </w:pPr>
            <w:r>
              <w:rPr>
                <w:rFonts w:ascii="Arial" w:cs="Arial" w:eastAsia="Arial" w:hAnsi="Arial"/>
                <w:sz w:val="14"/>
                <w:szCs w:val="14"/>
                <w:b w:val="1"/>
                <w:bCs w:val="1"/>
                <w:color w:val="auto"/>
              </w:rPr>
              <w:t>Treasury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2"/>
                <w:szCs w:val="12"/>
                <w:color w:val="auto"/>
              </w:rPr>
            </w:pPr>
          </w:p>
        </w:tc>
        <w:tc>
          <w:tcPr>
            <w:tcW w:w="10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Paid-In Capital</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6"/>
              </w:rPr>
              <w:t>Earnings</w:t>
            </w:r>
          </w:p>
        </w:tc>
        <w:tc>
          <w:tcPr>
            <w:tcW w:w="220" w:type="dxa"/>
            <w:vAlign w:val="bottom"/>
          </w:tcPr>
          <w:p>
            <w:pPr>
              <w:spacing w:after="0"/>
              <w:rPr>
                <w:sz w:val="12"/>
                <w:szCs w:val="12"/>
                <w:color w:val="auto"/>
              </w:rPr>
            </w:pPr>
          </w:p>
        </w:tc>
        <w:tc>
          <w:tcPr>
            <w:tcW w:w="4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Balance—December 31, 2005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25,622</w:t>
            </w:r>
          </w:p>
        </w:tc>
        <w:tc>
          <w:tcPr>
            <w:tcW w:w="4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256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77,884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95,545</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1"/>
              </w:rPr>
              <w:t>(2,286)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171,399</w:t>
            </w:r>
          </w:p>
        </w:tc>
        <w:tc>
          <w:tcPr>
            <w:tcW w:w="2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including income tax benefits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Issuance of stock under Employee Stock Purchase Plan</w:t>
            </w: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2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center"/>
              <w:ind w:left="96"/>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20" w:type="dxa"/>
            <w:vAlign w:val="bottom"/>
          </w:tcPr>
          <w:p>
            <w:pPr>
              <w:spacing w:after="0"/>
              <w:rPr>
                <w:sz w:val="18"/>
                <w:szCs w:val="18"/>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Balance—June 30, 2006</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25,685</w:t>
            </w:r>
          </w:p>
        </w:tc>
        <w:tc>
          <w:tcPr>
            <w:tcW w:w="4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ind w:left="100"/>
              <w:spacing w:after="0"/>
              <w:rPr>
                <w:sz w:val="20"/>
                <w:szCs w:val="20"/>
                <w:color w:val="auto"/>
              </w:rPr>
            </w:pPr>
            <w:r>
              <w:rPr>
                <w:rFonts w:ascii="Arial" w:cs="Arial" w:eastAsia="Arial" w:hAnsi="Arial"/>
                <w:sz w:val="18"/>
                <w:szCs w:val="18"/>
                <w:color w:val="auto"/>
                <w:w w:val="86"/>
              </w:rPr>
              <w:t>257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78,449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100,362</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(362)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(2,286)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176,782</w:t>
            </w:r>
          </w:p>
        </w:tc>
      </w:tr>
      <w:tr>
        <w:trPr>
          <w:trHeight w:val="20"/>
        </w:trPr>
        <w:tc>
          <w:tcPr>
            <w:tcW w:w="5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201"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3" w:lineRule="exact"/>
              <w:rPr>
                <w:sz w:val="20"/>
                <w:szCs w:val="20"/>
                <w:color w:val="auto"/>
              </w:rPr>
            </w:pPr>
            <w:r>
              <w:rPr>
                <w:rFonts w:ascii="Arial" w:cs="Arial" w:eastAsia="Arial" w:hAnsi="Arial"/>
                <w:sz w:val="14"/>
                <w:szCs w:val="14"/>
                <w:b w:val="1"/>
                <w:bCs w:val="1"/>
                <w:color w:val="auto"/>
              </w:rPr>
              <w:t>2006</w:t>
            </w: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3"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4,817</w:t>
            </w:r>
          </w:p>
        </w:tc>
        <w:tc>
          <w:tcPr>
            <w:tcW w:w="7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2,512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3,456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1,267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disposal of fixed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Stock compensation expense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202</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(1,142)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7,721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799</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(17,723)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 benefits from exercise of stock options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4,185</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5,421</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9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(4,647)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Proceeds from sale of property and equipment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acquisition earn-out obligation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ind w:left="420"/>
              <w:spacing w:after="0"/>
              <w:rPr>
                <w:sz w:val="20"/>
                <w:szCs w:val="20"/>
                <w:color w:val="auto"/>
              </w:rPr>
            </w:pPr>
            <w:r>
              <w:rPr>
                <w:rFonts w:ascii="Arial" w:cs="Arial" w:eastAsia="Arial" w:hAnsi="Arial"/>
                <w:sz w:val="18"/>
                <w:szCs w:val="18"/>
                <w:color w:val="auto"/>
              </w:rPr>
              <w:t>Net cash used for investing activities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(4,627)</w:t>
            </w: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Proceeds from short-term borrowings</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5"/>
              </w:rPr>
              <w:t>244,402</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125,205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short-term borrowings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w w:val="88"/>
              </w:rPr>
              <w:t>(246,377)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(130,015)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Repayment of capital lease obligations</w:t>
            </w:r>
          </w:p>
        </w:tc>
        <w:tc>
          <w:tcPr>
            <w:tcW w:w="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(406)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Issuance of stock under Employee Stock Purchase Plan</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for financing activities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(2,034)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(Decrease) increase in cash and cash equivalents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(1,240)</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9,770</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8,530</w:t>
            </w:r>
          </w:p>
        </w:tc>
        <w:tc>
          <w:tcPr>
            <w:tcW w:w="7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PC CONNECTION, INC.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I—FINANCIAL INFORMATION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of PC Connection, Inc. and its subsidiaries (“PC Connection,” “we,” “us,” or “our”) have been prepared in accordance with accounting principles generally accepted in the United States of America. Such principles were applied on a basis consistent with those of the financial statements contained in our Annual Report on Form 10-K for the year ended December 31, 2005 filed with the Securities and Exchange Commission. The accompanying condensed consolidated financial statements should be read in conjunction with the financial statements contained in our Annual Report on Form 10-K. In the opinion of management, the accompanying unaudited condensed consolidated financial statements contain all adjustments (consisting only of normal recurring adjustments) necessary for a fair presentation of the results of operations for the interim periods reported and of the Company’s financial condition as of the date of the interim balance sheet. The operating results for the three and six months ended June 30, 2006 may not be indicative of the results expected for any succeeding quarter or the entire year ending December 31, 2006.</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Revenue on product sales is recognized at the point in time when persuasive evidence of an arrangement exists, the price is fixed and final, delivery has occurred, and there is a reasonable assurance of collection of the sales proceeds. We generally obtain oral or written purchase authorizations from our customers for a specified amount of product at a specified price. Because we either (i) have a general practice of covering customer losses while products are in-transit despite title transferring at the point of shipment or (ii) have FOB–destination specifically set out in our arrangements with federal agencies and certain commercial customers, delivery is deemed to have occurred at the point in time when the product is received by the customer.</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provide our customers with a limited thirty-day right of return generally limited to defective merchandise. Revenue is recognized at delivery and a reserve for sales returns is recorded. We have demonstrated the ability to make reasonable and reliable estimates of product returns in accordance with Statement of Financial Accounting Standards (“SFAS”) No. 48, “Revenue Recognition When Right of Return Exists,” based on significant historical experience.</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All amounts billed to a customer in a sale transaction related to shipping and handling, if any, represent revenues earned for the goods provided, and these amounts have been classified as “net sales.” Costs related to such shipping and handling billings are classified as “cost of sales.”</w:t>
      </w:r>
    </w:p>
    <w:p>
      <w:pPr>
        <w:spacing w:after="0" w:line="85"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Revenue for third party service contracts is recorded on a net sales recognition basis because we do not assume the risks and rewards of ownership in these transactions. For such contracts, we evaluate whether the sales of such services should be recorded as gross sales or net sales as required under the guidelines described in Staff Accounting Bulletin No. 104, “Revenue Recognition” and Emerging Issues Task Force (“EITF”) Issue No. 99-19, “Reporting Revenue Gross as a Principal versus Net as an Agent.” Under gross sales recognition, we are the primary obligor, and the entire selling price is recorded in sales with our cost to the third party service provider recorded as a cost of sales. Under net sales recognition, we are not the primary obligor, and the cost to the third party service provider is recorded as a reduction to sales, with no cost of goods sold, thus leaving the entire gross profit as the reported net sale for the transaction.</w:t>
      </w:r>
    </w:p>
    <w:p>
      <w:pPr>
        <w:spacing w:after="0" w:line="10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Similarly, we recognize revenue from agency sales transactions on a net sales basis. In agency sales transactions, we facilitate product sales by manufacturers directly to our customers and receive agency fees for such transactions. We do not take title to the products in these transactions; title is passed directly from the supplier to our customer.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Certain Other Costs</w:t>
      </w:r>
    </w:p>
    <w:p>
      <w:pPr>
        <w:spacing w:after="0" w:line="9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Cost of sales includes the invoice cost of the product, packaging, inbound and outbound freight, and provisions for inventory obsolescence, adjusted for discounts, rebates, and other vendor consideration adjustments, including those pursuant to EITF Issue No. 02-16, “Accounting by a Customer (Including a Reseller) for Certain Consideration Received from a Vendor” (“EITF 02-16”). Direct operating expenses relating to our purchasing function and receiving, inspection, internal transfer, warehousing, packing and shipping, and other expenses of our distribution center are included in selling, general and administrative expenses. Total direct operating expenses relating to these functions included in selling, general and administrative expenses for the periods reported are shown below:</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8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86"/>
              </w:rPr>
              <w:t>Three Months Ended</w:t>
            </w:r>
          </w:p>
        </w:tc>
        <w:tc>
          <w:tcPr>
            <w:tcW w:w="640" w:type="dxa"/>
            <w:vAlign w:val="bottom"/>
          </w:tcPr>
          <w:p>
            <w:pPr>
              <w:spacing w:after="0"/>
              <w:rPr>
                <w:sz w:val="14"/>
                <w:szCs w:val="14"/>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5"/>
              </w:rPr>
              <w:t>Six Months Ended</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June 30, 2006</w:t>
            </w: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2,708</w:t>
            </w:r>
          </w:p>
        </w:tc>
        <w:tc>
          <w:tcPr>
            <w:tcW w:w="10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40" w:type="dxa"/>
            <w:vAlign w:val="bottom"/>
          </w:tcPr>
          <w:p>
            <w:pPr>
              <w:spacing w:after="0"/>
              <w:rPr>
                <w:sz w:val="20"/>
                <w:szCs w:val="20"/>
                <w:color w:val="auto"/>
              </w:rPr>
            </w:pPr>
            <w:r>
              <w:rPr>
                <w:rFonts w:ascii="Arial" w:cs="Arial" w:eastAsia="Arial" w:hAnsi="Arial"/>
                <w:sz w:val="18"/>
                <w:szCs w:val="18"/>
                <w:color w:val="auto"/>
              </w:rPr>
              <w:t>June 30, 2005</w:t>
            </w:r>
          </w:p>
        </w:tc>
        <w:tc>
          <w:tcPr>
            <w:tcW w:w="460" w:type="dxa"/>
            <w:vAlign w:val="bottom"/>
          </w:tcPr>
          <w:p>
            <w:pPr>
              <w:spacing w:after="0"/>
              <w:rPr>
                <w:sz w:val="19"/>
                <w:szCs w:val="19"/>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2,255</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 and Reimbursements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Costs of producing and distributing catalogs are deferred and charged to expense over the period that each catalog remains the most current selling vehicle (generally one to two months) which approximates the period of probable benefits. Other advertising costs are expensed as incurred. Vendors have the ability to place advertisements in the catalogs for which we receive advertising allowances. These vendor allowances, to the extent that they represent specific reimbursements of such specific, incremental, and identifiable costs, are offset against selling, general and administrative expense. Advertising reimbursements that cannot be associated with a specific program funded by an individual vendor or that exceed the fair value of advertising expense associated with that program are classified as offsets to cost of sales or inventory in accordance with EITF Issue No. 02-16.</w:t>
      </w:r>
    </w:p>
    <w:p>
      <w:pPr>
        <w:spacing w:after="0" w:line="120"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Advertising costs charged to expense were $5,549 and $6,199 for the three months ended June 30, 2006 and 2005, respectively. Gross advertising reimbursements received from vendors were $8,425 and $7,362 for the three months ended June 30, 2006 and 2005, respectively. We classified $6,503 and $4,165 of these reimbursements as offsets to cost of sales or inventory for the three months ended June 30, 2006 and 2005, respectively.</w:t>
      </w:r>
    </w:p>
    <w:p>
      <w:pPr>
        <w:spacing w:after="0" w:line="107"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Advertising costs charged to expense were $9,608 and $11,896 for the six months ended June 30, 2006 and 2005, respectively. Gross advertising reimbursements received from vendors were $15,645 and $13,981 for the six months ended June 30, 2006 and 2005, respectively. We classified $11,833 and $7,314 of these reimbursements as offsets to cost of sales or inventory for the six months ended June 30, 2006 and 2005,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designated January 1 of each year as the date we perform our annual impairment tests relative to goodwill. We completed the impairment review on January 1, 2006 and determined that our goodwill and trademarks were not impaired.</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5"/>
              </w:rPr>
              <w:t>June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5"/>
        </w:trPr>
        <w:tc>
          <w:tcPr>
            <w:tcW w:w="434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58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53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$56,867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40" w:type="dxa"/>
            <w:vAlign w:val="bottom"/>
          </w:tcPr>
          <w:p>
            <w:pPr>
              <w:ind w:left="440"/>
              <w:spacing w:after="0"/>
              <w:rPr>
                <w:sz w:val="20"/>
                <w:szCs w:val="20"/>
                <w:color w:val="auto"/>
              </w:rPr>
            </w:pPr>
            <w:r>
              <w:rPr>
                <w:rFonts w:ascii="Arial" w:cs="Arial" w:eastAsia="Arial" w:hAnsi="Arial"/>
                <w:sz w:val="18"/>
                <w:szCs w:val="18"/>
                <w:color w:val="auto"/>
              </w:rPr>
              <w:t>Trademarks</w:t>
            </w:r>
          </w:p>
        </w:tc>
        <w:tc>
          <w:tcPr>
            <w:tcW w:w="5360" w:type="dxa"/>
            <w:vAlign w:val="bottom"/>
            <w:gridSpan w:val="3"/>
          </w:tcPr>
          <w:p>
            <w:pPr>
              <w:jc w:val="right"/>
              <w:ind w:right="620"/>
              <w:spacing w:after="0"/>
              <w:rPr>
                <w:sz w:val="20"/>
                <w:szCs w:val="20"/>
                <w:color w:val="auto"/>
              </w:rPr>
            </w:pPr>
            <w:r>
              <w:rPr>
                <w:rFonts w:ascii="Arial" w:cs="Arial" w:eastAsia="Arial" w:hAnsi="Arial"/>
                <w:sz w:val="18"/>
                <w:szCs w:val="18"/>
                <w:color w:val="auto"/>
              </w:rPr>
              <w:t>1,190</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4340" w:type="dxa"/>
            <w:vAlign w:val="bottom"/>
          </w:tcPr>
          <w:p>
            <w:pPr>
              <w:spacing w:after="0"/>
              <w:rPr>
                <w:sz w:val="20"/>
                <w:szCs w:val="20"/>
                <w:color w:val="auto"/>
              </w:rPr>
            </w:pPr>
            <w:r>
              <w:rPr>
                <w:rFonts w:ascii="Arial" w:cs="Arial" w:eastAsia="Arial" w:hAnsi="Arial"/>
                <w:sz w:val="18"/>
                <w:szCs w:val="18"/>
                <w:color w:val="auto"/>
              </w:rPr>
              <w:t>A rollforward of goodwill is as follows:</w:t>
            </w:r>
          </w:p>
        </w:tc>
        <w:tc>
          <w:tcPr>
            <w:tcW w:w="4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3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December 31, 2005</w:t>
            </w:r>
          </w:p>
        </w:tc>
        <w:tc>
          <w:tcPr>
            <w:tcW w:w="53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$56,820</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440"/>
              <w:spacing w:after="0"/>
              <w:rPr>
                <w:sz w:val="20"/>
                <w:szCs w:val="20"/>
                <w:color w:val="auto"/>
              </w:rPr>
            </w:pPr>
            <w:r>
              <w:rPr>
                <w:rFonts w:ascii="Arial" w:cs="Arial" w:eastAsia="Arial" w:hAnsi="Arial"/>
                <w:sz w:val="18"/>
                <w:szCs w:val="18"/>
                <w:color w:val="auto"/>
              </w:rPr>
              <w:t>Adjustment to property and equipment, net</w:t>
            </w:r>
          </w:p>
        </w:tc>
        <w:tc>
          <w:tcPr>
            <w:tcW w:w="416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June 30, 2006</w:t>
            </w:r>
          </w:p>
        </w:tc>
        <w:tc>
          <w:tcPr>
            <w:tcW w:w="4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56,867</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160" w:type="dxa"/>
            <w:vAlign w:val="bottom"/>
            <w:vMerge w:val="restart"/>
          </w:tcPr>
          <w:p>
            <w:pPr>
              <w:jc w:val="right"/>
              <w:ind w:right="3112"/>
              <w:spacing w:after="0"/>
              <w:rPr>
                <w:sz w:val="20"/>
                <w:szCs w:val="20"/>
                <w:color w:val="auto"/>
              </w:rPr>
            </w:pPr>
            <w:r>
              <w:rPr>
                <w:rFonts w:ascii="Arial" w:cs="Arial" w:eastAsia="Arial" w:hAnsi="Arial"/>
                <w:sz w:val="18"/>
                <w:szCs w:val="18"/>
                <w:color w:val="auto"/>
              </w:rPr>
              <w:t>7</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4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Intangible assets subject to amortization at June 30, 2006 consisted of customer lists of $3,322 and a licensing agreement of $386 (net of accumulated amortization of $1,898 and $89, respectively). Intangible assets subject to amortization at December 31, 2005 consisted of customer lists of $3,815 and a licensing agreement of $422 (net of accumulated amortization of $1,405 and $53, respectively). For the three-month periods ended June 30, 2006 and 2005, we recorded amortization expense of $268 and $88, respectively. For the six-month periods ended June 30, 2006 and 2005, we recorded amortization expense of $529 and $176,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amortization expense for each of the five succeeding years and thereafter is as follows: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-125730</wp:posOffset>
            </wp:positionV>
            <wp:extent cx="666369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460" w:type="dxa"/>
            <w:vAlign w:val="bottom"/>
          </w:tcPr>
          <w:p>
            <w:pPr>
              <w:spacing w:after="0"/>
              <w:rPr>
                <w:sz w:val="19"/>
                <w:szCs w:val="19"/>
                <w:color w:val="auto"/>
              </w:rPr>
            </w:pPr>
          </w:p>
        </w:tc>
        <w:tc>
          <w:tcPr>
            <w:tcW w:w="8940" w:type="dxa"/>
            <w:vAlign w:val="bottom"/>
            <w:tcBorders>
              <w:top w:val="single" w:sz="8" w:color="auto"/>
            </w:tcBorders>
            <w:gridSpan w:val="2"/>
          </w:tcPr>
          <w:p>
            <w:pPr>
              <w:ind w:left="440"/>
              <w:spacing w:after="0"/>
              <w:rPr>
                <w:sz w:val="20"/>
                <w:szCs w:val="20"/>
                <w:color w:val="auto"/>
              </w:rPr>
            </w:pPr>
            <w:r>
              <w:rPr>
                <w:rFonts w:ascii="Arial" w:cs="Arial" w:eastAsia="Arial" w:hAnsi="Arial"/>
                <w:sz w:val="18"/>
                <w:szCs w:val="18"/>
                <w:color w:val="auto"/>
              </w:rPr>
              <w:t>2006</w:t>
            </w:r>
          </w:p>
        </w:tc>
        <w:tc>
          <w:tcPr>
            <w:tcW w:w="1560" w:type="dxa"/>
            <w:vAlign w:val="bottom"/>
          </w:tcPr>
          <w:p>
            <w:pPr>
              <w:jc w:val="right"/>
              <w:spacing w:after="0"/>
              <w:rPr>
                <w:sz w:val="20"/>
                <w:szCs w:val="20"/>
                <w:color w:val="auto"/>
              </w:rPr>
            </w:pPr>
            <w:r>
              <w:rPr>
                <w:rFonts w:ascii="Arial" w:cs="Arial" w:eastAsia="Arial" w:hAnsi="Arial"/>
                <w:sz w:val="18"/>
                <w:szCs w:val="18"/>
                <w:color w:val="auto"/>
              </w:rPr>
              <w:t>$  536(A)</w:t>
            </w:r>
          </w:p>
        </w:tc>
      </w:tr>
      <w:tr>
        <w:trPr>
          <w:trHeight w:val="216"/>
        </w:trPr>
        <w:tc>
          <w:tcPr>
            <w:tcW w:w="460" w:type="dxa"/>
            <w:vAlign w:val="bottom"/>
          </w:tcPr>
          <w:p>
            <w:pPr>
              <w:spacing w:after="0"/>
              <w:rPr>
                <w:sz w:val="18"/>
                <w:szCs w:val="18"/>
                <w:color w:val="auto"/>
              </w:rPr>
            </w:pPr>
          </w:p>
        </w:tc>
        <w:tc>
          <w:tcPr>
            <w:tcW w:w="8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2007</w:t>
            </w:r>
          </w:p>
        </w:tc>
        <w:tc>
          <w:tcPr>
            <w:tcW w:w="15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1,071</w:t>
            </w:r>
          </w:p>
        </w:tc>
      </w:tr>
      <w:tr>
        <w:trPr>
          <w:trHeight w:val="216"/>
        </w:trPr>
        <w:tc>
          <w:tcPr>
            <w:tcW w:w="460" w:type="dxa"/>
            <w:vAlign w:val="bottom"/>
          </w:tcPr>
          <w:p>
            <w:pPr>
              <w:spacing w:after="0"/>
              <w:rPr>
                <w:sz w:val="18"/>
                <w:szCs w:val="18"/>
                <w:color w:val="auto"/>
              </w:rPr>
            </w:pPr>
          </w:p>
        </w:tc>
        <w:tc>
          <w:tcPr>
            <w:tcW w:w="8940" w:type="dxa"/>
            <w:vAlign w:val="bottom"/>
            <w:gridSpan w:val="2"/>
          </w:tcPr>
          <w:p>
            <w:pPr>
              <w:ind w:left="440"/>
              <w:spacing w:after="0"/>
              <w:rPr>
                <w:sz w:val="20"/>
                <w:szCs w:val="20"/>
                <w:color w:val="auto"/>
              </w:rPr>
            </w:pPr>
            <w:r>
              <w:rPr>
                <w:rFonts w:ascii="Arial" w:cs="Arial" w:eastAsia="Arial" w:hAnsi="Arial"/>
                <w:sz w:val="18"/>
                <w:szCs w:val="18"/>
                <w:color w:val="auto"/>
              </w:rPr>
              <w:t>2008</w:t>
            </w:r>
          </w:p>
        </w:tc>
        <w:tc>
          <w:tcPr>
            <w:tcW w:w="1560" w:type="dxa"/>
            <w:vAlign w:val="bottom"/>
          </w:tcPr>
          <w:p>
            <w:pPr>
              <w:jc w:val="right"/>
              <w:ind w:right="172"/>
              <w:spacing w:after="0"/>
              <w:rPr>
                <w:sz w:val="20"/>
                <w:szCs w:val="20"/>
                <w:color w:val="auto"/>
              </w:rPr>
            </w:pPr>
            <w:r>
              <w:rPr>
                <w:rFonts w:ascii="Arial" w:cs="Arial" w:eastAsia="Arial" w:hAnsi="Arial"/>
                <w:sz w:val="18"/>
                <w:szCs w:val="18"/>
                <w:color w:val="auto"/>
              </w:rPr>
              <w:t>1,071</w:t>
            </w:r>
          </w:p>
        </w:tc>
      </w:tr>
      <w:tr>
        <w:trPr>
          <w:trHeight w:val="216"/>
        </w:trPr>
        <w:tc>
          <w:tcPr>
            <w:tcW w:w="460" w:type="dxa"/>
            <w:vAlign w:val="bottom"/>
          </w:tcPr>
          <w:p>
            <w:pPr>
              <w:spacing w:after="0"/>
              <w:rPr>
                <w:sz w:val="18"/>
                <w:szCs w:val="18"/>
                <w:color w:val="auto"/>
              </w:rPr>
            </w:pPr>
          </w:p>
        </w:tc>
        <w:tc>
          <w:tcPr>
            <w:tcW w:w="8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2009</w:t>
            </w:r>
          </w:p>
        </w:tc>
        <w:tc>
          <w:tcPr>
            <w:tcW w:w="15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942</w:t>
            </w:r>
          </w:p>
        </w:tc>
      </w:tr>
      <w:tr>
        <w:trPr>
          <w:trHeight w:val="216"/>
        </w:trPr>
        <w:tc>
          <w:tcPr>
            <w:tcW w:w="460" w:type="dxa"/>
            <w:vAlign w:val="bottom"/>
          </w:tcPr>
          <w:p>
            <w:pPr>
              <w:spacing w:after="0"/>
              <w:rPr>
                <w:sz w:val="18"/>
                <w:szCs w:val="18"/>
                <w:color w:val="auto"/>
              </w:rPr>
            </w:pPr>
          </w:p>
        </w:tc>
        <w:tc>
          <w:tcPr>
            <w:tcW w:w="8940" w:type="dxa"/>
            <w:vAlign w:val="bottom"/>
            <w:gridSpan w:val="2"/>
          </w:tcPr>
          <w:p>
            <w:pPr>
              <w:ind w:left="440"/>
              <w:spacing w:after="0"/>
              <w:rPr>
                <w:sz w:val="20"/>
                <w:szCs w:val="20"/>
                <w:color w:val="auto"/>
              </w:rPr>
            </w:pPr>
            <w:r>
              <w:rPr>
                <w:rFonts w:ascii="Arial" w:cs="Arial" w:eastAsia="Arial" w:hAnsi="Arial"/>
                <w:sz w:val="18"/>
                <w:szCs w:val="18"/>
                <w:color w:val="auto"/>
              </w:rPr>
              <w:t>2010</w:t>
            </w:r>
          </w:p>
        </w:tc>
        <w:tc>
          <w:tcPr>
            <w:tcW w:w="1560" w:type="dxa"/>
            <w:vAlign w:val="bottom"/>
          </w:tcPr>
          <w:p>
            <w:pPr>
              <w:jc w:val="right"/>
              <w:ind w:right="172"/>
              <w:spacing w:after="0"/>
              <w:rPr>
                <w:sz w:val="20"/>
                <w:szCs w:val="20"/>
                <w:color w:val="auto"/>
              </w:rPr>
            </w:pPr>
            <w:r>
              <w:rPr>
                <w:rFonts w:ascii="Arial" w:cs="Arial" w:eastAsia="Arial" w:hAnsi="Arial"/>
                <w:sz w:val="18"/>
                <w:szCs w:val="18"/>
                <w:color w:val="auto"/>
              </w:rPr>
              <w:t>88</w:t>
            </w:r>
          </w:p>
        </w:tc>
      </w:tr>
      <w:tr>
        <w:trPr>
          <w:trHeight w:val="216"/>
        </w:trPr>
        <w:tc>
          <w:tcPr>
            <w:tcW w:w="460" w:type="dxa"/>
            <w:vAlign w:val="bottom"/>
          </w:tcPr>
          <w:p>
            <w:pPr>
              <w:spacing w:after="0"/>
              <w:rPr>
                <w:sz w:val="18"/>
                <w:szCs w:val="18"/>
                <w:color w:val="auto"/>
              </w:rPr>
            </w:pPr>
          </w:p>
        </w:tc>
        <w:tc>
          <w:tcPr>
            <w:tcW w:w="8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2011 and thereafter</w:t>
            </w:r>
          </w:p>
        </w:tc>
        <w:tc>
          <w:tcPr>
            <w:tcW w:w="15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108"/>
        </w:trPr>
        <w:tc>
          <w:tcPr>
            <w:tcW w:w="4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220" w:type="dxa"/>
            <w:vAlign w:val="bottom"/>
          </w:tcPr>
          <w:p>
            <w:pPr>
              <w:spacing w:after="0"/>
              <w:rPr>
                <w:sz w:val="9"/>
                <w:szCs w:val="9"/>
                <w:color w:val="auto"/>
              </w:rPr>
            </w:pPr>
          </w:p>
        </w:tc>
        <w:tc>
          <w:tcPr>
            <w:tcW w:w="1560" w:type="dxa"/>
            <w:vAlign w:val="bottom"/>
          </w:tcPr>
          <w:p>
            <w:pPr>
              <w:spacing w:after="0"/>
              <w:rPr>
                <w:sz w:val="9"/>
                <w:szCs w:val="9"/>
                <w:color w:val="auto"/>
              </w:rPr>
            </w:pPr>
          </w:p>
        </w:tc>
      </w:tr>
    </w:tbl>
    <w:p>
      <w:pPr>
        <w:spacing w:after="0" w:line="10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Represents estimated amortization expense for the six months ending December 31, 2006.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These estimates and assumptions affect the amounts reported in the accompanying condensed consolidated financial statements.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Effective January 1, 2006, we adopted SFAS 123(R), “Share-Based Payment,” (“SFAS 123(R)”) using the modified prospective transition method. This Statement replaced SFAS No. 123, “Accounting for Stock-Based Compensation,” (“SFAS 123”) and superseded Accounting Principles Board Opinion No. 25, “Accounting for Stock Issued to Employees,” (“APB 25”). SFAS 123(R) requires a company to measure the grant date fair value of equity awards given to employees in exchange for services and recognize that cost over the period that such services are performed. In addition, SFAS 123(R) requires that the excess tax benefits related to stock compensation be reported as a cash inflow from financing activities rather than as a reduction of taxes paid in cash from operations.</w:t>
      </w:r>
    </w:p>
    <w:p>
      <w:pPr>
        <w:spacing w:after="0" w:line="1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did not grant any options in the six months ended June 30, 2006. As required by SFAS 123(R), we recorded compensation cost in the three and six months ended June 30, 2006 for the unvested portion of outstanding stock options granted prior to January 1, 2006. The total expense recognized in the financial statements in the three-month period ended June 30, 2006 was $62 pre-tax, $47 after-tax, or less than $0.01 per basic and diluted share. The total expense recognized in the financial statements in the six-month period ended June 30, 2006 was $202 pre-tax, $172 after-tax, or less than $0.01 per basic and diluted share. See Note 5 for additional information on our stock-based compensation plans and related compensation expense.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our adoption of SFAS 123(R), we used the intrinsic value method prescribed in APB 25 and also followed the disclosure requirements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SFAS 123, as amended by SFAS No. 148, “Accounting for Stock-Based Compensation—Transition and Disclosure,” (“SFAS 148”) which required certain pro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forma disclosures as if the fair value method had been followed for accounting for such compensation. The following table presents the pro forma effect on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income as if we had applied the fair value method to measure compensation cost prior to our adoption of SFAS 123(R):</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400" w:type="dxa"/>
            <w:vAlign w:val="bottom"/>
          </w:tcPr>
          <w:p>
            <w:pPr>
              <w:spacing w:after="0"/>
              <w:rPr>
                <w:sz w:val="14"/>
                <w:szCs w:val="14"/>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61"/>
        </w:trPr>
        <w:tc>
          <w:tcPr>
            <w:tcW w:w="7400" w:type="dxa"/>
            <w:vAlign w:val="bottom"/>
            <w:gridSpan w:val="2"/>
          </w:tcPr>
          <w:p>
            <w:pPr>
              <w:spacing w:after="0"/>
              <w:rPr>
                <w:sz w:val="20"/>
                <w:szCs w:val="20"/>
                <w:color w:val="auto"/>
              </w:rPr>
            </w:pPr>
            <w:r>
              <w:rPr>
                <w:rFonts w:ascii="Arial" w:cs="Arial" w:eastAsia="Arial" w:hAnsi="Arial"/>
                <w:sz w:val="14"/>
                <w:szCs w:val="14"/>
                <w:b w:val="1"/>
                <w:bCs w:val="1"/>
                <w:color w:val="auto"/>
              </w:rPr>
              <w:t>June 30, 2005</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8"/>
              </w:rPr>
              <w:t>Ended</w:t>
            </w:r>
          </w:p>
        </w:tc>
        <w:tc>
          <w:tcPr>
            <w:tcW w:w="400" w:type="dxa"/>
            <w:vAlign w:val="bottom"/>
          </w:tcPr>
          <w:p>
            <w:pPr>
              <w:spacing w:after="0"/>
              <w:rPr>
                <w:sz w:val="14"/>
                <w:szCs w:val="14"/>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1,564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Compensation expense, net of taxes, pro forma</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155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income, pro forma</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1,409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Basic net income per share, as reported</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.06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 pro forma</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Diluted net income per share, as reported</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.06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 pro forma</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measured the fair value of options on their grant date using the Black-Scholes-Merton option-pricing model. We did not grant any options in the six months ended June 30, 2006. The key weighted-average assumptions we used to apply this pricing model during the three and six months ended June 30, 2005 were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87"/>
              </w:rPr>
              <w:t>Three Months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Six Months</w:t>
            </w:r>
          </w:p>
        </w:tc>
        <w:tc>
          <w:tcPr>
            <w:tcW w:w="0" w:type="dxa"/>
            <w:vAlign w:val="bottom"/>
          </w:tcPr>
          <w:p>
            <w:pPr>
              <w:spacing w:after="0"/>
              <w:rPr>
                <w:sz w:val="1"/>
                <w:szCs w:val="1"/>
                <w:color w:val="auto"/>
              </w:rPr>
            </w:pPr>
          </w:p>
        </w:tc>
      </w:tr>
      <w:tr>
        <w:trPr>
          <w:trHeight w:val="161"/>
        </w:trPr>
        <w:tc>
          <w:tcPr>
            <w:tcW w:w="7080" w:type="dxa"/>
            <w:vAlign w:val="bottom"/>
            <w:gridSpan w:val="2"/>
          </w:tcPr>
          <w:p>
            <w:pPr>
              <w:spacing w:after="0"/>
              <w:rPr>
                <w:sz w:val="20"/>
                <w:szCs w:val="20"/>
                <w:color w:val="auto"/>
              </w:rPr>
            </w:pPr>
            <w:r>
              <w:rPr>
                <w:rFonts w:ascii="Arial" w:cs="Arial" w:eastAsia="Arial" w:hAnsi="Arial"/>
                <w:sz w:val="14"/>
                <w:szCs w:val="14"/>
                <w:b w:val="1"/>
                <w:bCs w:val="1"/>
                <w:color w:val="auto"/>
              </w:rPr>
              <w:t>June 30, 2005</w:t>
            </w:r>
          </w:p>
        </w:tc>
        <w:tc>
          <w:tcPr>
            <w:tcW w:w="860" w:type="dxa"/>
            <w:vAlign w:val="bottom"/>
          </w:tcPr>
          <w:p>
            <w:pPr>
              <w:spacing w:after="0"/>
              <w:rPr>
                <w:sz w:val="14"/>
                <w:szCs w:val="14"/>
                <w:color w:val="auto"/>
              </w:rPr>
            </w:pPr>
          </w:p>
        </w:tc>
        <w:tc>
          <w:tcPr>
            <w:tcW w:w="176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Ended</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rates</w:t>
            </w:r>
          </w:p>
        </w:tc>
        <w:tc>
          <w:tcPr>
            <w:tcW w:w="8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3.83%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Volatility</w:t>
            </w:r>
          </w:p>
        </w:tc>
        <w:tc>
          <w:tcPr>
            <w:tcW w:w="2620" w:type="dxa"/>
            <w:vAlign w:val="bottom"/>
            <w:gridSpan w:val="3"/>
          </w:tcPr>
          <w:p>
            <w:pPr>
              <w:jc w:val="right"/>
              <w:ind w:right="780"/>
              <w:spacing w:after="0"/>
              <w:rPr>
                <w:sz w:val="20"/>
                <w:szCs w:val="20"/>
                <w:color w:val="auto"/>
              </w:rPr>
            </w:pPr>
            <w:r>
              <w:rPr>
                <w:rFonts w:ascii="Arial" w:cs="Arial" w:eastAsia="Arial" w:hAnsi="Arial"/>
                <w:sz w:val="18"/>
                <w:szCs w:val="18"/>
                <w:color w:val="auto"/>
              </w:rPr>
              <w:t>75.37%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grants</w:t>
            </w:r>
          </w:p>
        </w:tc>
        <w:tc>
          <w:tcPr>
            <w:tcW w:w="8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 years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Dividend yield</w:t>
            </w:r>
          </w:p>
        </w:tc>
        <w:tc>
          <w:tcPr>
            <w:tcW w:w="2620" w:type="dxa"/>
            <w:vAlign w:val="bottom"/>
            <w:gridSpan w:val="3"/>
          </w:tcPr>
          <w:p>
            <w:pPr>
              <w:jc w:val="right"/>
              <w:ind w:right="780"/>
              <w:spacing w:after="0"/>
              <w:rPr>
                <w:sz w:val="20"/>
                <w:szCs w:val="20"/>
                <w:color w:val="auto"/>
              </w:rPr>
            </w:pPr>
            <w:r>
              <w:rPr>
                <w:rFonts w:ascii="Arial" w:cs="Arial" w:eastAsia="Arial" w:hAnsi="Arial"/>
                <w:sz w:val="18"/>
                <w:szCs w:val="18"/>
                <w:color w:val="auto"/>
              </w:rPr>
              <w:t>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2—Earnings Per Share</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Basic earnings per common share is computed using the weighted average number of shares outstanding. Diluted earnings per common share is computed using the weighted average number of shares outstanding adjusted for the incremental shares attributed to options outstanding to purchase common stock, if dilutive.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w:t>
            </w:r>
          </w:p>
        </w:tc>
        <w:tc>
          <w:tcPr>
            <w:tcW w:w="2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52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4560" w:type="dxa"/>
            <w:vAlign w:val="bottom"/>
            <w:gridSpan w:val="2"/>
            <w:vMerge w:val="continue"/>
          </w:tcPr>
          <w:p>
            <w:pPr>
              <w:spacing w:after="0"/>
              <w:rPr>
                <w:sz w:val="12"/>
                <w:szCs w:val="12"/>
                <w:color w:val="auto"/>
              </w:rPr>
            </w:pPr>
          </w:p>
        </w:tc>
        <w:tc>
          <w:tcPr>
            <w:tcW w:w="2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2006</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2006</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28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3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3,111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1,564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4,817</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Denominator for basic earnings per share</w:t>
            </w:r>
          </w:p>
        </w:tc>
        <w:tc>
          <w:tcPr>
            <w:tcW w:w="2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25,283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25,157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25,271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Dilutive effect of employee stock options</w:t>
            </w:r>
          </w:p>
        </w:tc>
        <w:tc>
          <w:tcPr>
            <w:tcW w:w="2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Denominator for diluted earnings per share</w:t>
            </w:r>
          </w:p>
        </w:tc>
        <w:tc>
          <w:tcPr>
            <w:tcW w:w="2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25,396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25,211</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25,372</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25,274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Basic</w:t>
            </w:r>
          </w:p>
        </w:tc>
        <w:tc>
          <w:tcPr>
            <w:tcW w:w="3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3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800" w:type="dxa"/>
            <w:vAlign w:val="bottom"/>
            <w:vMerge w:val="restart"/>
          </w:tcPr>
          <w:p>
            <w:pPr>
              <w:jc w:val="right"/>
              <w:ind w:right="1512"/>
              <w:spacing w:after="0"/>
              <w:rPr>
                <w:sz w:val="20"/>
                <w:szCs w:val="20"/>
                <w:color w:val="auto"/>
              </w:rPr>
            </w:pPr>
            <w:r>
              <w:rPr>
                <w:rFonts w:ascii="Arial" w:cs="Arial" w:eastAsia="Arial" w:hAnsi="Arial"/>
                <w:sz w:val="18"/>
                <w:szCs w:val="18"/>
                <w:color w:val="auto"/>
              </w:rPr>
              <w:t>9</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unexercised stock options were excluded from the computation of diluted earnings per share for the three and six months ended June 30,</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2006 and 2005 because the exercise prices of these options were generally greater than the average market price of common shares during the respective periods: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w:t>
            </w:r>
          </w:p>
        </w:tc>
        <w:tc>
          <w:tcPr>
            <w:tcW w:w="16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5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80" w:type="dxa"/>
            <w:vAlign w:val="bottom"/>
            <w:gridSpan w:val="3"/>
            <w:vMerge w:val="continue"/>
          </w:tcPr>
          <w:p>
            <w:pPr>
              <w:spacing w:after="0"/>
              <w:rPr>
                <w:sz w:val="12"/>
                <w:szCs w:val="12"/>
                <w:color w:val="auto"/>
              </w:rPr>
            </w:pPr>
          </w:p>
        </w:tc>
        <w:tc>
          <w:tcPr>
            <w:tcW w:w="560" w:type="dxa"/>
            <w:vAlign w:val="bottom"/>
          </w:tcPr>
          <w:p>
            <w:pPr>
              <w:jc w:val="right"/>
              <w:ind w:right="66"/>
              <w:spacing w:after="0" w:line="142" w:lineRule="exact"/>
              <w:rPr>
                <w:sz w:val="20"/>
                <w:szCs w:val="20"/>
                <w:color w:val="auto"/>
              </w:rPr>
            </w:pPr>
            <w:r>
              <w:rPr>
                <w:rFonts w:ascii="Arial" w:cs="Arial" w:eastAsia="Arial" w:hAnsi="Arial"/>
                <w:sz w:val="14"/>
                <w:szCs w:val="14"/>
                <w:b w:val="1"/>
                <w:bCs w:val="1"/>
                <w:color w:val="auto"/>
              </w:rPr>
              <w:t>2006</w:t>
            </w:r>
          </w:p>
        </w:tc>
        <w:tc>
          <w:tcPr>
            <w:tcW w:w="104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2005</w:t>
            </w:r>
          </w:p>
        </w:tc>
        <w:tc>
          <w:tcPr>
            <w:tcW w:w="960" w:type="dxa"/>
            <w:vAlign w:val="bottom"/>
            <w:gridSpan w:val="2"/>
          </w:tcPr>
          <w:p>
            <w:pPr>
              <w:ind w:left="560"/>
              <w:spacing w:after="0" w:line="142" w:lineRule="exact"/>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2"/>
                <w:szCs w:val="12"/>
                <w:color w:val="auto"/>
              </w:rPr>
            </w:pPr>
          </w:p>
        </w:tc>
        <w:tc>
          <w:tcPr>
            <w:tcW w:w="54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Anti-dilutive stock options</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3,797</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4,038</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1,845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3—Recently Issued Accounting Standard</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June 2006, the Financial Accounting Standards Board (“FASB”) issued FASB Interpretation No. 48, “Accounting for Uncertainty in Income Taxes—an Interpretation of FASB Statement 109” (“FIN 48”), to clarify the accounting for uncertainty in tax positions. This interpretation prescribes a minimum recognition threshold a tax position is required to meet before being recognized in the financial statements. FIN 48 also provides guidance on derecognition, measurement, classification, interest and penalties, accounting in interim periods, disclosure and transition. FIN 48 is effective for fiscal years beginning after December 15, 2006. The Company is currently evaluating the effect that the adoption of FIN 48 will have on its results of operations and financial position.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4—Segment and Related Disclosures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SFAS No. 131, “Disclosures About Segments of an Enterprise and Related Information,” requires that public companies report profits and losses and certain other information on their “reportable operating segments” in their annual and interim financial statements. The internal organization used by our Chief Operating Decision Maker (CODM) to assess performance and allocate resources determines the basis for our reportable operating segments. Our CODM is our Chief Executive Officer.</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Our operations are organized under three reportable operating segments—the “SMB” segment, which serves small- and medium-sized businesses, as well as consumers, the “Large Account” segment, which serves medium-to-large corporations, and the “Public Sector” segment, which serves federal, state, and local government entities and educational institutions.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Segment information applicable to our reportable operating segments for the three and six months ended June 30, 2006 and 2005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ind w:left="520"/>
              <w:spacing w:after="0"/>
              <w:rPr>
                <w:sz w:val="20"/>
                <w:szCs w:val="20"/>
                <w:color w:val="auto"/>
              </w:rPr>
            </w:pPr>
            <w:r>
              <w:rPr>
                <w:rFonts w:ascii="Arial" w:cs="Arial" w:eastAsia="Arial" w:hAnsi="Arial"/>
                <w:sz w:val="14"/>
                <w:szCs w:val="14"/>
                <w:b w:val="1"/>
                <w:bCs w:val="1"/>
                <w:color w:val="auto"/>
                <w:w w:val="87"/>
              </w:rPr>
              <w:t>Three Months Ended June 30, 2006</w:t>
            </w: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rPr>
              <w:t>SMB</w:t>
            </w:r>
          </w:p>
        </w:tc>
        <w:tc>
          <w:tcPr>
            <w:tcW w:w="2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Large Account</w:t>
            </w:r>
          </w:p>
        </w:tc>
        <w:tc>
          <w:tcPr>
            <w:tcW w:w="42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Public Sector</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Segment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7"/>
              </w:rPr>
              <w:t>Segment</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4"/>
              </w:rPr>
              <w:t>Segment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1420" w:type="dxa"/>
            <w:vAlign w:val="bottom"/>
            <w:gridSpan w:val="2"/>
            <w:shd w:val="clear" w:color="auto" w:fill="CCEEFF"/>
          </w:tcPr>
          <w:p>
            <w:pPr>
              <w:jc w:val="center"/>
              <w:ind w:left="125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215,108</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128,333</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64,653</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408,094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Transfers between segments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67,325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(67,325)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20" w:type="dxa"/>
            <w:vAlign w:val="bottom"/>
            <w:gridSpan w:val="2"/>
            <w:shd w:val="clear" w:color="auto" w:fill="CCEEFF"/>
          </w:tcPr>
          <w:p>
            <w:pPr>
              <w:jc w:val="center"/>
              <w:ind w:left="1252"/>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282,433</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128,333</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64,653</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(67,325)</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408,094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 before allocations</w:t>
            </w: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20" w:type="dxa"/>
            <w:vAlign w:val="bottom"/>
            <w:gridSpan w:val="2"/>
            <w:vMerge w:val="continue"/>
          </w:tcPr>
          <w:p>
            <w:pPr>
              <w:spacing w:after="0"/>
              <w:rPr>
                <w:sz w:val="18"/>
                <w:szCs w:val="18"/>
                <w:color w:val="auto"/>
              </w:rPr>
            </w:pPr>
          </w:p>
        </w:tc>
        <w:tc>
          <w:tcPr>
            <w:tcW w:w="1420" w:type="dxa"/>
            <w:vAlign w:val="bottom"/>
            <w:gridSpan w:val="2"/>
          </w:tcPr>
          <w:p>
            <w:pPr>
              <w:jc w:val="center"/>
              <w:ind w:left="125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14,491</w:t>
            </w:r>
          </w:p>
        </w:tc>
        <w:tc>
          <w:tcPr>
            <w:tcW w:w="28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7,007</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1,459</w:t>
            </w:r>
          </w:p>
        </w:tc>
        <w:tc>
          <w:tcPr>
            <w:tcW w:w="28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(17,198)</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Allocations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(17,198)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1420" w:type="dxa"/>
            <w:vAlign w:val="bottom"/>
            <w:gridSpan w:val="2"/>
          </w:tcPr>
          <w:p>
            <w:pPr>
              <w:jc w:val="center"/>
              <w:ind w:left="125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1,370</w:t>
            </w:r>
          </w:p>
        </w:tc>
        <w:tc>
          <w:tcPr>
            <w:tcW w:w="28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6,805</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(2,416)</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other—net</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taxes</w:t>
            </w:r>
          </w:p>
        </w:tc>
        <w:tc>
          <w:tcPr>
            <w:tcW w:w="1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20" w:type="dxa"/>
            <w:vAlign w:val="bottom"/>
            <w:gridSpan w:val="2"/>
            <w:vMerge w:val="continue"/>
          </w:tcPr>
          <w:p>
            <w:pPr>
              <w:spacing w:after="0"/>
              <w:rPr>
                <w:sz w:val="19"/>
                <w:szCs w:val="19"/>
                <w:color w:val="auto"/>
              </w:rPr>
            </w:pPr>
          </w:p>
        </w:tc>
        <w:tc>
          <w:tcPr>
            <w:tcW w:w="1420" w:type="dxa"/>
            <w:vAlign w:val="bottom"/>
            <w:gridSpan w:val="2"/>
          </w:tcPr>
          <w:p>
            <w:pPr>
              <w:jc w:val="center"/>
              <w:ind w:left="125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1,036</w:t>
            </w:r>
          </w:p>
        </w:tc>
        <w:tc>
          <w:tcPr>
            <w:tcW w:w="28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6,826</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(2,555)</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Selected Operating Expenses: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20" w:type="dxa"/>
            <w:vAlign w:val="bottom"/>
            <w:gridSpan w:val="2"/>
          </w:tcPr>
          <w:p>
            <w:pPr>
              <w:jc w:val="center"/>
              <w:ind w:left="125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1,380</w:t>
            </w:r>
          </w:p>
        </w:tc>
        <w:tc>
          <w:tcPr>
            <w:tcW w:w="28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353</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000" w:type="dxa"/>
            <w:vAlign w:val="bottom"/>
            <w:gridSpan w:val="3"/>
          </w:tcPr>
          <w:p>
            <w:pPr>
              <w:jc w:val="center"/>
              <w:ind w:left="692"/>
              <w:spacing w:after="0"/>
              <w:rPr>
                <w:sz w:val="20"/>
                <w:szCs w:val="20"/>
                <w:color w:val="auto"/>
              </w:rPr>
            </w:pPr>
            <w:r>
              <w:rPr>
                <w:rFonts w:ascii="Arial" w:cs="Arial" w:eastAsia="Arial" w:hAnsi="Arial"/>
                <w:sz w:val="18"/>
                <w:szCs w:val="18"/>
                <w:color w:val="auto"/>
                <w:w w:val="89"/>
              </w:rPr>
              <w:t>10</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4"/>
                <w:szCs w:val="14"/>
                <w:b w:val="1"/>
                <w:bCs w:val="1"/>
                <w:color w:val="auto"/>
                <w:w w:val="87"/>
              </w:rPr>
              <w:t>Three Months Ended June 30, 2005</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9"/>
              </w:rPr>
              <w:t>SMB</w:t>
            </w: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Large Account</w:t>
            </w:r>
          </w:p>
        </w:tc>
        <w:tc>
          <w:tcPr>
            <w:tcW w:w="220" w:type="dxa"/>
            <w:vAlign w:val="bottom"/>
          </w:tcPr>
          <w:p>
            <w:pPr>
              <w:spacing w:after="0"/>
              <w:rPr>
                <w:sz w:val="11"/>
                <w:szCs w:val="11"/>
                <w:color w:val="auto"/>
              </w:rPr>
            </w:pPr>
          </w:p>
        </w:tc>
        <w:tc>
          <w:tcPr>
            <w:tcW w:w="12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Public Sector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4"/>
              </w:rPr>
              <w:t>Segment</w:t>
            </w: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7"/>
              </w:rPr>
              <w:t>Segment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4"/>
              </w:rPr>
              <w:t>Segment</w:t>
            </w:r>
          </w:p>
        </w:tc>
        <w:tc>
          <w:tcPr>
            <w:tcW w:w="50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207,296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78,457</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350,710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Transfers between segments</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56,155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(56,155)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263,451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78,457</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(56,155)</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350,710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 before allocations</w:t>
            </w: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00" w:type="dxa"/>
            <w:vAlign w:val="bottom"/>
            <w:gridSpan w:val="2"/>
            <w:vMerge w:val="continue"/>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13,014</w:t>
            </w:r>
          </w:p>
        </w:tc>
        <w:tc>
          <w:tcPr>
            <w:tcW w:w="5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4,669</w:t>
            </w:r>
          </w:p>
        </w:tc>
        <w:tc>
          <w:tcPr>
            <w:tcW w:w="22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1,254</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(15,952)</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Allocations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(15,952)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00" w:type="dxa"/>
            <w:vAlign w:val="bottom"/>
            <w:gridSpan w:val="2"/>
            <w:vMerge w:val="continue"/>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1,102</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4,321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other—net</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taxes</w:t>
            </w: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00" w:type="dxa"/>
            <w:vAlign w:val="bottom"/>
            <w:gridSpan w:val="2"/>
            <w:vMerge w:val="continue"/>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890</w:t>
            </w:r>
          </w:p>
        </w:tc>
        <w:tc>
          <w:tcPr>
            <w:tcW w:w="5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4,334</w:t>
            </w:r>
          </w:p>
        </w:tc>
        <w:tc>
          <w:tcPr>
            <w:tcW w:w="22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Selected Operating Expenses: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1,652</w:t>
            </w:r>
          </w:p>
        </w:tc>
        <w:tc>
          <w:tcPr>
            <w:tcW w:w="5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182</w:t>
            </w:r>
          </w:p>
        </w:tc>
        <w:tc>
          <w:tcPr>
            <w:tcW w:w="22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5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center"/>
              <w:ind w:left="515"/>
              <w:spacing w:after="0"/>
              <w:rPr>
                <w:sz w:val="20"/>
                <w:szCs w:val="20"/>
                <w:color w:val="auto"/>
              </w:rPr>
            </w:pPr>
            <w:r>
              <w:rPr>
                <w:rFonts w:ascii="Arial" w:cs="Arial" w:eastAsia="Arial" w:hAnsi="Arial"/>
                <w:sz w:val="14"/>
                <w:szCs w:val="14"/>
                <w:b w:val="1"/>
                <w:bCs w:val="1"/>
                <w:color w:val="auto"/>
                <w:w w:val="86"/>
              </w:rPr>
              <w:t>Six Months Ended June 30, 2006</w:t>
            </w: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9"/>
              </w:rPr>
              <w:t>SMB</w:t>
            </w: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Large Account</w:t>
            </w:r>
          </w:p>
        </w:tc>
        <w:tc>
          <w:tcPr>
            <w:tcW w:w="220" w:type="dxa"/>
            <w:vAlign w:val="bottom"/>
          </w:tcPr>
          <w:p>
            <w:pPr>
              <w:spacing w:after="0"/>
              <w:rPr>
                <w:sz w:val="11"/>
                <w:szCs w:val="11"/>
                <w:color w:val="auto"/>
              </w:rPr>
            </w:pPr>
          </w:p>
        </w:tc>
        <w:tc>
          <w:tcPr>
            <w:tcW w:w="12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Public Sector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4"/>
              </w:rPr>
              <w:t>Segment</w:t>
            </w: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7"/>
              </w:rPr>
              <w:t>Segment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4"/>
              </w:rPr>
              <w:t>Segment</w:t>
            </w:r>
          </w:p>
        </w:tc>
        <w:tc>
          <w:tcPr>
            <w:tcW w:w="50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434,229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236,695</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117,648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788,572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Transfers between segments</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120,894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(120,894)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555,123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236,695</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117,648</w:t>
            </w:r>
          </w:p>
        </w:tc>
        <w:tc>
          <w:tcPr>
            <w:tcW w:w="5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(120,894)</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788,572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 before allocations</w:t>
            </w: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00" w:type="dxa"/>
            <w:vAlign w:val="bottom"/>
            <w:gridSpan w:val="2"/>
            <w:vMerge w:val="continue"/>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30,686</w:t>
            </w:r>
          </w:p>
        </w:tc>
        <w:tc>
          <w:tcPr>
            <w:tcW w:w="5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11,774</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2,596</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(35,725)</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Allocations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00" w:type="dxa"/>
            <w:vAlign w:val="bottom"/>
            <w:gridSpan w:val="2"/>
            <w:vMerge w:val="continue"/>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3,154</w:t>
            </w:r>
          </w:p>
        </w:tc>
        <w:tc>
          <w:tcPr>
            <w:tcW w:w="5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11,340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(5,163)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other—net</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taxes</w:t>
            </w: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00" w:type="dxa"/>
            <w:vAlign w:val="bottom"/>
            <w:gridSpan w:val="2"/>
            <w:vMerge w:val="continue"/>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2,314</w:t>
            </w:r>
          </w:p>
        </w:tc>
        <w:tc>
          <w:tcPr>
            <w:tcW w:w="5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11,379</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(5,447)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Selected Operating Expenses: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2,682</w:t>
            </w:r>
          </w:p>
        </w:tc>
        <w:tc>
          <w:tcPr>
            <w:tcW w:w="5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711</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i w:val="1"/>
                <w:iCs w:val="1"/>
                <w:color w:val="auto"/>
              </w:rPr>
              <w:t>Balance Sheet Data:</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235,141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146,020</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66,555</w:t>
            </w:r>
          </w:p>
        </w:tc>
        <w:tc>
          <w:tcPr>
            <w:tcW w:w="5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(119,483)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328,233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Goodwill</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1,173</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48,060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7,634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56,867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jc w:val="center"/>
              <w:ind w:left="515"/>
              <w:spacing w:after="0"/>
              <w:rPr>
                <w:sz w:val="20"/>
                <w:szCs w:val="20"/>
                <w:color w:val="auto"/>
              </w:rPr>
            </w:pPr>
            <w:r>
              <w:rPr>
                <w:rFonts w:ascii="Arial" w:cs="Arial" w:eastAsia="Arial" w:hAnsi="Arial"/>
                <w:sz w:val="14"/>
                <w:szCs w:val="14"/>
                <w:b w:val="1"/>
                <w:bCs w:val="1"/>
                <w:color w:val="auto"/>
                <w:w w:val="86"/>
              </w:rPr>
              <w:t>Six Months Ended June 30, 2005</w:t>
            </w: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9"/>
              </w:rPr>
              <w:t>SMB</w:t>
            </w: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Large Account</w:t>
            </w:r>
          </w:p>
        </w:tc>
        <w:tc>
          <w:tcPr>
            <w:tcW w:w="220" w:type="dxa"/>
            <w:vAlign w:val="bottom"/>
          </w:tcPr>
          <w:p>
            <w:pPr>
              <w:spacing w:after="0"/>
              <w:rPr>
                <w:sz w:val="11"/>
                <w:szCs w:val="11"/>
                <w:color w:val="auto"/>
              </w:rPr>
            </w:pPr>
          </w:p>
        </w:tc>
        <w:tc>
          <w:tcPr>
            <w:tcW w:w="12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Public Sector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4"/>
              </w:rPr>
              <w:t>Segment</w:t>
            </w: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7"/>
              </w:rPr>
              <w:t>Segment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4"/>
              </w:rPr>
              <w:t>Segment</w:t>
            </w:r>
          </w:p>
        </w:tc>
        <w:tc>
          <w:tcPr>
            <w:tcW w:w="50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407,621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154,823</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112,117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674,561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Transfers between segments</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102,399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(102,399)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510,020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154,823</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112,117</w:t>
            </w:r>
          </w:p>
        </w:tc>
        <w:tc>
          <w:tcPr>
            <w:tcW w:w="1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(102,399)</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674,561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 before allocations</w:t>
            </w: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00" w:type="dxa"/>
            <w:vAlign w:val="bottom"/>
            <w:gridSpan w:val="2"/>
            <w:vMerge w:val="continue"/>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25,609</w:t>
            </w:r>
          </w:p>
        </w:tc>
        <w:tc>
          <w:tcPr>
            <w:tcW w:w="5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9,029</w:t>
            </w:r>
          </w:p>
        </w:tc>
        <w:tc>
          <w:tcPr>
            <w:tcW w:w="22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1,377</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(31,112)</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Allocations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00" w:type="dxa"/>
            <w:vAlign w:val="bottom"/>
            <w:gridSpan w:val="2"/>
            <w:vMerge w:val="continue"/>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2,246</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8,334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(5,677)</w:t>
            </w:r>
          </w:p>
        </w:tc>
        <w:tc>
          <w:tcPr>
            <w:tcW w:w="1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other—net</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taxes</w:t>
            </w: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00" w:type="dxa"/>
            <w:vAlign w:val="bottom"/>
            <w:gridSpan w:val="2"/>
            <w:vMerge w:val="continue"/>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1,787</w:t>
            </w:r>
          </w:p>
        </w:tc>
        <w:tc>
          <w:tcPr>
            <w:tcW w:w="5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8,357</w:t>
            </w:r>
          </w:p>
        </w:tc>
        <w:tc>
          <w:tcPr>
            <w:tcW w:w="22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(5,773)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Selected Operating Expenses: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3,144</w:t>
            </w:r>
          </w:p>
        </w:tc>
        <w:tc>
          <w:tcPr>
            <w:tcW w:w="5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82</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Balance Sheet Data:</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 assets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189,774</w:t>
            </w:r>
          </w:p>
        </w:tc>
        <w:tc>
          <w:tcPr>
            <w:tcW w:w="5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99,704</w:t>
            </w:r>
          </w:p>
        </w:tc>
        <w:tc>
          <w:tcPr>
            <w:tcW w:w="22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51,465</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(58,757)</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282,186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980" w:type="dxa"/>
            <w:vAlign w:val="bottom"/>
            <w:gridSpan w:val="3"/>
          </w:tcPr>
          <w:p>
            <w:pPr>
              <w:jc w:val="right"/>
              <w:ind w:right="395"/>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General and administrative expenses were charged to the reportable operating segments, based on their estimated usage of the underlying functions. Interest and other expense was charged to the segments, based on the actual costs incurred by each segment, net of interest and other income generated. The amount shown above representing total assets eliminated consists of inter-segment receivables, resulting primarily from inter-segment sales transfers reported above and from inter-segment service charges.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sales by business segment, sales channel, and product mix are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300" w:type="dxa"/>
            <w:vAlign w:val="bottom"/>
          </w:tcPr>
          <w:p>
            <w:pPr>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73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9"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9"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9"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9"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Segment (excludes transfers between segments)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440"/>
              <w:spacing w:after="0"/>
              <w:rPr>
                <w:sz w:val="20"/>
                <w:szCs w:val="20"/>
                <w:color w:val="auto"/>
              </w:rPr>
            </w:pPr>
            <w:r>
              <w:rPr>
                <w:rFonts w:ascii="Arial" w:cs="Arial" w:eastAsia="Arial" w:hAnsi="Arial"/>
                <w:sz w:val="18"/>
                <w:szCs w:val="18"/>
                <w:color w:val="auto"/>
              </w:rPr>
              <w:t>SMB</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215,108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207,296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434,229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407,621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Large Account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128,333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236,695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154,823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440"/>
              <w:spacing w:after="0"/>
              <w:rPr>
                <w:sz w:val="20"/>
                <w:szCs w:val="20"/>
                <w:color w:val="auto"/>
              </w:rPr>
            </w:pPr>
            <w:r>
              <w:rPr>
                <w:rFonts w:ascii="Arial" w:cs="Arial" w:eastAsia="Arial" w:hAnsi="Arial"/>
                <w:sz w:val="18"/>
                <w:szCs w:val="18"/>
                <w:color w:val="auto"/>
              </w:rPr>
              <w:t>Public Sector</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64,653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64,957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117,648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112,117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408,094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350,710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788,572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674,561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i w:val="1"/>
                <w:iCs w:val="1"/>
                <w:color w:val="auto"/>
              </w:rPr>
              <w:t>Sales Channel</w:t>
            </w: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Outbound Telemarketing and Field Sales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268,631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246,088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515,448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473,321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440"/>
              <w:spacing w:after="0"/>
              <w:rPr>
                <w:sz w:val="20"/>
                <w:szCs w:val="20"/>
                <w:color w:val="auto"/>
              </w:rPr>
            </w:pPr>
            <w:r>
              <w:rPr>
                <w:rFonts w:ascii="Arial" w:cs="Arial" w:eastAsia="Arial" w:hAnsi="Arial"/>
                <w:sz w:val="18"/>
                <w:szCs w:val="18"/>
                <w:color w:val="auto"/>
              </w:rPr>
              <w:t>Online Internet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127,289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85,715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246,684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163,932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Inbound Telesales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ind w:left="8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00" w:type="dxa"/>
            <w:vAlign w:val="bottom"/>
            <w:vMerge w:val="continue"/>
          </w:tcPr>
          <w:p>
            <w:pPr>
              <w:spacing w:after="0"/>
              <w:rPr>
                <w:sz w:val="19"/>
                <w:szCs w:val="19"/>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408,094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350,710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788,572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674,561</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Product Mix</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440"/>
              <w:spacing w:after="0"/>
              <w:rPr>
                <w:sz w:val="20"/>
                <w:szCs w:val="20"/>
                <w:color w:val="auto"/>
              </w:rPr>
            </w:pPr>
            <w:r>
              <w:rPr>
                <w:rFonts w:ascii="Arial" w:cs="Arial" w:eastAsia="Arial" w:hAnsi="Arial"/>
                <w:sz w:val="18"/>
                <w:szCs w:val="18"/>
                <w:color w:val="auto"/>
              </w:rPr>
              <w:t>Notebooks and PDAs</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73,377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63,615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137,920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124,465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Desktop/Servers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112,388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440"/>
              <w:spacing w:after="0"/>
              <w:rPr>
                <w:sz w:val="20"/>
                <w:szCs w:val="20"/>
                <w:color w:val="auto"/>
              </w:rPr>
            </w:pPr>
            <w:r>
              <w:rPr>
                <w:rFonts w:ascii="Arial" w:cs="Arial" w:eastAsia="Arial" w:hAnsi="Arial"/>
                <w:sz w:val="18"/>
                <w:szCs w:val="18"/>
                <w:color w:val="auto"/>
              </w:rPr>
              <w:t>Storage Devices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34,170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28,739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68,088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Software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99,579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440"/>
              <w:spacing w:after="0"/>
              <w:rPr>
                <w:sz w:val="20"/>
                <w:szCs w:val="20"/>
                <w:color w:val="auto"/>
              </w:rPr>
            </w:pPr>
            <w:r>
              <w:rPr>
                <w:rFonts w:ascii="Arial" w:cs="Arial" w:eastAsia="Arial" w:hAnsi="Arial"/>
                <w:sz w:val="18"/>
                <w:szCs w:val="18"/>
                <w:color w:val="auto"/>
              </w:rPr>
              <w:t>Net/Com Products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32,946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27,830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62,799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Printers and Printer Supplies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80,718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440"/>
              <w:spacing w:after="0"/>
              <w:rPr>
                <w:sz w:val="20"/>
                <w:szCs w:val="20"/>
                <w:color w:val="auto"/>
              </w:rPr>
            </w:pPr>
            <w:r>
              <w:rPr>
                <w:rFonts w:ascii="Arial" w:cs="Arial" w:eastAsia="Arial" w:hAnsi="Arial"/>
                <w:sz w:val="18"/>
                <w:szCs w:val="18"/>
                <w:color w:val="auto"/>
              </w:rPr>
              <w:t>Video, Imaging, and Sound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51,403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43,165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98,271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80,730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Memory and System Enhancements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440"/>
              <w:spacing w:after="0"/>
              <w:rPr>
                <w:sz w:val="20"/>
                <w:szCs w:val="20"/>
                <w:color w:val="auto"/>
              </w:rPr>
            </w:pPr>
            <w:r>
              <w:rPr>
                <w:rFonts w:ascii="Arial" w:cs="Arial" w:eastAsia="Arial" w:hAnsi="Arial"/>
                <w:sz w:val="18"/>
                <w:szCs w:val="18"/>
                <w:color w:val="auto"/>
              </w:rPr>
              <w:t>Accessories/Other</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48,073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37,908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90,061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408,094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350,710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788,572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674,561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Substantially all of our net sales for the six months ended June 30, 2006 and 2005 were made to customers located in the United States. Shipments to customers located in foreign countries aggregated less than 2% in each of those respective periods. All of our assets at June 30, 2006 and December 31, 2005 were located in the United States. Our primary target customers are SMBs comprised of 20 to 1,000 employees, federal, state, and local governmental agencies, educational institutions, and medium-to-large corporate accounts. Except for the federal government, no single customer accounted for more than 2% of total net sales in the three and six months ended June 30, 2006 and 2005. Net sales to the federal government accounted for $13,053, or 3.2% of total net sales for the three months ended June 30, 2006, and $15,532, or 4.4% of total net sales for the three months ended June 30, 2005. Net sales to the federal government accounted for $25,903, or 3.3% of total net sales for the six months ended June 30, 2006, and $25,562, or 3.8% of total net sales for the six months ended June 30, 2005.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5—Share Based Compensation</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Effective January 1, 2006, we adopted SFAS 123(R), “Share-Based Payment,” using the modified prospective transition method, and therefore prior periods have not been restated. SFAS 123(R) requires a company to measure compensation cost arising from the grant of share-based payments to employees at fair value and to recognize such cost over the period during which the employee provides service in exchange for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award, usually the vesting period. Accordingly, we record compensation cost for all stock options granted or modified after December 31, 2005 and for the unvested stock options awarded prior to adoption.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Incentive and Non-Statutory Stock Option Plans</w:t>
      </w:r>
    </w:p>
    <w:p>
      <w:pPr>
        <w:spacing w:after="0" w:line="90"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In December 1993, the Board adopted and the stockholders approved the 1993 Incentive and Non-Statutory Stock Option Plan (the “1993 Plan”). Under the terms of the 1993 Plan, we were authorized, for a ten-year period, to make awards of restricted stock and to grant incentive and non-statutory options to our employees, consultants, and advisors to purchase shares of our stock. Options vested over varying periods up to four years and had contractual lives up to ten years. We did not issue any stock options under the 1993 Plan after 1998 and have outstanding grants totaling 32 shares as of June 30, 2006.</w:t>
      </w:r>
    </w:p>
    <w:p>
      <w:pPr>
        <w:spacing w:after="0" w:line="9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November 1997, the Board adopted and the stockholders approved the 1997 Stock Incentive Plan (the “1997 Plan”), which became effective on the closing of our initial public offering in 1998. The 1997 Plan provides for the grant of incentive stock options, non-statutory stock options, stock appreciation rights, performance shares, and awards of restricted stock and unrestricted stock. A total of 3,600 shares have been reserved for issuance under the 1997 Plan. Our employees, officers, directors, consultants and advisors are eligible to participate in the 1997 Plan. We have issued incentive and non-statutory stock options under the 1997 Plan, generally with a graded vesting period of four years and a contractual life of ten years. We did not issue any equity awards in the first half of 2006. In connection with the adoption of SFAS 123(R), our Compensation Committee is evaluating our equity award plan and its ability to motivate senior executives to better advance stockholders’ interests.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1993 and 1997 Plans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4"/>
                <w:szCs w:val="14"/>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Weighted</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3"/>
              </w:rPr>
              <w:t>Average</w:t>
            </w: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gridSpan w:val="4"/>
          </w:tcPr>
          <w:p>
            <w:pPr>
              <w:ind w:left="20"/>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3"/>
              </w:rPr>
              <w:t>Exercise Price</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Outstanding, January 1, 2006</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2,542</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260" w:type="dxa"/>
            <w:vAlign w:val="bottom"/>
            <w:gridSpan w:val="2"/>
          </w:tcPr>
          <w:p>
            <w:pPr>
              <w:ind w:left="440"/>
              <w:spacing w:after="0"/>
              <w:rPr>
                <w:sz w:val="20"/>
                <w:szCs w:val="20"/>
                <w:color w:val="auto"/>
              </w:rPr>
            </w:pPr>
            <w:r>
              <w:rPr>
                <w:rFonts w:ascii="Arial" w:cs="Arial" w:eastAsia="Arial" w:hAnsi="Arial"/>
                <w:sz w:val="18"/>
                <w:szCs w:val="18"/>
                <w:color w:val="auto"/>
              </w:rPr>
              <w:t>Granted</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jc w:val="right"/>
              <w:ind w:right="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(41)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260" w:type="dxa"/>
            <w:vAlign w:val="bottom"/>
            <w:gridSpan w:val="2"/>
          </w:tcPr>
          <w:p>
            <w:pPr>
              <w:ind w:left="440"/>
              <w:spacing w:after="0"/>
              <w:rPr>
                <w:sz w:val="20"/>
                <w:szCs w:val="20"/>
                <w:color w:val="auto"/>
              </w:rPr>
            </w:pPr>
            <w:r>
              <w:rPr>
                <w:rFonts w:ascii="Arial" w:cs="Arial" w:eastAsia="Arial" w:hAnsi="Arial"/>
                <w:sz w:val="18"/>
                <w:szCs w:val="18"/>
                <w:color w:val="auto"/>
                <w:w w:val="96"/>
              </w:rPr>
              <w:t>Forfeited and cancelled</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gridSpan w:val="3"/>
          </w:tcPr>
          <w:p>
            <w:pPr>
              <w:jc w:val="right"/>
              <w:ind w:right="132"/>
              <w:spacing w:after="0"/>
              <w:rPr>
                <w:sz w:val="20"/>
                <w:szCs w:val="20"/>
                <w:color w:val="auto"/>
              </w:rPr>
            </w:pPr>
            <w:r>
              <w:rPr>
                <w:rFonts w:ascii="Arial" w:cs="Arial" w:eastAsia="Arial" w:hAnsi="Arial"/>
                <w:sz w:val="18"/>
                <w:szCs w:val="18"/>
                <w:color w:val="auto"/>
              </w:rPr>
              <w:t>(71)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6.40</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June 30, 2006</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2,430</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gridSpan w:val="10"/>
            <w:vMerge w:val="restart"/>
          </w:tcPr>
          <w:p>
            <w:pPr>
              <w:ind w:left="460"/>
              <w:spacing w:after="0"/>
              <w:rPr>
                <w:sz w:val="20"/>
                <w:szCs w:val="20"/>
                <w:color w:val="auto"/>
              </w:rPr>
            </w:pPr>
            <w:r>
              <w:rPr>
                <w:rFonts w:ascii="Arial" w:cs="Arial" w:eastAsia="Arial" w:hAnsi="Arial"/>
                <w:sz w:val="18"/>
                <w:szCs w:val="18"/>
                <w:color w:val="auto"/>
                <w:w w:val="91"/>
              </w:rPr>
              <w:t>The following table summarizes the status of outstanding stock options as of June 30, 2006:</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140" w:type="dxa"/>
            <w:vAlign w:val="bottom"/>
            <w:gridSpan w:val="10"/>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Options Outstanding</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w w:val="96"/>
              </w:rPr>
              <w:t>Options Exercisable</w:t>
            </w:r>
          </w:p>
        </w:tc>
        <w:tc>
          <w:tcPr>
            <w:tcW w:w="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2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8"/>
              </w:rPr>
              <w:t>Weighted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226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Exercise Price</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right"/>
              <w:ind w:right="980"/>
              <w:spacing w:after="0" w:line="149" w:lineRule="exact"/>
              <w:rPr>
                <w:sz w:val="20"/>
                <w:szCs w:val="20"/>
                <w:color w:val="auto"/>
              </w:rPr>
            </w:pPr>
            <w:r>
              <w:rPr>
                <w:rFonts w:ascii="Arial" w:cs="Arial" w:eastAsia="Arial" w:hAnsi="Arial"/>
                <w:sz w:val="14"/>
                <w:szCs w:val="14"/>
                <w:b w:val="1"/>
                <w:bCs w:val="1"/>
                <w:color w:val="auto"/>
                <w:w w:val="85"/>
              </w:rPr>
              <w:t>Weighted</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35"/>
        </w:trPr>
        <w:tc>
          <w:tcPr>
            <w:tcW w:w="460" w:type="dxa"/>
            <w:vAlign w:val="bottom"/>
          </w:tcPr>
          <w:p>
            <w:pPr>
              <w:spacing w:after="0"/>
              <w:rPr>
                <w:sz w:val="11"/>
                <w:szCs w:val="11"/>
                <w:color w:val="auto"/>
              </w:rPr>
            </w:pPr>
          </w:p>
        </w:tc>
        <w:tc>
          <w:tcPr>
            <w:tcW w:w="2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8"/>
              </w:rPr>
              <w:t>Number of</w:t>
            </w:r>
          </w:p>
        </w:tc>
        <w:tc>
          <w:tcPr>
            <w:tcW w:w="880" w:type="dxa"/>
            <w:vAlign w:val="bottom"/>
          </w:tcPr>
          <w:p>
            <w:pPr>
              <w:spacing w:after="0"/>
              <w:rPr>
                <w:sz w:val="11"/>
                <w:szCs w:val="11"/>
                <w:color w:val="auto"/>
              </w:rPr>
            </w:pPr>
          </w:p>
        </w:tc>
        <w:tc>
          <w:tcPr>
            <w:tcW w:w="1320" w:type="dxa"/>
            <w:vAlign w:val="bottom"/>
            <w:gridSpan w:val="2"/>
          </w:tcPr>
          <w:p>
            <w:pPr>
              <w:jc w:val="center"/>
              <w:ind w:right="640"/>
              <w:spacing w:after="0" w:line="135" w:lineRule="exact"/>
              <w:rPr>
                <w:sz w:val="20"/>
                <w:szCs w:val="20"/>
                <w:color w:val="auto"/>
              </w:rPr>
            </w:pPr>
            <w:r>
              <w:rPr>
                <w:rFonts w:ascii="Arial" w:cs="Arial" w:eastAsia="Arial" w:hAnsi="Arial"/>
                <w:sz w:val="14"/>
                <w:szCs w:val="14"/>
                <w:b w:val="1"/>
                <w:bCs w:val="1"/>
                <w:color w:val="auto"/>
                <w:w w:val="89"/>
              </w:rPr>
              <w:t>Remaining</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tcPr>
          <w:p>
            <w:pPr>
              <w:jc w:val="right"/>
              <w:ind w:right="1020"/>
              <w:spacing w:after="0" w:line="135"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gridSpan w:val="4"/>
          </w:tcPr>
          <w:p>
            <w:pPr>
              <w:jc w:val="center"/>
              <w:ind w:right="20"/>
              <w:spacing w:after="0" w:line="135"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2260" w:type="dxa"/>
            <w:vAlign w:val="bottom"/>
            <w:gridSpan w:val="2"/>
          </w:tcPr>
          <w:p>
            <w:pPr>
              <w:ind w:left="1080"/>
              <w:spacing w:after="0"/>
              <w:rPr>
                <w:sz w:val="20"/>
                <w:szCs w:val="20"/>
                <w:color w:val="auto"/>
              </w:rPr>
            </w:pPr>
            <w:r>
              <w:rPr>
                <w:rFonts w:ascii="Arial" w:cs="Arial" w:eastAsia="Arial" w:hAnsi="Arial"/>
                <w:sz w:val="14"/>
                <w:szCs w:val="14"/>
                <w:b w:val="1"/>
                <w:bCs w:val="1"/>
                <w:color w:val="auto"/>
              </w:rPr>
              <w:t>Range</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jc w:val="right"/>
              <w:ind w:right="37"/>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6"/>
              </w:rPr>
              <w:t>Life (Years)</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40" w:type="dxa"/>
            <w:vAlign w:val="bottom"/>
          </w:tcPr>
          <w:p>
            <w:pPr>
              <w:spacing w:after="0"/>
              <w:rPr>
                <w:sz w:val="14"/>
                <w:szCs w:val="14"/>
                <w:color w:val="auto"/>
              </w:rPr>
            </w:pPr>
          </w:p>
        </w:tc>
        <w:tc>
          <w:tcPr>
            <w:tcW w:w="1060" w:type="dxa"/>
            <w:vAlign w:val="bottom"/>
            <w:gridSpan w:val="3"/>
          </w:tcPr>
          <w:p>
            <w:pPr>
              <w:ind w:left="1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w w:val="85"/>
              </w:rPr>
              <w:t>Exercise Price</w:t>
            </w:r>
          </w:p>
        </w:tc>
        <w:tc>
          <w:tcPr>
            <w:tcW w:w="0" w:type="dxa"/>
            <w:vAlign w:val="bottom"/>
          </w:tcPr>
          <w:p>
            <w:pPr>
              <w:spacing w:after="0"/>
              <w:rPr>
                <w:sz w:val="1"/>
                <w:szCs w:val="1"/>
                <w:color w:val="auto"/>
              </w:rPr>
            </w:pPr>
          </w:p>
        </w:tc>
      </w:tr>
      <w:tr>
        <w:trPr>
          <w:trHeight w:val="27"/>
        </w:trPr>
        <w:tc>
          <w:tcPr>
            <w:tcW w:w="4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$ 3.81</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5.04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jc w:val="right"/>
              <w:spacing w:after="0"/>
              <w:rPr>
                <w:sz w:val="20"/>
                <w:szCs w:val="20"/>
                <w:color w:val="auto"/>
              </w:rPr>
            </w:pPr>
            <w:r>
              <w:rPr>
                <w:rFonts w:ascii="Arial" w:cs="Arial" w:eastAsia="Arial" w:hAnsi="Arial"/>
                <w:sz w:val="18"/>
                <w:szCs w:val="18"/>
                <w:color w:val="auto"/>
              </w:rPr>
              <w:t>5.38</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6.80</w:t>
            </w: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7.25</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rPr>
              <w:t>5.72</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257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7.51</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jc w:val="right"/>
              <w:spacing w:after="0"/>
              <w:rPr>
                <w:sz w:val="20"/>
                <w:szCs w:val="20"/>
                <w:color w:val="auto"/>
              </w:rPr>
            </w:pPr>
            <w:r>
              <w:rPr>
                <w:rFonts w:ascii="Arial" w:cs="Arial" w:eastAsia="Arial" w:hAnsi="Arial"/>
                <w:sz w:val="18"/>
                <w:szCs w:val="18"/>
                <w:color w:val="auto"/>
              </w:rPr>
              <w:t>7.91</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10.99</w:t>
            </w:r>
          </w:p>
        </w:tc>
        <w:tc>
          <w:tcPr>
            <w:tcW w:w="8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rPr>
              <w:t>9.44</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512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18.80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gridSpan w:val="2"/>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840" w:type="dxa"/>
            <w:vAlign w:val="bottom"/>
            <w:gridSpan w:val="2"/>
          </w:tcPr>
          <w:p>
            <w:pPr>
              <w:jc w:val="right"/>
              <w:spacing w:after="0"/>
              <w:rPr>
                <w:sz w:val="20"/>
                <w:szCs w:val="20"/>
                <w:color w:val="auto"/>
              </w:rPr>
            </w:pPr>
            <w:r>
              <w:rPr>
                <w:rFonts w:ascii="Arial" w:cs="Arial" w:eastAsia="Arial" w:hAnsi="Arial"/>
                <w:sz w:val="18"/>
                <w:szCs w:val="18"/>
                <w:color w:val="auto"/>
              </w:rPr>
              <w:t>$ 3.81</w:t>
            </w:r>
          </w:p>
        </w:tc>
        <w:tc>
          <w:tcPr>
            <w:tcW w:w="88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52.75</w:t>
            </w:r>
          </w:p>
        </w:tc>
        <w:tc>
          <w:tcPr>
            <w:tcW w:w="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2,430</w:t>
            </w:r>
          </w:p>
        </w:tc>
        <w:tc>
          <w:tcPr>
            <w:tcW w:w="8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5.68</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rPr>
              <w:t>9.91</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10.56</w:t>
            </w:r>
          </w:p>
        </w:tc>
        <w:tc>
          <w:tcPr>
            <w:tcW w:w="0" w:type="dxa"/>
            <w:vAlign w:val="bottom"/>
          </w:tcPr>
          <w:p>
            <w:pPr>
              <w:spacing w:after="0"/>
              <w:rPr>
                <w:sz w:val="1"/>
                <w:szCs w:val="1"/>
                <w:color w:val="auto"/>
              </w:rPr>
            </w:pPr>
          </w:p>
        </w:tc>
      </w:tr>
      <w:tr>
        <w:trPr>
          <w:trHeight w:val="20"/>
        </w:trPr>
        <w:tc>
          <w:tcPr>
            <w:tcW w:w="4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intrinsic value of all outstanding options was $440 as of June 30, 2006. The intrinsic value of all exercisable options was $354 as of June 30, 2006, and the weighted-average remaining life of such exercisable options as of June 30, 2006 was 5.1 years. Intrinsic value represents the difference between $5.85, the closing price of our stock on June 30, 2006, and the exercise price. Unearned compensation cost related to the unvested portion of outstanding stock options as of June 30, 2006 was $1,650 and is expected to be recognized over a weighted-average period of approximately 1.8 years.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December 30, 2005, our board of directors approved the acceleration of the vesting of the following outstanding options: (1) all unvested options from grants of 20,000 shares or more held by officers of the Company and any of its subsidiaries that would otherwise vest in 2006, (2) all “market condition” options (those options whose vesting depends upon reaching certain stock prices), held by officers, and (3) all unvested options from grants of less than 20,000 shares, held by directors, officers, and other employees. Accordingly, as of the date of adoption of SFAS 123(R), all outstanding options were fully vested except options to purchase 470 shares of common stock. No options will therefore vest in 2006, and remaining unvested options will continue to vest, commencing in 2007, in accordance with their terms.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Share Based Compensation Prior to Adoption of SFAS 123(R)</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Prior to our adoption of SFAS 123(R), we used the intrinsic value method prescribed by APB 25 and also followed the disclosure requirements of SFAS 123, as amended by SFAS 148, which required certain pro forma disclosures as if the fair value had been recorded for share-based compensation expense. We used the Black-Scholes-Merton option valuation model to assess the grant date fair value of each award. In general, our option grants vested with a four-year graded vesting and a ten year contractual term. We elected to value each grant as a single award and to recognize cost on a straight-line method. See Note 1 for the pro forma disclosure of share-based compensation for the three and six months ended June 30, 2005.</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Share Based Compensation Under SFAS 123(R)</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recognized compensation cost for the unvested portion of awards granted prior to adoption. Such cost was recognized using the original grant date fair value as assessed for the pro forma disclosures required by SFAS 123. Also, as required by the modified prospective transition method, which we have elected, compensation related to the unvested portion of such pre-adopted grants will be recognized using the same attribution method used under SFAS 123. As discussed above, we treated our four-year graded vesting awards as a single award. As permitted, we will recognize compensation cost ratably over the service period.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components of share-based compensation recorded as expense: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5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61"/>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June 30, 2006</w:t>
            </w: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8"/>
              </w:rPr>
              <w:t>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Pre-tax compensation expense</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62</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Tax benefit</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After-tax compensation expense</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stock compensation expense effect on both basic and diluted earnings per share for the three-and six-month periods ended June 30, 2006 was less than $0.01 per share. We recorded a deferred tax asset of $30 in the second quarter of 2006 related to the benefit of non-qualified options.</w:t>
      </w:r>
    </w:p>
    <w:p>
      <w:pPr>
        <w:spacing w:after="0" w:line="8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For the six months ended June 30, 2006, a total of 41 options to purchase our common stock were exercised. Cash proceeds related to the stock option exercises during that period were $227, and the total intrinsic value of these option exercises was $47. None of these option exercises resulted in excess tax benefits, which SFAS 123(R) requires to be presented as a financing cash inflow, because pro forma compensation expense exceeded the respective tax benefits realized upon the exercise of these options.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6—Special Charges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the six months ended June 30, 2006, we recorded a charge of $450 related to our review of a 2003 contract cancellation by the General Services Administration (“GSA”) and a charge of $371 related to the temporary retention of Amherst Technologies LLC facilities subsequent to the purchase of certain assets of Amherst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 defined below). We also recorded in the first half of 2006 a charge of $520 related to management restructuring costs, classified as workforce reductions in the table below. We did not record any special charges in the six months ended June 30, 2005.</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roll forward of special charges for the six months ended June 30, 2006 is shown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Workforce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Amherst</w:t>
            </w:r>
          </w:p>
        </w:tc>
        <w:tc>
          <w:tcPr>
            <w:tcW w:w="300" w:type="dxa"/>
            <w:vAlign w:val="bottom"/>
          </w:tcPr>
          <w:p>
            <w:pPr>
              <w:spacing w:after="0"/>
              <w:rPr>
                <w:sz w:val="14"/>
                <w:szCs w:val="14"/>
                <w:color w:val="auto"/>
              </w:rPr>
            </w:pPr>
          </w:p>
        </w:tc>
        <w:tc>
          <w:tcPr>
            <w:tcW w:w="440" w:type="dxa"/>
            <w:vAlign w:val="bottom"/>
            <w:gridSpan w:val="2"/>
          </w:tcPr>
          <w:p>
            <w:pPr>
              <w:ind w:left="80"/>
              <w:spacing w:after="0"/>
              <w:rPr>
                <w:sz w:val="20"/>
                <w:szCs w:val="20"/>
                <w:color w:val="auto"/>
              </w:rPr>
            </w:pPr>
            <w:r>
              <w:rPr>
                <w:rFonts w:ascii="Arial" w:cs="Arial" w:eastAsia="Arial" w:hAnsi="Arial"/>
                <w:sz w:val="14"/>
                <w:szCs w:val="14"/>
                <w:b w:val="1"/>
                <w:bCs w:val="1"/>
                <w:color w:val="auto"/>
              </w:rPr>
              <w:t>GSA</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040" w:type="dxa"/>
            <w:vAlign w:val="bottom"/>
          </w:tcPr>
          <w:p>
            <w:pPr>
              <w:spacing w:after="0"/>
              <w:rPr>
                <w:sz w:val="15"/>
                <w:szCs w:val="15"/>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Reductions</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79"/>
              </w:rPr>
              <w:t>Technologies</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2"/>
              </w:rPr>
              <w:t>Review</w:t>
            </w:r>
          </w:p>
        </w:tc>
        <w:tc>
          <w:tcPr>
            <w:tcW w:w="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Charges</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w w:val="79"/>
              </w:rPr>
              <w:t>450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payments</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(1,217)</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color w:val="auto"/>
              </w:rPr>
              <w:t>Liabilities at June 30, 2006</w:t>
            </w: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672</w:t>
            </w:r>
          </w:p>
        </w:tc>
        <w:tc>
          <w:tcPr>
            <w:tcW w:w="360" w:type="dxa"/>
            <w:vAlign w:val="bottom"/>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w w:val="79"/>
              </w:rPr>
              <w:t>450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Liabilities at June 30, 2006 and December 31, 2005 are included in accrued expenses and other liabilities on the balance sheet.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7—Purchase of Certain Assets of Amherst Technologies, LLC</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On October 21, 2005, we completed the acquisition of certain assets of Amherst Technologies, LLC and certain other parties (collectively, “Amherst”) from IBM Credit, LLC (“IBM”) for $7,751 in cash. Prior to this transaction, IBM was granted a security interest by Amherst covering the acquired assets. The assets we acquired include customer relationships and related intangibles; intellectual property; and miscellaneous furniture, fixtures, and equipment. The acquired assets were combined with our Large Account segment to expand its reach into the medium-to-large corporate customer segment and enhance its sales efforts. In the prior year, we incurred an additional $28 of costs directly related to the transaction.</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transaction was accounted for by the purchase method, and accordingly, any sales generated by former Amherst sales representatives are included in our consolidated financial statements only for periods after October 21, 2005.</w:t>
      </w:r>
    </w:p>
    <w:p>
      <w:pPr>
        <w:spacing w:after="0" w:line="132"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The following table summarizes the estimated fair values of the assets acquired at the date of acquisition. We did not assume any liabilities in this transaction. The fair values of certain intangible assets were determined by management, utilizing in part a third party valuation.</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8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At October 21, 2005</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$2,400</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Property, plant and equipment and other assets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5,180</w:t>
            </w:r>
          </w:p>
        </w:tc>
      </w:tr>
      <w:tr>
        <w:trPr>
          <w:trHeight w:val="222"/>
        </w:trPr>
        <w:tc>
          <w:tcPr>
            <w:tcW w:w="8520" w:type="dxa"/>
            <w:vAlign w:val="bottom"/>
          </w:tcPr>
          <w:p>
            <w:pPr>
              <w:spacing w:after="0"/>
              <w:rPr>
                <w:sz w:val="20"/>
                <w:szCs w:val="20"/>
                <w:color w:val="auto"/>
              </w:rPr>
            </w:pPr>
            <w:r>
              <w:rPr>
                <w:rFonts w:ascii="Arial" w:cs="Arial" w:eastAsia="Arial" w:hAnsi="Arial"/>
                <w:sz w:val="18"/>
                <w:szCs w:val="18"/>
                <w:color w:val="auto"/>
              </w:rPr>
              <w:t>Purchase price of selected assets</w:t>
            </w:r>
          </w:p>
        </w:tc>
        <w:tc>
          <w:tcPr>
            <w:tcW w:w="1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7,779</w:t>
            </w:r>
          </w:p>
        </w:tc>
      </w:tr>
      <w:tr>
        <w:trPr>
          <w:trHeight w:val="20"/>
        </w:trPr>
        <w:tc>
          <w:tcPr>
            <w:tcW w:w="8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$2,400 of acquired intangible assets represents customer relationships (four-year weighted-average useful life). Goodwill of $5,180 was assigned to our Large Account segment. All of this goodwill is expected to be deductible for income tax purposes as a result of this transaction. During the first quarter of 2006, we revised our purchase accounting to reduce property, plant and equipment and other assets by $47, and increased goodwill by $47.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8—Commitments and Contingencies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are subject to various legal proceedings and claims which have arisen during the ordinary course of business. These claims include certain patent infringement litigation naming us and several other resellers as well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as certain manufacturers of products we sell or use in our business. No specific amounts have been claimed as damages. In the opinion of management, the outcome of such matters is not expected to have a material effect on our financial position, results of operations, and cash flows.</w:t>
      </w:r>
    </w:p>
    <w:p>
      <w:pPr>
        <w:spacing w:after="0" w:line="8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are also subject to audit by various government agencies relating to sales under certain government contracts. An audit was conducted on our contract with the GSA for the period May 1, 1997 to March 31, 2002, and in November 2003, the GSA’s contract with our subsidiary, GovConnection, was cancelled. Management has concluded that such cancellation was precipitated by an audit of contractual compliance, although we have not received an audit report or received a claim from the GSA concerning amounts that might be owed pursuant to this audit. Based on our own internal review of contractual compliance, we have noted that several internal control deficiencies existed at GovConnection surrounding its compliance with the GSA contract. Actions were taken to address these deficiencies. In order to assist in this evaluation, we engaged outside counsel and an independent accounting firm to review our systems, policies, and procedures relative to our federal, state, and local government contracts and to assist us in resolving this matter. We were awarded a new GSA contract in August 2004.</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were informally advised in 2003 that the earlier audit matters related to GovConnection were referred to the Department of Justice for its review. Such a referral exposes us to possible civil damages for non-compliance with the GSA contract. Such damages can be substantial. We believe that we have provided adequate reserves to cover any claims as they relate to payment of fees required under the contract or any penalties assessed. We are in the process of settling this matter and have engaged outside counsel to assist us. On the basis of their advice, we reserved an additional $450 during the second quarter of 2006. We have reserved a total of $1,500 for settlement of this matter. However, we will continue to evaluate our reserves—as they relate both to the GSA audit and the Department of Justice investigation—in light of additional information that comes to our attention. The ultimate outcome of these matters cannot be determined. Future events may result in conclusions that could have a material impact, either positively or negatively, on our results of operations or financial condition. We have no indication of intentional wrongdoing by GovConnection regarding the GSA contract.</w:t>
      </w:r>
    </w:p>
    <w:p>
      <w:pPr>
        <w:spacing w:after="0" w:line="118"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are also subject to audits by states on sales and income taxes, unclaimed property, and other assessments. Certain sales tax audits are in process, and a multi-state unclaimed property audit has begun. While management believes that known liabilities have been adequately provided for, it is too early to determine the ultimate outcome of such audits. Such outcome could have a material impact on our results of operations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9—Bank Borrowing and Trade Credit Arrangements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a $50,000 credit facility collateralized by substantially all of our business assets. This facility also gives us the option of increasing the borrowing amount by an additional $20,000 at substantially the same terms. Amounts outstanding under this facility bear interest at the prime rate (8.25% at June 30, 2006). The facility also gives us the option of obtaining Eurodollar Rate Loans in multiples of $1,000 for durations of one, two, three, four, or six months. The credit facility includes various customary financial and operating covenants, including minimum net worth and maximum funded debt ratio requirements, and restrictions on the payment of dividends, repurchase of our common stock, and default acceleration provisions, none of which we believe significantly restricts our operations. The maximum allowable funded debt ratio under the agreement is 2.0 to 1.0; our actual funded debt ratio at June 30, 2006 was 0.6 to 1.0. Funded debt ratio is the ratio of average outstanding advances under the facility to EBITDA (Earnings Before Interest Expense, Taxes, Depreciation, and Amortization). Borrowing availability under the agreement was $32,000 at June 30, 2006.</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Borrowings of $18,000 and $19,975 were outstanding under this credit facility at June 30, 2006 and December 31, 2005, respectively. As of June 30, 2006, outstanding borrowings consisted of two-month Eurodollar Rate Loans of $10,000 at 6.67% interest and $8,000 at 6.93% interest. The credit facility matures on June 29, 2008, at which time amounts outstanding become due.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At June 30, 2006 and December 31, 2005, we had security agreements with two financial institutions to facilitate the purchase of inventory from various suppliers under certain terms and conditions. The agreements allow a collateralized position in inventory financed by the financial institutions up to an aggregate amount of $45,000. The cost of such financing under these agreements is borne by the suppliers by discounting their invoices to the financial institutions as an incentive for us to purchase their products. We do not pay any interest or discount fees on such inventory financing. At June 30, 2006 and December 31, 2005, accounts payable included $12,914 and $12,316, respectively, owed to these financial institutions.</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PC CONNECTION,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I—FINANCIAL INFORMATION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2—MANAGEMENT’S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i w:val="1"/>
          <w:iCs w:val="1"/>
          <w:color w:val="auto"/>
        </w:rPr>
        <w:t>Our management’s discussion and analysis of our financial condition and results of operations include the identification of certain trends and other statements that may predict or anticipate future business or financial results that are subject to important factors that could cause our actual results to differ materially from those indicated. See Item 1A, “Risk Factors” of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PC Connection is a national direct marketer of a wide range of IT products and services—including computer systems, software and peripheral equipment, networking communications, and other products and accessories, that we purchase from manufacturers, distributors, and other suppliers. We also offer a growing range of repair, configuration, installation, and other services performed by our personnel and third-party providers. We operate through three primary business segments: (a) consumers and small- to medium-sized businesses, or SMBs, through our PC Connection Sales subsidiaries, (b) large corporate accounts, or Large Account, through our MoreDirect subsidiary, and (c) federal, state, and local government entities and educational institutions, or Public Sector, through our GovConnection subsidiary.</w:t>
      </w:r>
    </w:p>
    <w:p>
      <w:pPr>
        <w:spacing w:after="0" w:line="144"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generate sales through (i) outbound telemarketing and field sales contacts by account managers focused on the business, education, and government markets, (ii) our Web sites, and (iii) inbound calls from customers responding to our catalogs and other advertising media.</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Challenges and Opportunities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primary challenges we face in effectively managing our business are (1) increasing our revenues while improving our gross profit margins in all three business segments, (2) recruiting, retaining, and improving the productivity of our sales personnel, and (3) effectively managing and leveraging our selling, general and administrative (“SG&amp;A”) expenses over a higher sales base. With only moderate growth projected in the overall IT industry, any significant sales growth for us must come through increased market share. Competition is expected to be even more intense in the future, which could put more pressure on margins.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enjoyed a substantial improvement in sales productivity (average annualized sales per sales representative) in our Large Account segment in the second quarter of 2006 compared to the prior year period. We experienced, however, modest year-over-year sales productivity declines in the second quarter of 2006 in both our SMB and Public Sector segments, due primarily to increased hiring of new sales representatives. We have made significant investments in our sales training programs and information systems in anticipation of future productivity gains. Increasing our sales representatives’ productivity will remain a key corporate challenge for the upcoming periods.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previously reported, the General Services Administration, or GSA, cancelled its contract with GovConnection in November 2003, following its review of that subsidiary’s contract management system and procedures and the possibility of the sale of unqualified items and underpayment of required fees. Although we were awarded a new GSA contract in August 2004, we have experienced significant declines in our federal government sales from 2003 levels. Our federal government revenues may continue to be negatively impacted as GovConnection seeks to regain sales under the new GSA contract and other federal government contracts. This matter is further discussed in “Risk Factors” in Item 1A of Part II of this Quarterly Report on Form 10-Q.</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derived from our statements of income expressed as a percentage of net sales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w:t>
            </w:r>
          </w:p>
        </w:tc>
        <w:tc>
          <w:tcPr>
            <w:tcW w:w="172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0" w:type="dxa"/>
            <w:vAlign w:val="bottom"/>
            <w:gridSpan w:val="3"/>
            <w:vMerge w:val="continue"/>
          </w:tcPr>
          <w:p>
            <w:pPr>
              <w:spacing w:after="0"/>
              <w:rPr>
                <w:sz w:val="12"/>
                <w:szCs w:val="12"/>
                <w:color w:val="auto"/>
              </w:rPr>
            </w:pPr>
          </w:p>
        </w:tc>
        <w:tc>
          <w:tcPr>
            <w:tcW w:w="54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78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2"/>
                <w:szCs w:val="12"/>
                <w:color w:val="auto"/>
              </w:rPr>
            </w:pPr>
          </w:p>
        </w:tc>
        <w:tc>
          <w:tcPr>
            <w:tcW w:w="78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2"/>
                <w:szCs w:val="12"/>
                <w:color w:val="auto"/>
              </w:rPr>
            </w:pPr>
          </w:p>
        </w:tc>
        <w:tc>
          <w:tcPr>
            <w:tcW w:w="54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sales </w:t>
            </w:r>
            <w:r>
              <w:rPr>
                <w:rFonts w:ascii="Arial" w:cs="Arial" w:eastAsia="Arial" w:hAnsi="Arial"/>
                <w:sz w:val="18"/>
                <w:szCs w:val="18"/>
                <w:i w:val="1"/>
                <w:iCs w:val="1"/>
                <w:color w:val="auto"/>
              </w:rPr>
              <w:t>(in millions)</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$ 408.1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$ 350.7</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$ 788.6</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$ 674.6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100.0%</w:t>
            </w:r>
          </w:p>
        </w:tc>
        <w:tc>
          <w:tcPr>
            <w:tcW w:w="1420" w:type="dxa"/>
            <w:vAlign w:val="bottom"/>
            <w:gridSpan w:val="3"/>
          </w:tcPr>
          <w:p>
            <w:pPr>
              <w:jc w:val="right"/>
              <w:ind w:right="500"/>
              <w:spacing w:after="0"/>
              <w:rPr>
                <w:sz w:val="20"/>
                <w:szCs w:val="20"/>
                <w:color w:val="auto"/>
              </w:rPr>
            </w:pPr>
            <w:r>
              <w:rPr>
                <w:rFonts w:ascii="Arial" w:cs="Arial" w:eastAsia="Arial" w:hAnsi="Arial"/>
                <w:sz w:val="18"/>
                <w:szCs w:val="18"/>
                <w:color w:val="auto"/>
              </w:rPr>
              <w:t>100.0%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12.4</w:t>
            </w:r>
          </w:p>
        </w:tc>
        <w:tc>
          <w:tcPr>
            <w:tcW w:w="11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10.9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6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0.9%</w:t>
            </w:r>
          </w:p>
        </w:tc>
        <w:tc>
          <w:tcPr>
            <w:tcW w:w="1420" w:type="dxa"/>
            <w:vAlign w:val="bottom"/>
            <w:gridSpan w:val="3"/>
          </w:tcPr>
          <w:p>
            <w:pPr>
              <w:jc w:val="right"/>
              <w:ind w:right="500"/>
              <w:spacing w:after="0"/>
              <w:rPr>
                <w:sz w:val="20"/>
                <w:szCs w:val="20"/>
                <w:color w:val="auto"/>
              </w:rPr>
            </w:pPr>
            <w:r>
              <w:rPr>
                <w:rFonts w:ascii="Arial" w:cs="Arial" w:eastAsia="Arial" w:hAnsi="Arial"/>
                <w:sz w:val="18"/>
                <w:szCs w:val="18"/>
                <w:color w:val="auto"/>
              </w:rPr>
              <w:t>1.2%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Our year-over-year increase in sales in the first half of 2006 resulted from sales growth in all three segments, as well as the inclusion of sales generated by former Amherst Technologies representatives during the six months ended June 30, 2006. As previously reported, we purchased certain assets of Amherst Technologies in October 2005. Gross profit dollars increased year over year in the six months ended June 30, 2006 in all three segments, due to increases in both sales and gross profit margins. Gross margin improvement resulted from higher customer invoice product margins; increased sales of higher margin services, software, and accessories; larger software agency fees; and increased vendor consideration. SG&amp;A expenses increased in both dollars and as a percentage of sales. The dollar increase was largely attributable to the Amherst transaction, increased variable compensation associated with higher sales, the opening of a new sales center in Texas, and continued investments in sales, systems, services, and sales training.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Distribution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percentage of net sales by business segment, sales channel, and product mix: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w:t>
            </w:r>
          </w:p>
        </w:tc>
        <w:tc>
          <w:tcPr>
            <w:tcW w:w="2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0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4"/>
                <w:szCs w:val="14"/>
                <w:color w:val="auto"/>
              </w:rPr>
            </w:pPr>
          </w:p>
        </w:tc>
        <w:tc>
          <w:tcPr>
            <w:tcW w:w="156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80" w:type="dxa"/>
            <w:vAlign w:val="bottom"/>
            <w:gridSpan w:val="2"/>
            <w:vMerge w:val="continue"/>
          </w:tcPr>
          <w:p>
            <w:pPr>
              <w:spacing w:after="0"/>
              <w:rPr>
                <w:sz w:val="12"/>
                <w:szCs w:val="12"/>
                <w:color w:val="auto"/>
              </w:rPr>
            </w:pPr>
          </w:p>
        </w:tc>
        <w:tc>
          <w:tcPr>
            <w:tcW w:w="32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800" w:type="dxa"/>
            <w:vAlign w:val="bottom"/>
          </w:tcPr>
          <w:p>
            <w:pPr>
              <w:spacing w:after="0"/>
              <w:rPr>
                <w:sz w:val="12"/>
                <w:szCs w:val="12"/>
                <w:color w:val="auto"/>
              </w:rPr>
            </w:pPr>
          </w:p>
        </w:tc>
        <w:tc>
          <w:tcPr>
            <w:tcW w:w="46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rPr>
              <w:t>2005</w:t>
            </w:r>
          </w:p>
        </w:tc>
        <w:tc>
          <w:tcPr>
            <w:tcW w:w="70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76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Business Segment</w:t>
            </w:r>
          </w:p>
        </w:tc>
        <w:tc>
          <w:tcPr>
            <w:tcW w:w="23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SMB</w:t>
            </w:r>
          </w:p>
        </w:tc>
        <w:tc>
          <w:tcPr>
            <w:tcW w:w="4080" w:type="dxa"/>
            <w:vAlign w:val="bottom"/>
            <w:gridSpan w:val="4"/>
          </w:tcPr>
          <w:p>
            <w:pPr>
              <w:jc w:val="right"/>
              <w:ind w:right="660"/>
              <w:spacing w:after="0"/>
              <w:rPr>
                <w:sz w:val="20"/>
                <w:szCs w:val="20"/>
                <w:color w:val="auto"/>
              </w:rPr>
            </w:pPr>
            <w:r>
              <w:rPr>
                <w:rFonts w:ascii="Arial" w:cs="Arial" w:eastAsia="Arial" w:hAnsi="Arial"/>
                <w:sz w:val="18"/>
                <w:szCs w:val="18"/>
                <w:color w:val="auto"/>
              </w:rPr>
              <w:t>53%</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59%</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55%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Large Account</w:t>
            </w:r>
          </w:p>
        </w:tc>
        <w:tc>
          <w:tcPr>
            <w:tcW w:w="3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w:t>
            </w: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30</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Public Sector</w:t>
            </w:r>
          </w:p>
        </w:tc>
        <w:tc>
          <w:tcPr>
            <w:tcW w:w="2840" w:type="dxa"/>
            <w:vAlign w:val="bottom"/>
            <w:gridSpan w:val="2"/>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80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19</w:t>
            </w:r>
          </w:p>
        </w:tc>
        <w:tc>
          <w:tcPr>
            <w:tcW w:w="1140" w:type="dxa"/>
            <w:vAlign w:val="bottom"/>
            <w:gridSpan w:val="2"/>
          </w:tcPr>
          <w:p>
            <w:pPr>
              <w:jc w:val="right"/>
              <w:ind w:right="740"/>
              <w:spacing w:after="0"/>
              <w:rPr>
                <w:sz w:val="20"/>
                <w:szCs w:val="20"/>
                <w:color w:val="auto"/>
              </w:rPr>
            </w:pPr>
            <w:r>
              <w:rPr>
                <w:rFonts w:ascii="Arial" w:cs="Arial" w:eastAsia="Arial" w:hAnsi="Arial"/>
                <w:sz w:val="18"/>
                <w:szCs w:val="18"/>
                <w:color w:val="auto"/>
              </w:rPr>
              <w:t>15</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284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Sales Channel</w:t>
            </w:r>
          </w:p>
        </w:tc>
        <w:tc>
          <w:tcPr>
            <w:tcW w:w="2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gridSpan w:val="2"/>
            <w:vMerge w:val="continue"/>
          </w:tcPr>
          <w:p>
            <w:pPr>
              <w:spacing w:after="0"/>
              <w:rPr>
                <w:sz w:val="18"/>
                <w:szCs w:val="18"/>
                <w:color w:val="auto"/>
              </w:rPr>
            </w:pPr>
          </w:p>
        </w:tc>
        <w:tc>
          <w:tcPr>
            <w:tcW w:w="2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Outbound Telemarketing and Field Sales</w:t>
            </w:r>
          </w:p>
        </w:tc>
        <w:tc>
          <w:tcPr>
            <w:tcW w:w="408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66%</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Online Internet</w:t>
            </w:r>
          </w:p>
        </w:tc>
        <w:tc>
          <w:tcPr>
            <w:tcW w:w="328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80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25</w:t>
            </w:r>
          </w:p>
        </w:tc>
        <w:tc>
          <w:tcPr>
            <w:tcW w:w="1140" w:type="dxa"/>
            <w:vAlign w:val="bottom"/>
            <w:gridSpan w:val="2"/>
          </w:tcPr>
          <w:p>
            <w:pPr>
              <w:jc w:val="right"/>
              <w:ind w:right="740"/>
              <w:spacing w:after="0"/>
              <w:rPr>
                <w:sz w:val="20"/>
                <w:szCs w:val="20"/>
                <w:color w:val="auto"/>
              </w:rPr>
            </w:pPr>
            <w:r>
              <w:rPr>
                <w:rFonts w:ascii="Arial" w:cs="Arial" w:eastAsia="Arial" w:hAnsi="Arial"/>
                <w:sz w:val="18"/>
                <w:szCs w:val="18"/>
                <w:color w:val="auto"/>
              </w:rPr>
              <w:t>31</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Inbound Telesales</w:t>
            </w:r>
          </w:p>
        </w:tc>
        <w:tc>
          <w:tcPr>
            <w:tcW w:w="2840" w:type="dxa"/>
            <w:vAlign w:val="bottom"/>
            <w:gridSpan w:val="2"/>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w:t>
            </w: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vMerge w:val="restart"/>
          </w:tcPr>
          <w:p>
            <w:pPr>
              <w:ind w:left="860"/>
              <w:spacing w:after="0"/>
              <w:rPr>
                <w:sz w:val="20"/>
                <w:szCs w:val="20"/>
                <w:color w:val="auto"/>
              </w:rPr>
            </w:pPr>
            <w:r>
              <w:rPr>
                <w:rFonts w:ascii="Arial" w:cs="Arial" w:eastAsia="Arial" w:hAnsi="Arial"/>
                <w:sz w:val="18"/>
                <w:szCs w:val="18"/>
                <w:color w:val="auto"/>
              </w:rPr>
              <w:t>Total</w:t>
            </w:r>
          </w:p>
        </w:tc>
        <w:tc>
          <w:tcPr>
            <w:tcW w:w="284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vMerge w:val="continue"/>
          </w:tcPr>
          <w:p>
            <w:pPr>
              <w:spacing w:after="0"/>
              <w:rPr>
                <w:sz w:val="19"/>
                <w:szCs w:val="19"/>
                <w:color w:val="auto"/>
              </w:rPr>
            </w:pPr>
          </w:p>
        </w:tc>
        <w:tc>
          <w:tcPr>
            <w:tcW w:w="2840" w:type="dxa"/>
            <w:vAlign w:val="bottom"/>
            <w:gridSpan w:val="2"/>
          </w:tcPr>
          <w:p>
            <w:pPr>
              <w:spacing w:after="0"/>
              <w:rPr>
                <w:sz w:val="19"/>
                <w:szCs w:val="19"/>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Product Mix</w:t>
            </w:r>
          </w:p>
        </w:tc>
        <w:tc>
          <w:tcPr>
            <w:tcW w:w="2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Notebooks and PDAs</w:t>
            </w:r>
          </w:p>
        </w:tc>
        <w:tc>
          <w:tcPr>
            <w:tcW w:w="4080" w:type="dxa"/>
            <w:vAlign w:val="bottom"/>
            <w:gridSpan w:val="4"/>
          </w:tcPr>
          <w:p>
            <w:pPr>
              <w:jc w:val="right"/>
              <w:ind w:right="660"/>
              <w:spacing w:after="0"/>
              <w:rPr>
                <w:sz w:val="20"/>
                <w:szCs w:val="20"/>
                <w:color w:val="auto"/>
              </w:rPr>
            </w:pPr>
            <w:r>
              <w:rPr>
                <w:rFonts w:ascii="Arial" w:cs="Arial" w:eastAsia="Arial" w:hAnsi="Arial"/>
                <w:sz w:val="18"/>
                <w:szCs w:val="18"/>
                <w:color w:val="auto"/>
              </w:rPr>
              <w:t>18%</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18%</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18%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Desktop/Servers</w:t>
            </w:r>
          </w:p>
        </w:tc>
        <w:tc>
          <w:tcPr>
            <w:tcW w:w="3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w:t>
            </w: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Storage Devices</w:t>
            </w:r>
          </w:p>
        </w:tc>
        <w:tc>
          <w:tcPr>
            <w:tcW w:w="328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80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8</w:t>
            </w:r>
          </w:p>
        </w:tc>
        <w:tc>
          <w:tcPr>
            <w:tcW w:w="1140" w:type="dxa"/>
            <w:vAlign w:val="bottom"/>
            <w:gridSpan w:val="2"/>
          </w:tcPr>
          <w:p>
            <w:pPr>
              <w:jc w:val="right"/>
              <w:ind w:right="740"/>
              <w:spacing w:after="0"/>
              <w:rPr>
                <w:sz w:val="20"/>
                <w:szCs w:val="20"/>
                <w:color w:val="auto"/>
              </w:rPr>
            </w:pPr>
            <w:r>
              <w:rPr>
                <w:rFonts w:ascii="Arial" w:cs="Arial" w:eastAsia="Arial" w:hAnsi="Arial"/>
                <w:sz w:val="18"/>
                <w:szCs w:val="18"/>
                <w:color w:val="auto"/>
              </w:rPr>
              <w:t>9</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Software</w:t>
            </w:r>
          </w:p>
        </w:tc>
        <w:tc>
          <w:tcPr>
            <w:tcW w:w="3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w:t>
            </w: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Net/Com Products</w:t>
            </w:r>
          </w:p>
        </w:tc>
        <w:tc>
          <w:tcPr>
            <w:tcW w:w="328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80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8</w:t>
            </w:r>
          </w:p>
        </w:tc>
        <w:tc>
          <w:tcPr>
            <w:tcW w:w="1140" w:type="dxa"/>
            <w:vAlign w:val="bottom"/>
            <w:gridSpan w:val="2"/>
          </w:tcPr>
          <w:p>
            <w:pPr>
              <w:jc w:val="right"/>
              <w:ind w:right="740"/>
              <w:spacing w:after="0"/>
              <w:rPr>
                <w:sz w:val="20"/>
                <w:szCs w:val="20"/>
                <w:color w:val="auto"/>
              </w:rPr>
            </w:pPr>
            <w:r>
              <w:rPr>
                <w:rFonts w:ascii="Arial" w:cs="Arial" w:eastAsia="Arial" w:hAnsi="Arial"/>
                <w:sz w:val="18"/>
                <w:szCs w:val="18"/>
                <w:color w:val="auto"/>
              </w:rPr>
              <w:t>8</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Printers and Printer Supplies</w:t>
            </w:r>
          </w:p>
        </w:tc>
        <w:tc>
          <w:tcPr>
            <w:tcW w:w="3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w:t>
            </w: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Videos, Imaging, and Sound</w:t>
            </w:r>
          </w:p>
        </w:tc>
        <w:tc>
          <w:tcPr>
            <w:tcW w:w="328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80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12</w:t>
            </w:r>
          </w:p>
        </w:tc>
        <w:tc>
          <w:tcPr>
            <w:tcW w:w="1140" w:type="dxa"/>
            <w:vAlign w:val="bottom"/>
            <w:gridSpan w:val="2"/>
          </w:tcPr>
          <w:p>
            <w:pPr>
              <w:jc w:val="right"/>
              <w:ind w:right="740"/>
              <w:spacing w:after="0"/>
              <w:rPr>
                <w:sz w:val="20"/>
                <w:szCs w:val="20"/>
                <w:color w:val="auto"/>
              </w:rPr>
            </w:pPr>
            <w:r>
              <w:rPr>
                <w:rFonts w:ascii="Arial" w:cs="Arial" w:eastAsia="Arial" w:hAnsi="Arial"/>
                <w:sz w:val="18"/>
                <w:szCs w:val="18"/>
                <w:color w:val="auto"/>
              </w:rPr>
              <w:t>12</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Memory and System Enhancements</w:t>
            </w:r>
          </w:p>
        </w:tc>
        <w:tc>
          <w:tcPr>
            <w:tcW w:w="3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w:t>
            </w: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Accessories/Other</w:t>
            </w:r>
          </w:p>
        </w:tc>
        <w:tc>
          <w:tcPr>
            <w:tcW w:w="2840" w:type="dxa"/>
            <w:vAlign w:val="bottom"/>
            <w:gridSpan w:val="2"/>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80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11</w:t>
            </w:r>
          </w:p>
        </w:tc>
        <w:tc>
          <w:tcPr>
            <w:tcW w:w="1140" w:type="dxa"/>
            <w:vAlign w:val="bottom"/>
            <w:gridSpan w:val="2"/>
          </w:tcPr>
          <w:p>
            <w:pPr>
              <w:jc w:val="right"/>
              <w:ind w:right="740"/>
              <w:spacing w:after="0"/>
              <w:rPr>
                <w:sz w:val="20"/>
                <w:szCs w:val="20"/>
                <w:color w:val="auto"/>
              </w:rPr>
            </w:pPr>
            <w:r>
              <w:rPr>
                <w:rFonts w:ascii="Arial" w:cs="Arial" w:eastAsia="Arial" w:hAnsi="Arial"/>
                <w:sz w:val="18"/>
                <w:szCs w:val="18"/>
                <w:color w:val="auto"/>
              </w:rPr>
              <w:t>11</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284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300" w:type="dxa"/>
            <w:vAlign w:val="bottom"/>
            <w:vMerge w:val="restart"/>
          </w:tcPr>
          <w:p>
            <w:pPr>
              <w:jc w:val="right"/>
              <w:ind w:right="894"/>
              <w:spacing w:after="0"/>
              <w:rPr>
                <w:sz w:val="20"/>
                <w:szCs w:val="20"/>
                <w:color w:val="auto"/>
              </w:rPr>
            </w:pPr>
            <w:r>
              <w:rPr>
                <w:rFonts w:ascii="Arial" w:cs="Arial" w:eastAsia="Arial" w:hAnsi="Arial"/>
                <w:sz w:val="18"/>
                <w:szCs w:val="18"/>
                <w:color w:val="auto"/>
              </w:rPr>
              <w:t>19</w:t>
            </w: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Margins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overall gross profit margins, as a percentage of net sales, over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w:t>
            </w:r>
          </w:p>
        </w:tc>
        <w:tc>
          <w:tcPr>
            <w:tcW w:w="248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940" w:type="dxa"/>
            <w:vAlign w:val="bottom"/>
            <w:gridSpan w:val="4"/>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7000" w:type="dxa"/>
            <w:vAlign w:val="bottom"/>
            <w:gridSpan w:val="3"/>
            <w:vMerge w:val="continue"/>
          </w:tcPr>
          <w:p>
            <w:pPr>
              <w:spacing w:after="0"/>
              <w:rPr>
                <w:sz w:val="12"/>
                <w:szCs w:val="12"/>
                <w:color w:val="auto"/>
              </w:rPr>
            </w:pPr>
          </w:p>
        </w:tc>
        <w:tc>
          <w:tcPr>
            <w:tcW w:w="5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2006</w:t>
            </w:r>
          </w:p>
        </w:tc>
        <w:tc>
          <w:tcPr>
            <w:tcW w:w="7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2005</w:t>
            </w:r>
          </w:p>
        </w:tc>
        <w:tc>
          <w:tcPr>
            <w:tcW w:w="700" w:type="dxa"/>
            <w:vAlign w:val="bottom"/>
          </w:tcPr>
          <w:p>
            <w:pPr>
              <w:spacing w:after="0"/>
              <w:rPr>
                <w:sz w:val="12"/>
                <w:szCs w:val="12"/>
                <w:color w:val="auto"/>
              </w:rPr>
            </w:pPr>
          </w:p>
        </w:tc>
        <w:tc>
          <w:tcPr>
            <w:tcW w:w="5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2006</w:t>
            </w:r>
          </w:p>
        </w:tc>
        <w:tc>
          <w:tcPr>
            <w:tcW w:w="7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Business Segment</w:t>
            </w:r>
          </w:p>
        </w:tc>
        <w:tc>
          <w:tcPr>
            <w:tcW w:w="5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SMB</w:t>
            </w: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13.8%</w:t>
            </w: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12.4%</w:t>
            </w:r>
          </w:p>
        </w:tc>
        <w:tc>
          <w:tcPr>
            <w:tcW w:w="1260" w:type="dxa"/>
            <w:vAlign w:val="bottom"/>
            <w:gridSpan w:val="2"/>
          </w:tcPr>
          <w:p>
            <w:pPr>
              <w:ind w:left="240"/>
              <w:spacing w:after="0"/>
              <w:rPr>
                <w:sz w:val="20"/>
                <w:szCs w:val="20"/>
                <w:color w:val="auto"/>
              </w:rPr>
            </w:pPr>
            <w:r>
              <w:rPr>
                <w:rFonts w:ascii="Arial" w:cs="Arial" w:eastAsia="Arial" w:hAnsi="Arial"/>
                <w:sz w:val="18"/>
                <w:szCs w:val="18"/>
                <w:color w:val="auto"/>
              </w:rPr>
              <w:t>13.6%</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w w:val="86"/>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Large Account</w:t>
            </w:r>
          </w:p>
        </w:tc>
        <w:tc>
          <w:tcPr>
            <w:tcW w:w="1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10.7</w:t>
            </w:r>
          </w:p>
        </w:tc>
        <w:tc>
          <w:tcPr>
            <w:tcW w:w="5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10.5</w:t>
            </w: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10.6</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Public Sector</w:t>
            </w: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11.3</w:t>
            </w:r>
          </w:p>
        </w:tc>
        <w:tc>
          <w:tcPr>
            <w:tcW w:w="540" w:type="dxa"/>
            <w:vAlign w:val="bottom"/>
          </w:tcPr>
          <w:p>
            <w:pPr>
              <w:ind w:left="240"/>
              <w:spacing w:after="0"/>
              <w:rPr>
                <w:sz w:val="20"/>
                <w:szCs w:val="20"/>
                <w:color w:val="auto"/>
              </w:rPr>
            </w:pPr>
            <w:r>
              <w:rPr>
                <w:rFonts w:ascii="Arial" w:cs="Arial" w:eastAsia="Arial" w:hAnsi="Arial"/>
                <w:sz w:val="18"/>
                <w:szCs w:val="18"/>
                <w:color w:val="auto"/>
                <w:w w:val="79"/>
              </w:rPr>
              <w:t>10.0</w:t>
            </w:r>
          </w:p>
        </w:tc>
        <w:tc>
          <w:tcPr>
            <w:tcW w:w="700" w:type="dxa"/>
            <w:vAlign w:val="bottom"/>
          </w:tcPr>
          <w:p>
            <w:pPr>
              <w:spacing w:after="0"/>
              <w:rPr>
                <w:sz w:val="18"/>
                <w:szCs w:val="18"/>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color w:val="auto"/>
              </w:rPr>
              <w:t>11.0</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12.4%</w:t>
            </w:r>
          </w:p>
        </w:tc>
        <w:tc>
          <w:tcPr>
            <w:tcW w:w="1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11.5%</w:t>
            </w:r>
          </w:p>
        </w:tc>
        <w:tc>
          <w:tcPr>
            <w:tcW w:w="1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12.3%</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2"/>
              </w:rPr>
              <w:t>11.5%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Consolidated gross profit dollars increased for the second quarter of 2006 over the second quarter of 2005 by $10.4 million, due to increases in both net sales and gross profit margins. Consolidated gross profit dollars for the six months ended June 30, 2006 increased over the prior year period by $19.5 million, due to increases in both net sales and gross profit margins. Gross margin improvement in the three-month and six-month periods ended June 30, 2006 resulted from higher customer invoice product margins; increased sales of higher margin services, software, and accessories; larger software agency fees; and increased vendor consideration recorded as an offset to cost of sales.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Certain Other Costs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Cost of sales includes the invoice cost of the product, packaging, inbound and outbound freight, and provisions for inventory obsolescence, adjusted for discounts, rebates, and other vendor consideration adjustments. Direct operating expenses relating to our purchasing function and receiving, inspection, internal transfer, warehousing, packing and shipping, and other expenses of our distribution center are included in SG&amp;A expenses. Accordingly, our gross margins may not be comparable to those of other entities who include all of the costs related to their distribution network in cost of goods sold. Such costs, as a percentage of net sales for the periods reported,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w:t>
            </w:r>
          </w:p>
        </w:tc>
        <w:tc>
          <w:tcPr>
            <w:tcW w:w="246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9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7040" w:type="dxa"/>
            <w:vAlign w:val="bottom"/>
            <w:gridSpan w:val="3"/>
            <w:vMerge w:val="continue"/>
          </w:tcPr>
          <w:p>
            <w:pPr>
              <w:spacing w:after="0"/>
              <w:rPr>
                <w:sz w:val="12"/>
                <w:szCs w:val="12"/>
                <w:color w:val="auto"/>
              </w:rPr>
            </w:pPr>
          </w:p>
        </w:tc>
        <w:tc>
          <w:tcPr>
            <w:tcW w:w="540" w:type="dxa"/>
            <w:vAlign w:val="bottom"/>
            <w:tcBorders>
              <w:top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2006</w:t>
            </w:r>
          </w:p>
        </w:tc>
        <w:tc>
          <w:tcPr>
            <w:tcW w:w="7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2"/>
                <w:szCs w:val="12"/>
                <w:color w:val="auto"/>
              </w:rPr>
            </w:pPr>
          </w:p>
        </w:tc>
        <w:tc>
          <w:tcPr>
            <w:tcW w:w="540" w:type="dxa"/>
            <w:vAlign w:val="bottom"/>
            <w:tcBorders>
              <w:top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2006</w:t>
            </w:r>
          </w:p>
        </w:tc>
        <w:tc>
          <w:tcPr>
            <w:tcW w:w="7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Purchasing/Distribution Center</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0.66%</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0.64%</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0.69%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breaks out our more significant operating expenses for the periods indicated (in millions of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w:t>
            </w:r>
          </w:p>
        </w:tc>
        <w:tc>
          <w:tcPr>
            <w:tcW w:w="2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Pr>
          <w:p>
            <w:pPr>
              <w:spacing w:after="0"/>
              <w:rPr>
                <w:sz w:val="14"/>
                <w:szCs w:val="14"/>
                <w:color w:val="auto"/>
              </w:rPr>
            </w:pPr>
          </w:p>
        </w:tc>
        <w:tc>
          <w:tcPr>
            <w:tcW w:w="18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3880" w:type="dxa"/>
            <w:vAlign w:val="bottom"/>
            <w:gridSpan w:val="2"/>
            <w:vMerge w:val="continue"/>
          </w:tcPr>
          <w:p>
            <w:pPr>
              <w:spacing w:after="0"/>
              <w:rPr>
                <w:sz w:val="12"/>
                <w:szCs w:val="12"/>
                <w:color w:val="auto"/>
              </w:rPr>
            </w:pPr>
          </w:p>
        </w:tc>
        <w:tc>
          <w:tcPr>
            <w:tcW w:w="2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2006</w:t>
            </w:r>
          </w:p>
        </w:tc>
        <w:tc>
          <w:tcPr>
            <w:tcW w:w="4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2005</w:t>
            </w:r>
          </w:p>
        </w:tc>
        <w:tc>
          <w:tcPr>
            <w:tcW w:w="7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2006</w:t>
            </w: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shd w:val="clear" w:color="auto" w:fill="000000"/>
          </w:tcPr>
          <w:p>
            <w:pPr>
              <w:spacing w:after="0"/>
              <w:rPr>
                <w:sz w:val="2"/>
                <w:szCs w:val="2"/>
                <w:color w:val="auto"/>
              </w:rPr>
            </w:pPr>
          </w:p>
        </w:tc>
        <w:tc>
          <w:tcPr>
            <w:tcW w:w="2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2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29.5</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Advertising, net</w:t>
            </w:r>
          </w:p>
        </w:tc>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Facilities operations</w:t>
            </w:r>
          </w:p>
        </w:tc>
        <w:tc>
          <w:tcPr>
            <w:tcW w:w="2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Credit card fees</w:t>
            </w:r>
          </w:p>
        </w:tc>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Bad debts</w:t>
            </w:r>
          </w:p>
        </w:tc>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0.7</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312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vMerge w:val="continue"/>
          </w:tcPr>
          <w:p>
            <w:pPr>
              <w:spacing w:after="0"/>
              <w:rPr>
                <w:sz w:val="19"/>
                <w:szCs w:val="19"/>
                <w:color w:val="auto"/>
              </w:rPr>
            </w:pPr>
          </w:p>
        </w:tc>
        <w:tc>
          <w:tcPr>
            <w:tcW w:w="312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44.5</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37.4</w:t>
            </w:r>
          </w:p>
        </w:tc>
        <w:tc>
          <w:tcPr>
            <w:tcW w:w="7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86.5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Percentage of net sales</w:t>
            </w:r>
          </w:p>
        </w:tc>
        <w:tc>
          <w:tcPr>
            <w:tcW w:w="2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580" w:type="dxa"/>
            <w:vAlign w:val="bottom"/>
            <w:vMerge w:val="restart"/>
          </w:tcPr>
          <w:p>
            <w:pPr>
              <w:jc w:val="right"/>
              <w:ind w:right="572"/>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Personnel costs continue to represent the majority of our operating expenses, with sales personnel representing the largest portion of these costs. The year-over-year increase in personnel costs resulted primarily from additional sales and service personnel from our Amherst transaction and increased variable compensation related to higher sales. The increase in other costs is attributable primarily to increases in professional fees and in state tax and other compliance accruals.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Year-Over-Year Comparisons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Three Months Ended June 30, 2006 Compared to Three Months Ended June 30, 2005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net sales and gross profit by business segment are shown in the following table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9"/>
          </w:tcPr>
          <w:p>
            <w:pPr>
              <w:jc w:val="right"/>
              <w:ind w:right="88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5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54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 of Net</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 of Net</w:t>
            </w:r>
          </w:p>
        </w:tc>
        <w:tc>
          <w:tcPr>
            <w:tcW w:w="5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6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420" w:type="dxa"/>
            <w:vAlign w:val="bottom"/>
          </w:tcPr>
          <w:p>
            <w:pPr>
              <w:spacing w:after="0"/>
              <w:rPr>
                <w:sz w:val="14"/>
                <w:szCs w:val="14"/>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Sales</w:t>
            </w:r>
          </w:p>
        </w:tc>
        <w:tc>
          <w:tcPr>
            <w:tcW w:w="200" w:type="dxa"/>
            <w:vAlign w:val="bottom"/>
          </w:tcPr>
          <w:p>
            <w:pPr>
              <w:spacing w:after="0"/>
              <w:rPr>
                <w:sz w:val="14"/>
                <w:szCs w:val="14"/>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4"/>
                <w:szCs w:val="14"/>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Sales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SMB</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215.1</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52.7%</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207.3</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59.1%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Large Account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128.3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Public Sector</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64.7</w:t>
            </w: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65.0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5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408.1</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350.7</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SMB</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Large Account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5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Public Sector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3"/>
            <w:vMerge w:val="restart"/>
          </w:tcPr>
          <w:p>
            <w:pPr>
              <w:jc w:val="right"/>
              <w:ind w:right="400"/>
              <w:spacing w:after="0"/>
              <w:rPr>
                <w:sz w:val="20"/>
                <w:szCs w:val="20"/>
                <w:color w:val="auto"/>
              </w:rPr>
            </w:pPr>
            <w:r>
              <w:rPr>
                <w:rFonts w:ascii="Arial" w:cs="Arial" w:eastAsia="Arial" w:hAnsi="Arial"/>
                <w:sz w:val="18"/>
                <w:szCs w:val="18"/>
                <w:color w:val="auto"/>
              </w:rPr>
              <w:t>11.5%</w:t>
            </w: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line="20" w:lineRule="exact"/>
              <w:rPr>
                <w:sz w:val="1"/>
                <w:szCs w:val="1"/>
                <w:color w:val="auto"/>
              </w:rPr>
            </w:pPr>
          </w:p>
        </w:tc>
      </w:tr>
      <w:tr>
        <w:trPr>
          <w:trHeight w:val="222"/>
        </w:trPr>
        <w:tc>
          <w:tcPr>
            <w:tcW w:w="68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50.7</w:t>
            </w:r>
          </w:p>
        </w:tc>
        <w:tc>
          <w:tcPr>
            <w:tcW w:w="128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40.4</w:t>
            </w:r>
          </w:p>
        </w:tc>
        <w:tc>
          <w:tcPr>
            <w:tcW w:w="1440" w:type="dxa"/>
            <w:vAlign w:val="bottom"/>
            <w:gridSpan w:val="3"/>
            <w:vMerge w:val="continue"/>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for the second quarter of 2006 increased compared to the second quarter of 2005, as explained by the following:</w:t>
      </w:r>
    </w:p>
    <w:p>
      <w:pPr>
        <w:spacing w:after="0" w:line="90" w:lineRule="exact"/>
        <w:rPr>
          <w:sz w:val="20"/>
          <w:szCs w:val="20"/>
          <w:color w:val="auto"/>
        </w:rPr>
      </w:pPr>
    </w:p>
    <w:p>
      <w:pPr>
        <w:ind w:left="780" w:right="80" w:hanging="326"/>
        <w:spacing w:after="0" w:line="290"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sales for our SMB segment benefited from an increase in sales representatives in the second quarter of 2006. Sales representatives for our SMB segment totaled 465 at June 30, 2006, compared to 424 at June 30, 2005, and as a result, corporate outbound sales increased 10% year over year in the second quarter of 2006. Corporate outbound sales also benefited from the success of our customer acquisition programs during the second quarter of 2006. Sales growth was mitigated however by a 38% decline in inbound consumer sales during the second quarter of 2006. This decrease reflects a reduction in the number of catalogs we distributed and an increased focus on more diverse marketing strategies and programs designed to reach our business customers. Sales productivity decreased year over year by 5% in the SMB segment, mostly due to the additional number of new hires added in the second quarter of 2006.</w:t>
      </w:r>
    </w:p>
    <w:p>
      <w:pPr>
        <w:spacing w:after="0" w:line="37" w:lineRule="exact"/>
        <w:rPr>
          <w:rFonts w:ascii="Arial" w:cs="Arial" w:eastAsia="Arial" w:hAnsi="Arial"/>
          <w:sz w:val="16"/>
          <w:szCs w:val="16"/>
          <w:color w:val="auto"/>
        </w:rPr>
      </w:pPr>
    </w:p>
    <w:p>
      <w:pPr>
        <w:ind w:left="780" w:hanging="326"/>
        <w:spacing w:after="0" w:line="256"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sales for our Large Account segment increased due to organic growth and the inclusion of sales generated by former Amherst sales representatives. Average annualized sales productivity increased 29% compared to the prior year quarter as its sales representatives increased revenues from existing customers and added new customers. Sales representatives for our Large Account segment totaled 88 at June 30, 2006, an increase from 69 at June 30, 2005.</w:t>
      </w:r>
    </w:p>
    <w:p>
      <w:pPr>
        <w:spacing w:after="0" w:line="62" w:lineRule="exact"/>
        <w:rPr>
          <w:rFonts w:ascii="Arial" w:cs="Arial" w:eastAsia="Arial" w:hAnsi="Arial"/>
          <w:sz w:val="18"/>
          <w:szCs w:val="18"/>
          <w:color w:val="auto"/>
        </w:rPr>
      </w:pPr>
    </w:p>
    <w:p>
      <w:pPr>
        <w:ind w:left="780" w:right="220" w:hanging="326"/>
        <w:spacing w:after="0" w:line="256"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sales for our Public Sector segment decreased slightly year over year during the second quarter of 2006 due to a 16% decrease in sales to the federal government, offset by an increase of 4% in sales to state and local governments and educational institutions. Public sector sales declined as a result of slight decreases in both productivity and sales representative headcount. Sales representatives for our Public Sector segment totaled 106 at June 30, 2006, a decrease from 109 at June 30, 2005.</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for the second quarter of 2006 increased compared to the second quarter of 2005 in both dollars and as a percentage of sales, in all three</w:t>
      </w:r>
      <w:r>
        <w:rPr>
          <w:rFonts w:ascii="Arial" w:cs="Arial" w:eastAsia="Arial" w:hAnsi="Arial"/>
          <w:sz w:val="18"/>
          <w:szCs w:val="18"/>
          <w:i w:val="1"/>
          <w:iCs w:val="1"/>
          <w:color w:val="auto"/>
        </w:rPr>
        <w:t xml:space="preserve"> </w:t>
      </w:r>
      <w:r>
        <w:rPr>
          <w:rFonts w:ascii="Arial" w:cs="Arial" w:eastAsia="Arial" w:hAnsi="Arial"/>
          <w:sz w:val="18"/>
          <w:szCs w:val="18"/>
          <w:color w:val="auto"/>
        </w:rPr>
        <w:t>segments, as explained by the following:</w:t>
      </w:r>
    </w:p>
    <w:p>
      <w:pPr>
        <w:spacing w:after="0" w:line="51" w:lineRule="exact"/>
        <w:rPr>
          <w:sz w:val="20"/>
          <w:szCs w:val="20"/>
          <w:color w:val="auto"/>
        </w:rPr>
      </w:pPr>
    </w:p>
    <w:p>
      <w:pPr>
        <w:ind w:left="780" w:right="20" w:hanging="326"/>
        <w:spacing w:after="0" w:line="298"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Gross profit for our SMB segment increased year over year due to increases in both sales and gross profit margins. Gross profit margins benefited from higher customer invoice margins, increased sales of higher-margin software, servers, and storage devices, and increased vendor consideration recorded as an offset to cost of sales. Growth in services revenue, although still a relatively small component compared to product sales for this segment, also improved gross profit margins in the second quarter of 2006 over the prior year period.</w:t>
      </w:r>
    </w:p>
    <w:p>
      <w:pPr>
        <w:spacing w:after="0" w:line="31" w:lineRule="exact"/>
        <w:rPr>
          <w:rFonts w:ascii="Arial" w:cs="Arial" w:eastAsia="Arial" w:hAnsi="Arial"/>
          <w:sz w:val="16"/>
          <w:szCs w:val="16"/>
          <w:color w:val="auto"/>
        </w:rPr>
      </w:pPr>
    </w:p>
    <w:p>
      <w:pPr>
        <w:ind w:left="780" w:right="160" w:hanging="326"/>
        <w:spacing w:after="0" w:line="25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for our Large Account segment increased by 68% year over year in dollars, largely due to its 64% increase in sales. Gross profit margins increased year over year by 24 basis points, as a percentage of sales, as increased service revenues and software agency fees, generated primarily by former Amherst personnel, contributed to higher gross margins in this segment.</w:t>
      </w:r>
    </w:p>
    <w:p>
      <w:pPr>
        <w:spacing w:after="0" w:line="59" w:lineRule="exact"/>
        <w:rPr>
          <w:rFonts w:ascii="Arial" w:cs="Arial" w:eastAsia="Arial" w:hAnsi="Arial"/>
          <w:sz w:val="18"/>
          <w:szCs w:val="18"/>
          <w:color w:val="auto"/>
        </w:rPr>
      </w:pPr>
    </w:p>
    <w:p>
      <w:pPr>
        <w:ind w:left="780" w:right="320" w:hanging="326"/>
        <w:spacing w:after="0" w:line="25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for our Public Sector segment increased year over year due to higher customer invoice margins and increased vendor consideration recorded as an offset to cost of sales. As a result, gross profit dollars increased in this segment, although we experienced a slight decrease in Public Sector sales during the second quarter of 2006.</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increased for the second quarter of 2006 and also increased as a percentage of sales as compared to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2005.</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SG&amp;A expenses attributable to our operating segments are summarized below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7"/>
          </w:tcPr>
          <w:p>
            <w:pPr>
              <w:jc w:val="right"/>
              <w:ind w:right="104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2006</w:t>
            </w:r>
          </w:p>
        </w:tc>
        <w:tc>
          <w:tcPr>
            <w:tcW w:w="52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54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 of Net</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 of Net</w:t>
            </w:r>
          </w:p>
        </w:tc>
        <w:tc>
          <w:tcPr>
            <w:tcW w:w="6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6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500" w:type="dxa"/>
            <w:vAlign w:val="bottom"/>
          </w:tcPr>
          <w:p>
            <w:pPr>
              <w:spacing w:after="0"/>
              <w:rPr>
                <w:sz w:val="14"/>
                <w:szCs w:val="14"/>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Sales</w:t>
            </w:r>
          </w:p>
        </w:tc>
        <w:tc>
          <w:tcPr>
            <w:tcW w:w="64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480" w:type="dxa"/>
            <w:vAlign w:val="bottom"/>
          </w:tcPr>
          <w:p>
            <w:pPr>
              <w:spacing w:after="0"/>
              <w:rPr>
                <w:sz w:val="14"/>
                <w:szCs w:val="14"/>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Sales</w:t>
            </w:r>
          </w:p>
        </w:tc>
        <w:tc>
          <w:tcPr>
            <w:tcW w:w="6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SMB</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28.3</w:t>
            </w:r>
          </w:p>
        </w:tc>
        <w:tc>
          <w:tcPr>
            <w:tcW w:w="16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24.6</w:t>
            </w:r>
          </w:p>
        </w:tc>
        <w:tc>
          <w:tcPr>
            <w:tcW w:w="16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Large Account</w:t>
            </w: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6.9</w:t>
            </w:r>
          </w:p>
        </w:tc>
        <w:tc>
          <w:tcPr>
            <w:tcW w:w="1660" w:type="dxa"/>
            <w:vAlign w:val="bottom"/>
            <w:gridSpan w:val="3"/>
          </w:tcPr>
          <w:p>
            <w:pPr>
              <w:jc w:val="right"/>
              <w:ind w:right="64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c>
          <w:tcPr>
            <w:tcW w:w="1640" w:type="dxa"/>
            <w:vAlign w:val="bottom"/>
            <w:gridSpan w:val="3"/>
          </w:tcPr>
          <w:p>
            <w:pPr>
              <w:jc w:val="right"/>
              <w:ind w:right="620"/>
              <w:spacing w:after="0"/>
              <w:rPr>
                <w:sz w:val="20"/>
                <w:szCs w:val="20"/>
                <w:color w:val="auto"/>
              </w:rPr>
            </w:pPr>
            <w:r>
              <w:rPr>
                <w:rFonts w:ascii="Arial" w:cs="Arial" w:eastAsia="Arial" w:hAnsi="Arial"/>
                <w:sz w:val="18"/>
                <w:szCs w:val="18"/>
                <w:color w:val="auto"/>
              </w:rPr>
              <w:t>5.0</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Public Sector</w:t>
            </w: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13.7</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44.5</w:t>
            </w:r>
          </w:p>
        </w:tc>
        <w:tc>
          <w:tcPr>
            <w:tcW w:w="1660" w:type="dxa"/>
            <w:vAlign w:val="bottom"/>
            <w:gridSpan w:val="3"/>
          </w:tcPr>
          <w:p>
            <w:pPr>
              <w:jc w:val="right"/>
              <w:ind w:right="50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37.4</w:t>
            </w:r>
          </w:p>
        </w:tc>
        <w:tc>
          <w:tcPr>
            <w:tcW w:w="1640" w:type="dxa"/>
            <w:vAlign w:val="bottom"/>
            <w:gridSpan w:val="3"/>
          </w:tcPr>
          <w:p>
            <w:pPr>
              <w:jc w:val="right"/>
              <w:ind w:right="480"/>
              <w:spacing w:after="0"/>
              <w:rPr>
                <w:sz w:val="20"/>
                <w:szCs w:val="20"/>
                <w:color w:val="auto"/>
              </w:rPr>
            </w:pPr>
            <w:r>
              <w:rPr>
                <w:rFonts w:ascii="Arial" w:cs="Arial" w:eastAsia="Arial" w:hAnsi="Arial"/>
                <w:sz w:val="18"/>
                <w:szCs w:val="18"/>
                <w:color w:val="auto"/>
              </w:rPr>
              <w:t>10.6%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780" w:right="20" w:hanging="326"/>
        <w:spacing w:after="0" w:line="306"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SG&amp;A expenses for our SMB segment increased year over year and were higher as a percentage of net sales in the second quarter of 2006 compared to the same period in 2005, primarily due to increased variable compensation associated with higher sales levels, increased investments in sales support systems and sales training, and incremental expenses associated with our new call center in Texas.</w:t>
      </w:r>
    </w:p>
    <w:p>
      <w:pPr>
        <w:spacing w:after="0" w:line="25" w:lineRule="exact"/>
        <w:rPr>
          <w:rFonts w:ascii="Arial" w:cs="Arial" w:eastAsia="Arial" w:hAnsi="Arial"/>
          <w:sz w:val="16"/>
          <w:szCs w:val="16"/>
          <w:color w:val="auto"/>
        </w:rPr>
      </w:pPr>
    </w:p>
    <w:p>
      <w:pPr>
        <w:ind w:left="780" w:right="40" w:hanging="326"/>
        <w:spacing w:after="0" w:line="306"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SG&amp;A expenses for our Large Account segment increased year over year in both dollars and as a percentage of net sales in the second quarter of 2006. These increases resulted largely from additional sales and service representatives added from our Amherst transaction. Incremental variable compensation associated with higher sales levels also increased operating expense dollars for this segment.</w:t>
      </w:r>
    </w:p>
    <w:p>
      <w:pPr>
        <w:spacing w:after="0" w:line="25" w:lineRule="exact"/>
        <w:rPr>
          <w:rFonts w:ascii="Arial" w:cs="Arial" w:eastAsia="Arial" w:hAnsi="Arial"/>
          <w:sz w:val="16"/>
          <w:szCs w:val="16"/>
          <w:color w:val="auto"/>
        </w:rPr>
      </w:pPr>
    </w:p>
    <w:p>
      <w:pPr>
        <w:ind w:left="780" w:right="140" w:hanging="326"/>
        <w:spacing w:after="0" w:line="25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SG&amp;A expenses for our Public Sector segment increased year over year in both dollars and as a percentage of net sales in the second quarter of 2006. Similar to the SMB segment, SG&amp;A expenses increased as a result of our investments in making our sales support systems more responsive and flexible.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the three months ended June 30, 2006, we recorded a charge of $0.5 million related to our review of a 2003 contract cancellation by the General Services Administration (“GSA”). See Note 8—“Commitments and Contingencies” for further discussion of this matter. There were no other significant changes in estimates in any of the periods presented. A roll forward of special charges for the second quarter of 2006 is shown below (in thousands of dollars).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Workforce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Amherst</w:t>
            </w: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GSA</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73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Reductions</w:t>
            </w:r>
          </w:p>
        </w:tc>
        <w:tc>
          <w:tcPr>
            <w:tcW w:w="2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Technologies</w:t>
            </w: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Review</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2006</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121</w:t>
            </w:r>
          </w:p>
        </w:tc>
        <w:tc>
          <w:tcPr>
            <w:tcW w:w="5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5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$1,130</w:t>
            </w:r>
          </w:p>
        </w:tc>
        <w:tc>
          <w:tcPr>
            <w:tcW w:w="60" w:type="dxa"/>
            <w:vAlign w:val="bottom"/>
            <w:shd w:val="clear" w:color="auto" w:fill="CCEEFF"/>
          </w:tcPr>
          <w:p>
            <w:pPr>
              <w:spacing w:after="0"/>
              <w:rPr>
                <w:sz w:val="18"/>
                <w:szCs w:val="18"/>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Charges</w:t>
            </w:r>
          </w:p>
        </w:tc>
        <w:tc>
          <w:tcPr>
            <w:tcW w:w="16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450</w:t>
            </w:r>
          </w:p>
        </w:tc>
        <w:tc>
          <w:tcPr>
            <w:tcW w:w="500" w:type="dxa"/>
            <w:vAlign w:val="bottom"/>
          </w:tcPr>
          <w:p>
            <w:pPr>
              <w:jc w:val="right"/>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18"/>
                <w:szCs w:val="18"/>
                <w:color w:val="auto"/>
              </w:rPr>
            </w:pPr>
          </w:p>
        </w:tc>
      </w:tr>
      <w:tr>
        <w:trPr>
          <w:trHeight w:val="216"/>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payments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(121)</w:t>
            </w:r>
          </w:p>
        </w:tc>
        <w:tc>
          <w:tcPr>
            <w:tcW w:w="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22"/>
        </w:trPr>
        <w:tc>
          <w:tcPr>
            <w:tcW w:w="7360" w:type="dxa"/>
            <w:vAlign w:val="bottom"/>
          </w:tcPr>
          <w:p>
            <w:pPr>
              <w:spacing w:after="0"/>
              <w:rPr>
                <w:sz w:val="20"/>
                <w:szCs w:val="20"/>
                <w:color w:val="auto"/>
              </w:rPr>
            </w:pPr>
            <w:r>
              <w:rPr>
                <w:rFonts w:ascii="Arial" w:cs="Arial" w:eastAsia="Arial" w:hAnsi="Arial"/>
                <w:sz w:val="18"/>
                <w:szCs w:val="18"/>
                <w:color w:val="auto"/>
              </w:rPr>
              <w:t>Liabilities at June 30, 2006</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$ 450</w:t>
            </w:r>
          </w:p>
        </w:tc>
        <w:tc>
          <w:tcPr>
            <w:tcW w:w="5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1,122</w:t>
            </w:r>
          </w:p>
        </w:tc>
        <w:tc>
          <w:tcPr>
            <w:tcW w:w="6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did not record any special charges in the three months ended June 30, 2005. Liabilities are included in accrued expenses and other liabilities on the balance sheet.</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increased by $2.8 million to $5.8 million for the second quarter of 2006 from $3.0 million for the second quarter of 2005. Income</w:t>
      </w:r>
      <w:r>
        <w:rPr>
          <w:rFonts w:ascii="Arial" w:cs="Arial" w:eastAsia="Arial" w:hAnsi="Arial"/>
          <w:sz w:val="18"/>
          <w:szCs w:val="18"/>
          <w:i w:val="1"/>
          <w:iCs w:val="1"/>
          <w:color w:val="auto"/>
        </w:rPr>
        <w:t xml:space="preserve"> </w:t>
      </w:r>
      <w:r>
        <w:rPr>
          <w:rFonts w:ascii="Arial" w:cs="Arial" w:eastAsia="Arial" w:hAnsi="Arial"/>
          <w:sz w:val="18"/>
          <w:szCs w:val="18"/>
          <w:color w:val="auto"/>
        </w:rPr>
        <w:t>from operations as a percentage of net sales increased to 1.4% for the second quarter of 2006 from 0.9% for the second quarter of 2005. This increase was attributable to the changes in net sales, gross margin, and SG&amp;A expenses as discussed above.</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increased due to higher average borrowings outstanding and increased interest rates in the second quarter of 2006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2005.</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effective tax rate was 41.4% for the second quarter of 2006 and 43.1% for the second quarter of 2005.</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increased to $3.1 million for the second quarter of 2006 from $1.6 million for the second quarter of 2005, principally as a result of the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income from operations.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Six Months Ended June 30, 2006 Compared to Six Months Ended June 30, 2005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net sales and gross profit by business segment are shown in the following table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9"/>
          </w:tcPr>
          <w:p>
            <w:pPr>
              <w:jc w:val="right"/>
              <w:ind w:right="960"/>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5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54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jc w:val="right"/>
              <w:spacing w:after="0" w:line="116" w:lineRule="exact"/>
              <w:rPr>
                <w:sz w:val="20"/>
                <w:szCs w:val="20"/>
                <w:color w:val="auto"/>
              </w:rPr>
            </w:pPr>
            <w:r>
              <w:rPr>
                <w:rFonts w:ascii="Arial" w:cs="Arial" w:eastAsia="Arial" w:hAnsi="Arial"/>
                <w:sz w:val="12"/>
                <w:szCs w:val="12"/>
                <w:b w:val="1"/>
                <w:bCs w:val="1"/>
                <w:color w:val="auto"/>
              </w:rPr>
              <w:t>% of Net</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jc w:val="right"/>
              <w:spacing w:after="0" w:line="116" w:lineRule="exact"/>
              <w:rPr>
                <w:sz w:val="20"/>
                <w:szCs w:val="20"/>
                <w:color w:val="auto"/>
              </w:rPr>
            </w:pPr>
            <w:r>
              <w:rPr>
                <w:rFonts w:ascii="Arial" w:cs="Arial" w:eastAsia="Arial" w:hAnsi="Arial"/>
                <w:sz w:val="12"/>
                <w:szCs w:val="12"/>
                <w:b w:val="1"/>
                <w:bCs w:val="1"/>
                <w:color w:val="auto"/>
              </w:rPr>
              <w:t>% of Net</w:t>
            </w:r>
          </w:p>
        </w:tc>
        <w:tc>
          <w:tcPr>
            <w:tcW w:w="5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5"/>
                <w:szCs w:val="15"/>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Sales</w:t>
            </w:r>
          </w:p>
        </w:tc>
        <w:tc>
          <w:tcPr>
            <w:tcW w:w="200" w:type="dxa"/>
            <w:vAlign w:val="bottom"/>
          </w:tcPr>
          <w:p>
            <w:pPr>
              <w:spacing w:after="0"/>
              <w:rPr>
                <w:sz w:val="15"/>
                <w:szCs w:val="15"/>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5"/>
                <w:szCs w:val="15"/>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Sales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440"/>
              <w:spacing w:after="0"/>
              <w:rPr>
                <w:sz w:val="20"/>
                <w:szCs w:val="20"/>
                <w:color w:val="auto"/>
              </w:rPr>
            </w:pPr>
            <w:r>
              <w:rPr>
                <w:rFonts w:ascii="Arial" w:cs="Arial" w:eastAsia="Arial" w:hAnsi="Arial"/>
                <w:sz w:val="18"/>
                <w:szCs w:val="18"/>
                <w:color w:val="auto"/>
              </w:rPr>
              <w:t>SMB</w:t>
            </w:r>
          </w:p>
        </w:tc>
        <w:tc>
          <w:tcPr>
            <w:tcW w:w="3400" w:type="dxa"/>
            <w:vAlign w:val="bottom"/>
            <w:gridSpan w:val="2"/>
          </w:tcPr>
          <w:p>
            <w:pPr>
              <w:ind w:left="330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434.2</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55.1%</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407.7</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60.4%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Large Account</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236.7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154.8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3560" w:type="dxa"/>
            <w:vAlign w:val="bottom"/>
          </w:tcPr>
          <w:p>
            <w:pPr>
              <w:ind w:left="440"/>
              <w:spacing w:after="0"/>
              <w:rPr>
                <w:sz w:val="20"/>
                <w:szCs w:val="20"/>
                <w:color w:val="auto"/>
              </w:rPr>
            </w:pPr>
            <w:r>
              <w:rPr>
                <w:rFonts w:ascii="Arial" w:cs="Arial" w:eastAsia="Arial" w:hAnsi="Arial"/>
                <w:sz w:val="18"/>
                <w:szCs w:val="18"/>
                <w:color w:val="auto"/>
              </w:rPr>
              <w:t>Public Sector</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117.7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112.1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5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788.6</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674.6</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60" w:type="dxa"/>
            <w:vAlign w:val="bottom"/>
            <w:vMerge w:val="continue"/>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SMB</w:t>
            </w:r>
          </w:p>
        </w:tc>
        <w:tc>
          <w:tcPr>
            <w:tcW w:w="340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3560" w:type="dxa"/>
            <w:vAlign w:val="bottom"/>
          </w:tcPr>
          <w:p>
            <w:pPr>
              <w:ind w:left="440"/>
              <w:spacing w:after="0"/>
              <w:rPr>
                <w:sz w:val="20"/>
                <w:szCs w:val="20"/>
                <w:color w:val="auto"/>
              </w:rPr>
            </w:pPr>
            <w:r>
              <w:rPr>
                <w:rFonts w:ascii="Arial" w:cs="Arial" w:eastAsia="Arial" w:hAnsi="Arial"/>
                <w:sz w:val="18"/>
                <w:szCs w:val="18"/>
                <w:color w:val="auto"/>
              </w:rPr>
              <w:t>Large Account</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5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Public Sector</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35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3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3"/>
            <w:vMerge w:val="restart"/>
          </w:tcPr>
          <w:p>
            <w:pPr>
              <w:jc w:val="right"/>
              <w:ind w:right="400"/>
              <w:spacing w:after="0"/>
              <w:rPr>
                <w:sz w:val="20"/>
                <w:szCs w:val="20"/>
                <w:color w:val="auto"/>
              </w:rPr>
            </w:pPr>
            <w:r>
              <w:rPr>
                <w:rFonts w:ascii="Arial" w:cs="Arial" w:eastAsia="Arial" w:hAnsi="Arial"/>
                <w:sz w:val="18"/>
                <w:szCs w:val="18"/>
                <w:color w:val="auto"/>
              </w:rPr>
              <w:t>11.5%</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line="20" w:lineRule="exact"/>
              <w:rPr>
                <w:sz w:val="1"/>
                <w:szCs w:val="1"/>
                <w:color w:val="auto"/>
              </w:rPr>
            </w:pPr>
          </w:p>
        </w:tc>
      </w:tr>
      <w:tr>
        <w:trPr>
          <w:trHeight w:val="221"/>
        </w:trPr>
        <w:tc>
          <w:tcPr>
            <w:tcW w:w="3560" w:type="dxa"/>
            <w:vAlign w:val="bottom"/>
            <w:vMerge w:val="continue"/>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97.2</w:t>
            </w:r>
          </w:p>
        </w:tc>
        <w:tc>
          <w:tcPr>
            <w:tcW w:w="1240" w:type="dxa"/>
            <w:vAlign w:val="bottom"/>
            <w:gridSpan w:val="3"/>
            <w:vMerge w:val="continue"/>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77.7</w:t>
            </w:r>
          </w:p>
        </w:tc>
        <w:tc>
          <w:tcPr>
            <w:tcW w:w="1440" w:type="dxa"/>
            <w:vAlign w:val="bottom"/>
            <w:gridSpan w:val="3"/>
            <w:vMerge w:val="continue"/>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300" w:type="dxa"/>
            <w:vAlign w:val="bottom"/>
            <w:vMerge w:val="restart"/>
          </w:tcPr>
          <w:p>
            <w:pPr>
              <w:jc w:val="right"/>
              <w:ind w:right="972"/>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6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for the six months ended June 30, 2006 increased compared to the six months ended June 30, 2005, in all three segments, as explained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51" w:lineRule="exact"/>
        <w:rPr>
          <w:sz w:val="20"/>
          <w:szCs w:val="20"/>
          <w:color w:val="auto"/>
        </w:rPr>
      </w:pPr>
    </w:p>
    <w:p>
      <w:pPr>
        <w:ind w:left="780" w:right="100" w:hanging="326"/>
        <w:spacing w:after="0" w:line="256"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sales for our SMB segment benefited from an increase in sales representatives in the first half of 2006 over prior year levels. Sales representatives for our SMB segment totaled 465 at June 30, 2006, compared to 424 at June 30, 2005, and as a result, corporate outbound sales increased year over year in the six months ended June 30, 2006. Revenues were mitigated by a year-over-year decrease in inbound consumer sales during the first half of 2006.</w:t>
      </w:r>
    </w:p>
    <w:p>
      <w:pPr>
        <w:spacing w:after="0" w:line="62" w:lineRule="exact"/>
        <w:rPr>
          <w:rFonts w:ascii="Arial" w:cs="Arial" w:eastAsia="Arial" w:hAnsi="Arial"/>
          <w:sz w:val="18"/>
          <w:szCs w:val="18"/>
          <w:color w:val="auto"/>
        </w:rPr>
      </w:pPr>
    </w:p>
    <w:p>
      <w:pPr>
        <w:ind w:left="780" w:hanging="326"/>
        <w:spacing w:after="0" w:line="256"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sales for our Large Account segment increased due to organic growth and the inclusion of sales generated by former Amherst sales representatives. This segment experienced increased demand from existing customers. In addition, being able to offer a greater range of services as a result of our Amherst transaction has also increased sales in our Large Account business. Sales representatives for this segment totaled 88 at June 30, 2006, an increase from 69 at June 30, 2005.</w:t>
      </w:r>
    </w:p>
    <w:p>
      <w:pPr>
        <w:spacing w:after="0" w:line="62"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sales for our Public Sector segment increased during the first half of 2006 due to a 6.0% increase in sales to state and local governments and educational institutions and a 1% increase in sales to the federal government from prior year levels. Sales representatives for our Public Sector segment totaled 106 at June 30, 2006, a decrease from 109 at June 30, 2005.</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for the six months ended June 30, 2006 increased compared to the six months ended June 30, 2005 in both dollars and as a percentage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in all three segments, as explained by the following:</w:t>
      </w:r>
    </w:p>
    <w:p>
      <w:pPr>
        <w:spacing w:after="0" w:line="51" w:lineRule="exact"/>
        <w:rPr>
          <w:sz w:val="20"/>
          <w:szCs w:val="20"/>
          <w:color w:val="auto"/>
        </w:rPr>
      </w:pPr>
    </w:p>
    <w:p>
      <w:pPr>
        <w:ind w:left="780" w:right="160" w:hanging="326"/>
        <w:spacing w:after="0" w:line="25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profit for our SMB segment increased year over year due to increases in both sales and gross profit margins. Gross profit margins as a percentage of sales benefited from higher customer invoice margins, increased sales of higher-margin software and accessories, and increased vendor consideration recorded as an offset to cost of sales.</w:t>
      </w:r>
    </w:p>
    <w:p>
      <w:pPr>
        <w:spacing w:after="0" w:line="59" w:lineRule="exact"/>
        <w:rPr>
          <w:rFonts w:ascii="Arial" w:cs="Arial" w:eastAsia="Arial" w:hAnsi="Arial"/>
          <w:sz w:val="18"/>
          <w:szCs w:val="18"/>
          <w:color w:val="auto"/>
        </w:rPr>
      </w:pPr>
    </w:p>
    <w:p>
      <w:pPr>
        <w:jc w:val="both"/>
        <w:ind w:left="780" w:right="180" w:hanging="326"/>
        <w:spacing w:after="0" w:line="306"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Gross profit for our Large Account segment increased by 55% year over year in dollars as large account revenues increased by 53% during the same period. Gross profit margins increased by 14 basis points, as a percentage of sales, as increased service revenues and software agency fees, generated primarily by former Amherst personnel, contributed to higher gross margins in the first half of 2006.</w:t>
      </w:r>
    </w:p>
    <w:p>
      <w:pPr>
        <w:spacing w:after="0" w:line="25" w:lineRule="exact"/>
        <w:rPr>
          <w:rFonts w:ascii="Arial" w:cs="Arial" w:eastAsia="Arial" w:hAnsi="Arial"/>
          <w:sz w:val="16"/>
          <w:szCs w:val="16"/>
          <w:color w:val="auto"/>
        </w:rPr>
      </w:pPr>
    </w:p>
    <w:p>
      <w:pPr>
        <w:ind w:left="780" w:right="180" w:hanging="326"/>
        <w:spacing w:after="0" w:line="25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profit for our Public Sector segment increased year over year due to increases in sales and gross profit margins. Higher customer invoice margins and increased vendor consideration recorded as an offset to cost of sales contributed to the year-over-year increase in gross profit margins in the first half of 2006.</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increased for the six months ended June 30, 2006 and also increased as a percentage of sales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2005.</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SG&amp;A expenses attributable to our operating segments are summarized below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jc w:val="right"/>
              <w:ind w:right="1120"/>
              <w:spacing w:after="0"/>
              <w:rPr>
                <w:sz w:val="20"/>
                <w:szCs w:val="20"/>
                <w:color w:val="auto"/>
              </w:rPr>
            </w:pPr>
            <w:r>
              <w:rPr>
                <w:rFonts w:ascii="Arial" w:cs="Arial" w:eastAsia="Arial" w:hAnsi="Arial"/>
                <w:sz w:val="14"/>
                <w:szCs w:val="14"/>
                <w:b w:val="1"/>
                <w:bCs w:val="1"/>
                <w:color w:val="auto"/>
                <w:w w:val="89"/>
              </w:rPr>
              <w:t>Six Months Ended June 30,</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6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2006</w:t>
            </w:r>
          </w:p>
        </w:tc>
        <w:tc>
          <w:tcPr>
            <w:tcW w:w="52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54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29"/>
        </w:trPr>
        <w:tc>
          <w:tcPr>
            <w:tcW w:w="6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 of Net</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w w:val="89"/>
              </w:rPr>
              <w:t>% of Net</w:t>
            </w:r>
          </w:p>
        </w:tc>
        <w:tc>
          <w:tcPr>
            <w:tcW w:w="460" w:type="dxa"/>
            <w:vAlign w:val="bottom"/>
          </w:tcPr>
          <w:p>
            <w:pPr>
              <w:jc w:val="right"/>
              <w:ind w:right="79"/>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r>
      <w:tr>
        <w:trPr>
          <w:trHeight w:val="175"/>
        </w:trPr>
        <w:tc>
          <w:tcPr>
            <w:tcW w:w="6560" w:type="dxa"/>
            <w:vAlign w:val="bottom"/>
          </w:tcPr>
          <w:p>
            <w:pPr>
              <w:spacing w:after="0"/>
              <w:rPr>
                <w:sz w:val="15"/>
                <w:szCs w:val="15"/>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500" w:type="dxa"/>
            <w:vAlign w:val="bottom"/>
          </w:tcPr>
          <w:p>
            <w:pPr>
              <w:spacing w:after="0"/>
              <w:rPr>
                <w:sz w:val="15"/>
                <w:szCs w:val="15"/>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Sales</w:t>
            </w:r>
          </w:p>
        </w:tc>
        <w:tc>
          <w:tcPr>
            <w:tcW w:w="640" w:type="dxa"/>
            <w:vAlign w:val="bottom"/>
          </w:tcPr>
          <w:p>
            <w:pPr>
              <w:spacing w:after="0"/>
              <w:rPr>
                <w:sz w:val="15"/>
                <w:szCs w:val="15"/>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480" w:type="dxa"/>
            <w:vAlign w:val="bottom"/>
          </w:tcPr>
          <w:p>
            <w:pPr>
              <w:spacing w:after="0"/>
              <w:rPr>
                <w:sz w:val="15"/>
                <w:szCs w:val="15"/>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Sales</w:t>
            </w:r>
          </w:p>
        </w:tc>
        <w:tc>
          <w:tcPr>
            <w:tcW w:w="62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5"/>
                <w:szCs w:val="15"/>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SMB</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54.9</w:t>
            </w:r>
          </w:p>
        </w:tc>
        <w:tc>
          <w:tcPr>
            <w:tcW w:w="166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48.0</w:t>
            </w:r>
          </w:p>
        </w:tc>
        <w:tc>
          <w:tcPr>
            <w:tcW w:w="16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Large Account</w:t>
            </w: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13.8</w:t>
            </w:r>
          </w:p>
        </w:tc>
        <w:tc>
          <w:tcPr>
            <w:tcW w:w="1660" w:type="dxa"/>
            <w:vAlign w:val="bottom"/>
            <w:gridSpan w:val="3"/>
          </w:tcPr>
          <w:p>
            <w:pPr>
              <w:jc w:val="right"/>
              <w:ind w:right="57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7.9</w:t>
            </w:r>
          </w:p>
        </w:tc>
        <w:tc>
          <w:tcPr>
            <w:tcW w:w="1640" w:type="dxa"/>
            <w:vAlign w:val="bottom"/>
            <w:gridSpan w:val="3"/>
          </w:tcPr>
          <w:p>
            <w:pPr>
              <w:jc w:val="right"/>
              <w:ind w:right="620"/>
              <w:spacing w:after="0"/>
              <w:rPr>
                <w:sz w:val="20"/>
                <w:szCs w:val="20"/>
                <w:color w:val="auto"/>
              </w:rPr>
            </w:pPr>
            <w:r>
              <w:rPr>
                <w:rFonts w:ascii="Arial" w:cs="Arial" w:eastAsia="Arial" w:hAnsi="Arial"/>
                <w:sz w:val="18"/>
                <w:szCs w:val="18"/>
                <w:color w:val="auto"/>
              </w:rPr>
              <w:t>5.1</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74.7</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Public Sector</w:t>
            </w: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17.8</w:t>
            </w:r>
          </w:p>
        </w:tc>
        <w:tc>
          <w:tcPr>
            <w:tcW w:w="1660" w:type="dxa"/>
            <w:vAlign w:val="bottom"/>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16.9</w:t>
            </w:r>
          </w:p>
        </w:tc>
        <w:tc>
          <w:tcPr>
            <w:tcW w:w="16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15.1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r>
      <w:tr>
        <w:trPr>
          <w:trHeight w:val="222"/>
        </w:trPr>
        <w:tc>
          <w:tcPr>
            <w:tcW w:w="656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86.5</w:t>
            </w:r>
          </w:p>
        </w:tc>
        <w:tc>
          <w:tcPr>
            <w:tcW w:w="1660" w:type="dxa"/>
            <w:vAlign w:val="bottom"/>
            <w:gridSpan w:val="3"/>
          </w:tcPr>
          <w:p>
            <w:pPr>
              <w:jc w:val="right"/>
              <w:ind w:right="432"/>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72.8</w:t>
            </w:r>
          </w:p>
        </w:tc>
        <w:tc>
          <w:tcPr>
            <w:tcW w:w="1640" w:type="dxa"/>
            <w:vAlign w:val="bottom"/>
            <w:gridSpan w:val="3"/>
          </w:tcPr>
          <w:p>
            <w:pPr>
              <w:jc w:val="right"/>
              <w:ind w:right="480"/>
              <w:spacing w:after="0"/>
              <w:rPr>
                <w:sz w:val="20"/>
                <w:szCs w:val="20"/>
                <w:color w:val="auto"/>
              </w:rPr>
            </w:pPr>
            <w:r>
              <w:rPr>
                <w:rFonts w:ascii="Arial" w:cs="Arial" w:eastAsia="Arial" w:hAnsi="Arial"/>
                <w:sz w:val="18"/>
                <w:szCs w:val="18"/>
                <w:color w:val="auto"/>
              </w:rPr>
              <w:t>10.8%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18.8%</w:t>
            </w:r>
          </w:p>
        </w:tc>
      </w:tr>
      <w:tr>
        <w:trPr>
          <w:trHeight w:val="20"/>
        </w:trPr>
        <w:tc>
          <w:tcPr>
            <w:tcW w:w="6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86" w:lineRule="exact"/>
        <w:rPr>
          <w:sz w:val="20"/>
          <w:szCs w:val="20"/>
          <w:color w:val="auto"/>
        </w:rPr>
      </w:pPr>
    </w:p>
    <w:p>
      <w:pPr>
        <w:ind w:left="780" w:right="200" w:hanging="326"/>
        <w:spacing w:after="0" w:line="370" w:lineRule="auto"/>
        <w:tabs>
          <w:tab w:leader="none" w:pos="780" w:val="left"/>
        </w:tabs>
        <w:numPr>
          <w:ilvl w:val="0"/>
          <w:numId w:val="8"/>
        </w:numPr>
        <w:rPr>
          <w:rFonts w:ascii="Arial" w:cs="Arial" w:eastAsia="Arial" w:hAnsi="Arial"/>
          <w:sz w:val="15"/>
          <w:szCs w:val="15"/>
          <w:color w:val="auto"/>
        </w:rPr>
      </w:pPr>
      <w:r>
        <w:rPr>
          <w:rFonts w:ascii="Arial" w:cs="Arial" w:eastAsia="Arial" w:hAnsi="Arial"/>
          <w:sz w:val="15"/>
          <w:szCs w:val="15"/>
          <w:color w:val="auto"/>
        </w:rPr>
        <w:t>SG&amp;A expenses for our SMB segment increased in dollars year over year, and were higher as a percentage of net sales in the first half of 2006 compared to the same period in 2005, primarily due to increased investments made in our sales systems and services, as well as incremental variable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
        <w:spacing w:after="0" w:line="259" w:lineRule="auto"/>
        <w:rPr>
          <w:sz w:val="20"/>
          <w:szCs w:val="20"/>
          <w:color w:val="auto"/>
        </w:rPr>
      </w:pPr>
      <w:r>
        <w:rPr>
          <w:rFonts w:ascii="Arial" w:cs="Arial" w:eastAsia="Arial" w:hAnsi="Arial"/>
          <w:sz w:val="18"/>
          <w:szCs w:val="18"/>
          <w:color w:val="auto"/>
        </w:rPr>
        <w:t>compensation associated with increased revenues. Our investments in making our sales support systems more responsive and flexible are expected to provide a better buying experience for our customers and increase the productivity and retention of our sales force. SG&amp;A expenses also increased due to our opening of a new sales office in Texas.</w:t>
      </w:r>
    </w:p>
    <w:p>
      <w:pPr>
        <w:spacing w:after="0" w:line="73" w:lineRule="exact"/>
        <w:rPr>
          <w:sz w:val="20"/>
          <w:szCs w:val="20"/>
          <w:color w:val="auto"/>
        </w:rPr>
      </w:pPr>
    </w:p>
    <w:p>
      <w:pPr>
        <w:ind w:left="780" w:right="480" w:hanging="326"/>
        <w:spacing w:after="0" w:line="298" w:lineRule="auto"/>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SG&amp;A expenses for our Large Account segment increased year over year in both dollars and as a percentage of net sales in the first half of 2006 compared to the prior year period. These increases resulted largely from the additional sales and service representatives added from our Amherst transaction. SG&amp;A expenses for this segment represent the lowest of the three segments as a percentage of net sales, reflecting the nature and efficiency of this segment’s variable cost field sales and drop-shipping operating model.</w:t>
      </w:r>
    </w:p>
    <w:p>
      <w:pPr>
        <w:spacing w:after="0" w:line="31" w:lineRule="exact"/>
        <w:rPr>
          <w:rFonts w:ascii="Arial" w:cs="Arial" w:eastAsia="Arial" w:hAnsi="Arial"/>
          <w:sz w:val="16"/>
          <w:szCs w:val="16"/>
          <w:color w:val="auto"/>
        </w:rPr>
      </w:pPr>
    </w:p>
    <w:p>
      <w:pPr>
        <w:ind w:left="780" w:right="420" w:hanging="326"/>
        <w:spacing w:after="0" w:line="25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SG&amp;A expenses for our Public Sector segment increased year over year, but were unchanged as a percentage of net sales in the first half of 2006. Similar to the SMB segment, SG&amp;A expenses increased as a result of our investments in making our sales support systems more responsive and flexible, as well as incremental variable compensation associated with higher revenues.</w:t>
      </w:r>
    </w:p>
    <w:p>
      <w:pPr>
        <w:spacing w:after="0" w:line="140" w:lineRule="exact"/>
        <w:rPr>
          <w:sz w:val="20"/>
          <w:szCs w:val="20"/>
          <w:color w:val="auto"/>
        </w:rPr>
      </w:pPr>
    </w:p>
    <w:p>
      <w:pPr>
        <w:jc w:val="both"/>
        <w:ind w:right="100" w:firstLine="456"/>
        <w:spacing w:after="0" w:line="318" w:lineRule="auto"/>
        <w:rPr>
          <w:sz w:val="20"/>
          <w:szCs w:val="20"/>
          <w:color w:val="auto"/>
        </w:rPr>
      </w:pPr>
      <w:r>
        <w:rPr>
          <w:rFonts w:ascii="Arial" w:cs="Arial" w:eastAsia="Arial" w:hAnsi="Arial"/>
          <w:sz w:val="15"/>
          <w:szCs w:val="15"/>
          <w:color w:val="auto"/>
        </w:rPr>
        <w:t>In the six months ended June 30, 2006, we recorded a charge of $0.5 million related to our review of a 2003 contract cancellation by the GSA. See Note 8 —“Commitments and Contingencies” for further discussion of this matter. We also recorded a charge of $0.4 million related to the temporary retention of certain Amherst Technologies facilities and a charge of $0.5 million related to management restructuring costs, classified as workforce reductions in the table below. At the year ended December 31, 2005, we recorded a liability of $0.1 million for a workforce reduction charge, which we reversed in the first quarter of 2006, when a change in circumstances reduced the amount outstanding. A roll forward of special charges for the period presented is shown below (in thousands of dollars).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Workforce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Amherst</w:t>
            </w:r>
          </w:p>
        </w:tc>
        <w:tc>
          <w:tcPr>
            <w:tcW w:w="300" w:type="dxa"/>
            <w:vAlign w:val="bottom"/>
          </w:tcPr>
          <w:p>
            <w:pPr>
              <w:spacing w:after="0"/>
              <w:rPr>
                <w:sz w:val="14"/>
                <w:szCs w:val="14"/>
                <w:color w:val="auto"/>
              </w:rPr>
            </w:pPr>
          </w:p>
        </w:tc>
        <w:tc>
          <w:tcPr>
            <w:tcW w:w="440" w:type="dxa"/>
            <w:vAlign w:val="bottom"/>
            <w:gridSpan w:val="2"/>
          </w:tcPr>
          <w:p>
            <w:pPr>
              <w:ind w:left="80"/>
              <w:spacing w:after="0"/>
              <w:rPr>
                <w:sz w:val="20"/>
                <w:szCs w:val="20"/>
                <w:color w:val="auto"/>
              </w:rPr>
            </w:pPr>
            <w:r>
              <w:rPr>
                <w:rFonts w:ascii="Arial" w:cs="Arial" w:eastAsia="Arial" w:hAnsi="Arial"/>
                <w:sz w:val="14"/>
                <w:szCs w:val="14"/>
                <w:b w:val="1"/>
                <w:bCs w:val="1"/>
                <w:color w:val="auto"/>
              </w:rPr>
              <w:t>GSA</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040" w:type="dxa"/>
            <w:vAlign w:val="bottom"/>
          </w:tcPr>
          <w:p>
            <w:pPr>
              <w:spacing w:after="0"/>
              <w:rPr>
                <w:sz w:val="15"/>
                <w:szCs w:val="15"/>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Reductions</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79"/>
              </w:rPr>
              <w:t>Technologies</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2"/>
              </w:rPr>
              <w:t>Review</w:t>
            </w:r>
          </w:p>
        </w:tc>
        <w:tc>
          <w:tcPr>
            <w:tcW w:w="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Charges</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w w:val="79"/>
              </w:rPr>
              <w:t>450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payments</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(1,217)</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color w:val="auto"/>
              </w:rPr>
              <w:t>Liabilities at June 30, 2006</w:t>
            </w: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672</w:t>
            </w:r>
          </w:p>
        </w:tc>
        <w:tc>
          <w:tcPr>
            <w:tcW w:w="360" w:type="dxa"/>
            <w:vAlign w:val="bottom"/>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w w:val="79"/>
              </w:rPr>
              <w:t>450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did not record any special charges in the six months ended June 30, 2005. Liabilities are included in accrued expenses and other liabilities on the balance sheet.</w:t>
      </w:r>
    </w:p>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 xml:space="preserve">Income from operations </w:t>
      </w:r>
      <w:r>
        <w:rPr>
          <w:rFonts w:ascii="Arial" w:cs="Arial" w:eastAsia="Arial" w:hAnsi="Arial"/>
          <w:sz w:val="16"/>
          <w:szCs w:val="16"/>
          <w:color w:val="auto"/>
        </w:rPr>
        <w:t>increased by $4.4 million to $9.3 million for the six months ended June 30, 2006 from $4.9 million for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June 30, 2005. Income from operations as a percentage of net sales increased year over year to 1.2% for the first half of 2006 from 0.7% for the first half of 2005.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attributable to the changes in net sales, gross margin, and SG&amp;A expenses as discussed above.</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increased due to higher average borrowings outstanding and increased interest rates in the six months ended June 30, 2006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2005.</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effective tax rate was 41.6% for the six months ended June 30, 2006 and 42.5% for the six months ended June 30, 2005.</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increased to $4.8 million for the six months ended June 30, 2006 from $2.5 million for the six months ended June 30, 2005, principally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the increase in income from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primary sources of liquidity have historically been internally generated funds from operations and borrowings under our bank line of credit. We have used those funds to meet our capital requirements, which consist primarily of working capital for operational needs, capital expenditures for computer equipment and software used in our business, and recently, our purchase of certain assets of Amherst Technologies.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believe that funds generated from operations, together with available credit under our bank line of credit and inventory trade credit agreements, will be sufficient to finance our working capital, capital expenditure, and other requirements for at least the next twelve months. We expect our capital needs for the next twelve months to consist primarily of capital expenditures of $4.0 to $5.0 million and payments on capital and operating lease obligations of approximately $4.4 million. We expect to meet our cash requirements for the next twelve months through a combination of cash on hand, cash generated from operations and, if necessary, additional borrowings on our bank line of credit, as follows:</w:t>
      </w:r>
    </w:p>
    <w:p>
      <w:pPr>
        <w:spacing w:after="0" w:line="35"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Cash on Hand</w:t>
      </w:r>
      <w:r>
        <w:rPr>
          <w:rFonts w:ascii="Arial" w:cs="Arial" w:eastAsia="Arial" w:hAnsi="Arial"/>
          <w:sz w:val="18"/>
          <w:szCs w:val="18"/>
          <w:color w:val="auto"/>
        </w:rPr>
        <w:t>. At June 30, 2006, we had approximately $8.5 million in unrestricted accounts.</w:t>
      </w:r>
    </w:p>
    <w:p>
      <w:pPr>
        <w:spacing w:after="0" w:line="90" w:lineRule="exact"/>
        <w:rPr>
          <w:rFonts w:ascii="Arial" w:cs="Arial" w:eastAsia="Arial" w:hAnsi="Arial"/>
          <w:sz w:val="18"/>
          <w:szCs w:val="18"/>
          <w:color w:val="auto"/>
        </w:rPr>
      </w:pPr>
    </w:p>
    <w:p>
      <w:pPr>
        <w:ind w:left="780" w:right="260" w:hanging="326"/>
        <w:spacing w:after="0" w:line="25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Cash Generated from Operations</w:t>
      </w:r>
      <w:r>
        <w:rPr>
          <w:rFonts w:ascii="Arial" w:cs="Arial" w:eastAsia="Arial" w:hAnsi="Arial"/>
          <w:sz w:val="18"/>
          <w:szCs w:val="18"/>
          <w:color w:val="auto"/>
        </w:rPr>
        <w:t>. We expect to generate cash flows from operations in excess of operating cash needs by generating earnings and</w:t>
      </w:r>
      <w:r>
        <w:rPr>
          <w:rFonts w:ascii="Arial" w:cs="Arial" w:eastAsia="Arial" w:hAnsi="Arial"/>
          <w:sz w:val="18"/>
          <w:szCs w:val="18"/>
          <w:i w:val="1"/>
          <w:iCs w:val="1"/>
          <w:color w:val="auto"/>
        </w:rPr>
        <w:t xml:space="preserve"> </w:t>
      </w:r>
      <w:r>
        <w:rPr>
          <w:rFonts w:ascii="Arial" w:cs="Arial" w:eastAsia="Arial" w:hAnsi="Arial"/>
          <w:sz w:val="18"/>
          <w:szCs w:val="18"/>
          <w:color w:val="auto"/>
        </w:rPr>
        <w:t>balancing net changes in inventories and receivables with compensating changes in payables to generate a positive cash flow. Historically, we have consistently generated positive cash flows from operations.</w:t>
      </w:r>
    </w:p>
    <w:p>
      <w:pPr>
        <w:spacing w:after="0" w:line="59" w:lineRule="exact"/>
        <w:rPr>
          <w:rFonts w:ascii="Arial" w:cs="Arial" w:eastAsia="Arial" w:hAnsi="Arial"/>
          <w:sz w:val="18"/>
          <w:szCs w:val="18"/>
          <w:color w:val="auto"/>
        </w:rPr>
      </w:pPr>
    </w:p>
    <w:p>
      <w:pPr>
        <w:ind w:left="780" w:right="80" w:hanging="326"/>
        <w:spacing w:after="0" w:line="25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 As of June 30, 2006, we had drawn $18.0 million of our $50.0 million bank line of credit. This line of credit can be increased, at our</w:t>
      </w:r>
      <w:r>
        <w:rPr>
          <w:rFonts w:ascii="Arial" w:cs="Arial" w:eastAsia="Arial" w:hAnsi="Arial"/>
          <w:sz w:val="18"/>
          <w:szCs w:val="18"/>
          <w:i w:val="1"/>
          <w:iCs w:val="1"/>
          <w:color w:val="auto"/>
        </w:rPr>
        <w:t xml:space="preserve"> </w:t>
      </w:r>
      <w:r>
        <w:rPr>
          <w:rFonts w:ascii="Arial" w:cs="Arial" w:eastAsia="Arial" w:hAnsi="Arial"/>
          <w:sz w:val="18"/>
          <w:szCs w:val="18"/>
          <w:color w:val="auto"/>
        </w:rPr>
        <w:t>option, to $70.0 million for approved acquisitions or other uses authorized by the bank. Borrowings are, however, limited by certain minimum collateral and earnings requirements, as described more fully below.</w:t>
      </w:r>
    </w:p>
    <w:p>
      <w:pPr>
        <w:spacing w:after="0" w:line="14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Our ability to continue funding our planned growth, both internally and externally, is dependent upon our ability to generate sufficient cash flow from operations or to obtain additional funds through equity or debt financing, or from other sources of financing, as may be required. While at this time we do not anticipate needing any additional sources of financing to fund our operations, if demand for information technology products declines, our cash flows from operations may be substantially affected. See also related risks listed below at Item 1A, “Risk Factors.”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Sources and Uses of Cash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sources and uses of cash over the periods indicated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8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860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2006</w:t>
            </w:r>
          </w:p>
        </w:tc>
        <w:tc>
          <w:tcPr>
            <w:tcW w:w="4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color w:val="auto"/>
              </w:rPr>
              <w:t>(Decrease) increase in cash and cash equivalents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Cash provided by operating activities </w:t>
      </w:r>
      <w:r>
        <w:rPr>
          <w:rFonts w:ascii="Arial" w:cs="Arial" w:eastAsia="Arial" w:hAnsi="Arial"/>
          <w:sz w:val="16"/>
          <w:szCs w:val="16"/>
          <w:color w:val="auto"/>
        </w:rPr>
        <w:t>decreased in the six months ended June 30, 2006 compared to the six months ended June 30, 2005. The primary</w:t>
      </w:r>
      <w:r>
        <w:rPr>
          <w:rFonts w:ascii="Arial" w:cs="Arial" w:eastAsia="Arial" w:hAnsi="Arial"/>
          <w:sz w:val="16"/>
          <w:szCs w:val="16"/>
          <w:i w:val="1"/>
          <w:iCs w:val="1"/>
          <w:color w:val="auto"/>
        </w:rPr>
        <w:t xml:space="preserve"> </w:t>
      </w:r>
      <w:r>
        <w:rPr>
          <w:rFonts w:ascii="Arial" w:cs="Arial" w:eastAsia="Arial" w:hAnsi="Arial"/>
          <w:sz w:val="16"/>
          <w:szCs w:val="16"/>
          <w:color w:val="auto"/>
        </w:rPr>
        <w:t>reason for the decrease in the first half of 2006 was a decrease in accounts payable during the first half of 2006 compared to an increase in payables in the comparable prior year period. The higher cash flow in the first half of 2005 also resulted from a larger reduction in inventory during 2005 compared to that occurring in the first half of this year. Inventory turns, however, improved in the second quarter of 2006 to 23 times from 19 times for the second quarter of 2005 as cost of goods sold was higher in the first half of 2006 compared to the prior year period.</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June 30, 2006, we had $96.7 million in outstanding accounts payable. Such accounts are generally paid within 30 days of incurrence and will be financed by cash flows from operations or short-term borrowings under the line of credit. This amount includes $12.9 million payable to two financial institutions under inventory trade credit agreements we use to finance our purchase of certain inventory, secured by the inventory so financed. We believe we will be able to meet our obligations under our accounts payable with cash flows from operations and our existing line of credit.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i w:val="1"/>
          <w:iCs w:val="1"/>
          <w:color w:val="auto"/>
        </w:rPr>
        <w:t xml:space="preserve">Cash used for investing activities </w:t>
      </w:r>
      <w:r>
        <w:rPr>
          <w:rFonts w:ascii="Arial" w:cs="Arial" w:eastAsia="Arial" w:hAnsi="Arial"/>
          <w:sz w:val="18"/>
          <w:szCs w:val="18"/>
          <w:color w:val="auto"/>
        </w:rPr>
        <w:t>include our capital expenditures in the periods presented, primarily for computer equipment and capitalization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internally-developed software.</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 xml:space="preserve">Cash used for financing activities </w:t>
      </w:r>
      <w:r>
        <w:rPr>
          <w:rFonts w:ascii="Arial" w:cs="Arial" w:eastAsia="Arial" w:hAnsi="Arial"/>
          <w:sz w:val="18"/>
          <w:szCs w:val="18"/>
          <w:color w:val="auto"/>
        </w:rPr>
        <w:t>in the six months ended June 30, 2006 and 2005 related primarily to a decrease in net borrowings of $2.0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$4.8 million, respectively, under our bank line of credit.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Instruments, Contractual Agreements, and Related Covenants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Below is a summary of certain provisions of our credit facilities and other contractual obligations. It is qualified in its entirety by the terms of the actual agreements, which are on file with the Securities and Exchange Commission. For more information about the restrictive covenants in our debt instruments and inventory financing agreements, see “Factors Affecting Sources of Liquidity.” For more information about our obligations, commitments, and contingencies, see our consolidated financial statements and the accompanying notes included in this quarterly report.</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Bank Line of Credit</w:t>
      </w:r>
      <w:r>
        <w:rPr>
          <w:rFonts w:ascii="Arial" w:cs="Arial" w:eastAsia="Arial" w:hAnsi="Arial"/>
          <w:sz w:val="16"/>
          <w:szCs w:val="16"/>
          <w:color w:val="auto"/>
        </w:rPr>
        <w:t>. Our bank line of credit provides us with a borrowing capacity of up to $50.0 million at the prime rate (8.25% at June 30, 2006). In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we have the option to increase the facility an additional $20.0 million, based on sufficient levels of trade receivables to meet borrowing base requirements, and depending on meeting minimum EBITDA (earnings before interest expense, taxes, depreciation, and amortization) and equity requirements, described below under “Factors Affecting Sources of Liquidity.” The facility also gives us the option of obtaining Eurodollar Rate Loans in multiples of $1.0 million for durations of one, two, three, four, or six months. Amounts outstanding under this facility were $18.0 million at June 30, 2006 and were comprised of two-month Eurodollar Rate Loans ($10.0 million at 6.67% interest and $8.0 million at 6.93% interest). Substantially all of our assets are collateralized as security for this facility, and all of our subsidiaries are guarantors under the line of credit. Borrowing availability under the line was $32.0 million at June 30, 2006.</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This facility, which matures in June 2008, operates under an automatic cash management program whereby disbursements in excess of available cash are added as borrowings at the time disbursement checks clear the bank, and available cash receipts are first applied against any outstanding borrowings and then invested in short-term qualified cash investments. Accordingly, borrowings under the line are classified as current.</w:t>
      </w:r>
    </w:p>
    <w:p>
      <w:pPr>
        <w:spacing w:after="0" w:line="10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Inventory Trade Credit Agreements</w:t>
      </w:r>
      <w:r>
        <w:rPr>
          <w:rFonts w:ascii="Arial" w:cs="Arial" w:eastAsia="Arial" w:hAnsi="Arial"/>
          <w:sz w:val="16"/>
          <w:szCs w:val="16"/>
          <w:color w:val="auto"/>
        </w:rPr>
        <w:t>. We have additional security agreements with two financial institutions to facilitate the purchase of inventory from</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suppliers under certain terms and conditions. These agreements allow a collateralized first position in certain branded products inventory financed by these financial institutions. Although the agreements provide for up to 100% financing on the purchase price, up to an aggregate of $45.0 million, any outstanding financing must be fully secured by available inventory. We do not pay any interest or discount fees on such inventory financing; such costs are borne by the suppliers as an incentive for us to purchase their products. Amounts outstanding under such facilities, equal to $12.9 million as of June 30, 2006, are recorded in accounts payable, and the inventory financed is classified as inventory on the consolidated balance sheet.</w:t>
      </w:r>
    </w:p>
    <w:p>
      <w:pPr>
        <w:spacing w:after="0" w:line="12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 following table sets forth information with respect to our long-term obligations payable in cash as of June 30, 2006 (in</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center"/>
              <w:ind w:left="4"/>
              <w:spacing w:after="0"/>
              <w:rPr>
                <w:sz w:val="20"/>
                <w:szCs w:val="20"/>
                <w:color w:val="auto"/>
              </w:rPr>
            </w:pPr>
            <w:r>
              <w:rPr>
                <w:rFonts w:ascii="Arial" w:cs="Arial" w:eastAsia="Arial" w:hAnsi="Arial"/>
                <w:sz w:val="14"/>
                <w:szCs w:val="14"/>
                <w:b w:val="1"/>
                <w:bCs w:val="1"/>
                <w:color w:val="auto"/>
                <w:w w:val="86"/>
              </w:rPr>
              <w:t>Payments Due by Period</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8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2"/>
              </w:rPr>
              <w:t>Less than</w:t>
            </w:r>
          </w:p>
        </w:tc>
        <w:tc>
          <w:tcPr>
            <w:tcW w:w="220" w:type="dxa"/>
            <w:vAlign w:val="bottom"/>
          </w:tcPr>
          <w:p>
            <w:pPr>
              <w:spacing w:after="0"/>
              <w:rPr>
                <w:sz w:val="11"/>
                <w:szCs w:val="11"/>
                <w:color w:val="auto"/>
              </w:rPr>
            </w:pPr>
          </w:p>
        </w:tc>
        <w:tc>
          <w:tcPr>
            <w:tcW w:w="92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1 – 3</w:t>
            </w:r>
          </w:p>
        </w:tc>
        <w:tc>
          <w:tcPr>
            <w:tcW w:w="500" w:type="dxa"/>
            <w:vAlign w:val="bottom"/>
          </w:tcPr>
          <w:p>
            <w:pPr>
              <w:jc w:val="right"/>
              <w:ind w:right="20"/>
              <w:spacing w:after="0" w:line="129" w:lineRule="exact"/>
              <w:rPr>
                <w:sz w:val="20"/>
                <w:szCs w:val="20"/>
                <w:color w:val="auto"/>
              </w:rPr>
            </w:pPr>
            <w:r>
              <w:rPr>
                <w:rFonts w:ascii="Arial" w:cs="Arial" w:eastAsia="Arial" w:hAnsi="Arial"/>
                <w:sz w:val="14"/>
                <w:szCs w:val="14"/>
                <w:b w:val="1"/>
                <w:bCs w:val="1"/>
                <w:color w:val="auto"/>
              </w:rPr>
              <w:t>3 – 5</w:t>
            </w:r>
          </w:p>
        </w:tc>
        <w:tc>
          <w:tcPr>
            <w:tcW w:w="4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More Than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57"/>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5"/>
                <w:szCs w:val="15"/>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Years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Years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210"/>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Capital lease obligations (1)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8,800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$ 1,467</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$2,301</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$2,279</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2,906</w:t>
            </w: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3,243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15,648</w:t>
            </w:r>
          </w:p>
        </w:tc>
        <w:tc>
          <w:tcPr>
            <w:tcW w:w="4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$ 4,373</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5,544</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2,870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2,861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80" w:type="dxa"/>
            <w:vAlign w:val="bottom"/>
            <w:tcBorders>
              <w:bottom w:val="single" w:sz="8" w:color="auto"/>
            </w:tcBorders>
          </w:tcPr>
          <w:p>
            <w:pPr>
              <w:spacing w:after="0"/>
              <w:rPr>
                <w:sz w:val="8"/>
                <w:szCs w:val="8"/>
                <w:color w:val="auto"/>
              </w:rPr>
            </w:pPr>
          </w:p>
        </w:tc>
        <w:tc>
          <w:tcPr>
            <w:tcW w:w="57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620" w:right="4900" w:hanging="5612"/>
        <w:spacing w:after="0" w:line="525" w:lineRule="auto"/>
        <w:tabs>
          <w:tab w:leader="none" w:pos="448"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Including interest, excluding taxes, insurance, and common area maintenance charges. 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do not have any other off-balance sheet arrangements that have or are reasonably likely to have, a current or future material effect on our financial condition, changes in financial condition, revenues or expenses, results of operations, liquidity, capital expenditures, or capital resources.</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We have a 15-year lease for our corporate headquarters with an affiliated company related through common ownership. We also have a</w:t>
      </w:r>
      <w:r>
        <w:rPr>
          <w:rFonts w:ascii="Arial" w:cs="Arial" w:eastAsia="Arial" w:hAnsi="Arial"/>
          <w:sz w:val="18"/>
          <w:szCs w:val="18"/>
          <w:i w:val="1"/>
          <w:iCs w:val="1"/>
          <w:color w:val="auto"/>
        </w:rPr>
        <w:t xml:space="preserve"> </w:t>
      </w:r>
      <w:r>
        <w:rPr>
          <w:rFonts w:ascii="Arial" w:cs="Arial" w:eastAsia="Arial" w:hAnsi="Arial"/>
          <w:sz w:val="18"/>
          <w:szCs w:val="18"/>
          <w:color w:val="auto"/>
        </w:rPr>
        <w:t>three-year lease for certain computer equipment with an unrelated party. We are required to make lease payments, under these agreements, aggregating from $1.0 million to $1.5 million per year. In addition to the rent payable under the facility lease, we are required to pay real estate taxes, insurance, and common area maintenance charges.</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We also lease facilities from our principal stockholders and facilities and equipment from third parties under non-cancelable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leases. See “Contractual Obligations” above for lease commitments under these leases.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 xml:space="preserve">Internally Generated Funds. </w:t>
      </w:r>
      <w:r>
        <w:rPr>
          <w:rFonts w:ascii="Arial" w:cs="Arial" w:eastAsia="Arial" w:hAnsi="Arial"/>
          <w:sz w:val="18"/>
          <w:szCs w:val="18"/>
          <w:color w:val="auto"/>
        </w:rPr>
        <w:t>The key factors affecting our internally generated funds are our ability to minimize costs and fully achieve our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efficiencies, timely collection of our customer receivables, and management of our inventory levels.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Bank Line of Credit. </w:t>
      </w:r>
      <w:r>
        <w:rPr>
          <w:rFonts w:ascii="Arial" w:cs="Arial" w:eastAsia="Arial" w:hAnsi="Arial"/>
          <w:sz w:val="18"/>
          <w:szCs w:val="18"/>
          <w:color w:val="auto"/>
        </w:rPr>
        <w:t>Our credit facility contains certain financial ratios and operational covenants and other restrictions (including restrictions on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debt, guarantees, stock repurchases, dividends and other distributions, investments, and liens) with which we and all of our subsidiaries must comply. Any failure to comply with these covenants would not only prevent us from borrowing additional funds under this line of credit, but would also constitute a default. This credit facility contains two financial tests:</w:t>
      </w:r>
    </w:p>
    <w:p>
      <w:pPr>
        <w:spacing w:after="0" w:line="62" w:lineRule="exact"/>
        <w:rPr>
          <w:sz w:val="20"/>
          <w:szCs w:val="20"/>
          <w:color w:val="auto"/>
        </w:rPr>
      </w:pPr>
    </w:p>
    <w:p>
      <w:pPr>
        <w:ind w:left="780" w:right="28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funded debt ratio (defined as the average outstanding advances under the line for the quarter, divided by the consolidated EBITDA for the four quarters) must not be more than 2.0 to 1.0. Our actual funded debt ratio at June 30, 2006 was 0.6 to 1.0.</w:t>
      </w:r>
    </w:p>
    <w:p>
      <w:pPr>
        <w:spacing w:after="0" w:line="50" w:lineRule="exact"/>
        <w:rPr>
          <w:rFonts w:ascii="Arial" w:cs="Arial" w:eastAsia="Arial" w:hAnsi="Arial"/>
          <w:sz w:val="18"/>
          <w:szCs w:val="18"/>
          <w:color w:val="auto"/>
        </w:rPr>
      </w:pPr>
    </w:p>
    <w:p>
      <w:pPr>
        <w:ind w:left="780" w:right="180" w:hanging="326"/>
        <w:spacing w:after="0" w:line="259"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Minimum Consolidated Net Worth must be at least $150.0 million, plus 50% of consolidated net income for each quarter, beginning with the quarter ending March 31, 2006 (loss quarters not counted). Such amount was calculated at June 30, 2006 as $152.4 million. Our actual consolidated stockholders’ equity at June 30, 2006 was $176.8 million.</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borrowing base under this facility is set at 80% of qualified commercial receivables, plus 50% of qualified government receivables, less $5 million of the formula availability which must be held in reserves. As of June 30, 2006, $32.0 million of the facility was available for additional borrowings.</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Inventory Trade Credit Agreements. </w:t>
      </w:r>
      <w:r>
        <w:rPr>
          <w:rFonts w:ascii="Arial" w:cs="Arial" w:eastAsia="Arial" w:hAnsi="Arial"/>
          <w:sz w:val="16"/>
          <w:szCs w:val="16"/>
          <w:color w:val="auto"/>
        </w:rPr>
        <w:t>These agreements contain similar financial ratios and operational covenants and restrictions as those contained in our</w:t>
      </w:r>
      <w:r>
        <w:rPr>
          <w:rFonts w:ascii="Arial" w:cs="Arial" w:eastAsia="Arial" w:hAnsi="Arial"/>
          <w:sz w:val="16"/>
          <w:szCs w:val="16"/>
          <w:i w:val="1"/>
          <w:iCs w:val="1"/>
          <w:color w:val="auto"/>
        </w:rPr>
        <w:t xml:space="preserve"> </w:t>
      </w:r>
      <w:r>
        <w:rPr>
          <w:rFonts w:ascii="Arial" w:cs="Arial" w:eastAsia="Arial" w:hAnsi="Arial"/>
          <w:sz w:val="16"/>
          <w:szCs w:val="16"/>
          <w:color w:val="auto"/>
        </w:rPr>
        <w:t>bank line of credit described above. Such agreements also contain cross-default provisions whereby a default under the bank agreement would also constitute a default under these agreements. Financing under these agreements is limited to the purchase of specific branded products from authorized suppliers, and amounts outstanding must be fully collateralized by inventories of those products on hand.</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i w:val="1"/>
          <w:iCs w:val="1"/>
          <w:color w:val="auto"/>
        </w:rPr>
        <w:t xml:space="preserve">Capital Markets. </w:t>
      </w:r>
      <w:r>
        <w:rPr>
          <w:rFonts w:ascii="Arial" w:cs="Arial" w:eastAsia="Arial" w:hAnsi="Arial"/>
          <w:sz w:val="16"/>
          <w:szCs w:val="16"/>
          <w:color w:val="auto"/>
        </w:rPr>
        <w:t>Our ability to raise additional funds in the capital market depends upon, among other things, general economic conditions, the condition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information technology industry, our financial performance and stock price, and the state of the capital markets.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FINANCIAL ACCOUNTING STANDARDS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Effective January 1, 2006, we adopted SFAS 123(R), “Share-Based Payment,” (“SFAS 123(R)”) using the modified prospective transition method. This Statement replaced SFAS No. 123, “Accounting for Stock-Based Compensation,” and superseded Accounting Principles Board Opinion No. 25, “Accounting for Stock Issued to Employees”. SFAS 123(R) requires a company to measure the grant date fair value of equity awards given to employees in exchange for services and recognize that cost over the period that such services are performed. In addition, SFAS 123(R) requires that the excess tax benefits related to stock compensation be reported as a cash inflow from financing activities rather than as a reduction of taxes paid in cash from operations. Refer to Note 5 for additional information on our share-based compensation plans and related compensation expense.</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June 2006, the Financial Accounting Standards Board (“FASB”) issued FASB Interpretation No. 48, “Accounting for Uncertainty in Income Taxes—an Interpretation of FASB Statement 109” (“FIN 48”), to clarify the accounting for uncertainty in tax positions. This interpretation prescribes a minimum recognition threshold a tax position is required to meet before being recognized in the financial statements. FIN 48 also provides guidance on derecognition, measurement, classification, interest and penalties, accounting in interim periods, disclosure and transition. FIN 48 is effective for fiscal years beginning after December 15, 2006. We are currently evaluating the effect that the adoption of FIN 48 will have on our results of operations and financial position.</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critical accounting policies have not materially changed from those discussed in our Annual Report on Form 10-K for the year ended December 31, 2005, except as to SFAS 123(R) as described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historically offset any inflation in operating costs by a combination of increased productivity and price increases, where appropriate. We do not expect inflation to have a significant impact on our business in the future.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PC CONNECTION,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3—QUANTITATIVE AND QUALITATIVE DISCLOSURES ABOUT MARKET RISK</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invest cash balances in excess of operating requirements in short-term securities, generally with maturities of 90 days or less. In addition, our unsecured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provides for borrowings which bear interest at variable rates based on the prime rate and Euro dollar rates. We had borrowings outstanding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$18.0 million pursuant to our credit agreement as of June 30, 2006. We believe that the effect, if any, of reasonably possible near-term changes in interest rates 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our financial position, results of operations, and cash flows should not be material. Our credit agreement exposes earnings to changes in short-term interest rates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since interest rates on the underlying obligations are variable. However, as noted above, borrowings outstanding totaled $18.0 million on the credit agreement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2006, and the average outstandings borrowing during the three and six months ended June 30, 2006 were not material. A change in earnings resulting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a hypothetical 10% increase or decrease in interest rates is not material.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PC CONNECTION, INC.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I—FINANCIAL INFORMATION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4—CONTROLS AND PROCEDURES</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June 30, 2006.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disclosure controls and procedures are designed to provide reasonable assurance of achieving their objectives as described above. Based on the evaluation of our disclosure controls and procedures, our Chief Executive Officer and Chief Financial Officer concluded that, as of the end of the period covered by this report, our disclosure controls and procedures were effective at the reasonable assurance level.</w:t>
      </w:r>
    </w:p>
    <w:p>
      <w:pPr>
        <w:spacing w:after="0" w:line="12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June 30, 2006 that has materially affected, or is reasonably likely to materially affect, our internal control over financial reporting.</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Statements contained or incorporated by reference in this Quarterly Report on Form 10-Q that are not based on historical fact are “forward-looking statements” within the meaning of the Private Securities Litigation Reform Act of 1995, Section 27A of the Securities Act of 1933, as amended, and Section 21E of the Exchange Act. These forward-looking statements regarding future events and our future results are based on current expectations, estimates, forecasts, and projections and the beliefs and assumptions of our management including, without limitation, our expectations with regard to the industry’s rapid technological change and exposure to inventory obsolescence, availability and allocations of goods, reliance on vendor support and relationships, competitive risks, pricing risks, and the overall level of economic activity and the level of business investment in information technology products. Forward-looking statements may be identified by the use of forward-looking terminology such as “may,” “could,” “will,” “expect,” “estimate,” “anticipate,” “continue,” or similar terms, variations of such terms or the negative of those terms.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We cannot assure investors that our assumptions and expectations will prove to have been correct. Important factors could cause our actual results to differ materially from those indicated or implied by forward-looking statements. Such factors that could cause or contribute to such differences include those factors discussed below. We undertake no intention or obligation to update or revise any forward-looking statements, whether as a result of new information, future events, or otherwise. If any of the following risks actually occur, our business, financial condition, or results of operations would likely suffer.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experienced variability in sales, and there is no assurance that we will be able to maintain profitable operations.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Several factors have caused our sales and results of operations to fluctuate and we expect these fluctuations to continue on a quarterly basis. Causes of these fluctuations include:</w:t>
      </w:r>
    </w:p>
    <w:p>
      <w:pPr>
        <w:spacing w:after="0" w:line="51"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overall level of economic activity;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condition of the personal computer industry in general;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level of business investment in information technology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shifts in customer demand for hardware and software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variations in levels of competition;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industry shipments of new products or upgrades;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new merchandise and catalog offerings;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response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postage, paper, shipping, and printing costs and in merchandise returns;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weather conditions that affect response, distribution, or shipping;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product offerings;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consumer demand for information technology products;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vendor distribution of products.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results also may vary based on our success of integrating acquisitions into our business, the impact of the costs of acquisitions and integration, and our ability to hire and retain sales representatives and other essential personnel.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base our operating expenditures on sales forecasts. If our revenues do not meet anticipated levels in the future, we may not be able to reduce our staffing levels and operating expenses in a timely manner to avoid significant losses from operations.</w:t>
      </w:r>
    </w:p>
    <w:p>
      <w:pPr>
        <w:spacing w:after="0" w:line="207" w:lineRule="exact"/>
        <w:rPr>
          <w:sz w:val="20"/>
          <w:szCs w:val="20"/>
          <w:color w:val="auto"/>
        </w:rPr>
      </w:pPr>
    </w:p>
    <w:p>
      <w:pPr>
        <w:ind w:right="220"/>
        <w:spacing w:after="0" w:line="338" w:lineRule="auto"/>
        <w:rPr>
          <w:sz w:val="20"/>
          <w:szCs w:val="20"/>
          <w:color w:val="auto"/>
        </w:rPr>
      </w:pPr>
      <w:r>
        <w:rPr>
          <w:rFonts w:ascii="Arial" w:cs="Arial" w:eastAsia="Arial" w:hAnsi="Arial"/>
          <w:sz w:val="16"/>
          <w:szCs w:val="16"/>
          <w:b w:val="1"/>
          <w:bCs w:val="1"/>
          <w:color w:val="auto"/>
        </w:rPr>
        <w:t>Despite our August 2004 award of an authorization to sell to the federal government under a new General Services Administration (“GSA”) schedule, our sales to that organization may not regain prior years’ sales levels, which would negatively impact our business.</w:t>
      </w:r>
    </w:p>
    <w:p>
      <w:pPr>
        <w:spacing w:after="0" w:line="1"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In November 2003, we were advised that the GSA canceled its contract with our subsidiary, GovConnection, following a review of its contract management system and procedures and the possibility of the sale of unqualified items or underpayment of required fees. The matter has been referred to the Department of Justice for review, and we are cooperating in that review. While we were awarded authorization in August 2004 to resume selling to the federal government under a new GSA schedule, we experienced significant declines in our federal government sales from 2003 levels. Accordingly, our revenues may continue to be adversely impacted as we attempt to regain this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inventory obsolescence due to the rapid technological changes occurring in the personal computer industry.</w:t>
      </w:r>
    </w:p>
    <w:p>
      <w:pPr>
        <w:spacing w:after="0" w:line="96"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market for personal computer products is characterized by rapid technological change and the frequent introduction of new products and product enhancements. Our success depends in large part on our ability to identify and market products that meet the needs of customers in that marketplace. In order to satisfy customer demand and to obtain favorable purchasing discounts, we have and may continue to carry increased inventory levels of certain products. By so doing, we are subject to the increased risk of inventory obsolescence. Also, in order to implement our business strategy, we intend to continue, among other things, placing larger than typical inventory stocking orders and increasing our participation in first-to-market purchase opportunities. We may also participate in end-of-life-cycle purchase opportunities and market products on a private-label basis, which would increase the risk of inventory obsolescence. In addition, we sometimes acquire special purchase products without return privileges. There can be no assurance that we will be able to avoid losses related to obsolete inventory. In addition, manufacturers are limiting return rights and are taking steps to reduce their inventory exposure by supporting “build-to-order” programs authorizing distributors and resellers to assemble computer hardware under the manufacturers’ brands. These trends reduce the costs to manufacturers and shift the burden of inventory risk to resellers like us, which could negatively impact our business.</w:t>
      </w:r>
    </w:p>
    <w:p>
      <w:pPr>
        <w:spacing w:after="0" w:line="198"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We acquire products for resale from a limited number of vendors. The loss of any one of these vendors could have a material adverse effect on our business.</w:t>
      </w:r>
    </w:p>
    <w:p>
      <w:pPr>
        <w:spacing w:after="0" w:line="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acquire products for resale both directly from manufacturers and indirectly through distributors and other sources. The five vendors supplying the greatest amount of goods to us constituted 70% and 67% of our total product purchases in the six months ended June 30, 2006 and 2005, respectively. Among these five vendors, purchases from Ingram represented 27% and 24% of our total product purchases in the six months ended June 30, 2006 and 2005, respectively. Purchases from Tech Data comprised 18% and 23% of our total product purchases in the six months ended June 30, 2006 and 2005, respectively. Purchases from HP represented 15% and 9% of our total product purchases in the six months ended June 30, 2006 and 2005, respectively. No other vendor supplied more than 10% of our total product purchases in the six months ended June 30, 2006 and 2005, respectively. If we were unable to acquire products from Ingram, Tech Data, or HP, we could experience a short-term disruption in the availability of products, and such disruption could have a material adverse effect on our results of operations and cash flows.</w:t>
      </w:r>
    </w:p>
    <w:p>
      <w:pPr>
        <w:spacing w:after="0" w:line="11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Substantially all of our contracts and arrangements with our vendors that supply significant quantities of products are terminable by such vendors or us without notice or upon short notice. Most of our product vendors provide us with trade credit, of which the net amount outstanding at June 30, 2006 was $96.7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Termination, interruption, or contraction of relationships with our vendors, including a reduction in the level of trade credit provided to us, could have a material adverse effect on our financial position.</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Some product manufacturers either do not permit us to sell the full line of their products or limit the number of product units available to direct marketers such as us. An element of our business strategy is to continue increasing our participation in first-to-market purchase opportunities. The availability of certain desired products, especially in the direct marketing channel, has been constrained in the past. We could experience a material adverse effect to our business if we are unable to source first-to-market purchase or similar opportunities, or if we face the reemergence of significant availability constraints.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a reduction in the incentive programs offered to us by our vendors.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Some product manufacturers and distributors provide us with incentives such as supplier reimbursements, payment discounts, price protection, rebates, and other similar arrangements. The increasingly competitive computer hardware market has already resulted in the following:</w:t>
      </w:r>
    </w:p>
    <w:p>
      <w:pPr>
        <w:spacing w:after="0" w:line="4"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reduction or elimination of some of these incentive programs;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more restrictive price protection and other terms;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advertising allowances and incentives, in some cases.</w:t>
      </w:r>
    </w:p>
    <w:p>
      <w:pPr>
        <w:spacing w:after="0" w:line="17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Many product suppliers provide us with advertising support, and in exchange, we feature their products in our catalogs and other marketing vehicles. This support significantly defrays our marketing costs. In the past, we have experienced a decrease in the level of advertising support available to us from certain manufacturers. The level of advertising support we receive from some manufacturers may decline in the future. Such a decline could decrease our gross margin and increase our selling, general and administrative expenses as a percentage of sales and have a material adverse effect on our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many competitive risks.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direct marketing industry and the computer products retail business, in particular, are highly competitive. We compete with consumer electronics and computer retail stores, including superstores. We also compete with other direct marketers of hardware and software and computer related products, including CDW Corporation, Insight Enterprises, Inc., and Dell Inc., who are much larger than we are. Certain hardware and software vendors, such as HP, Lenovo, and Apple, who provide products to us, are also selling their products directly to end users through their own catalogs and over the Internet. We compete not only for customers, but also for advertising support from personal computer product manufacturers. Some of our competitors have larger catalog circulations and customer bases and greater financial, marketing, and other resources than we do. In addition, some of our competitors offer a wider range of products and services than we do and may be able to respond more quickly to new or changing opportunities, technologies, and customer requirements. Many current and potential competitors also have greater name recognition, engage in more extensive promotional activities, and adopt pricing policies that are more aggressive than ours. We expect competition to increase as retailers and direct marketers who have not traditionally sold computers and related products enter the industry.</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addition, product resellers and direct marketers are combining operations or acquiring or merging with other resellers and direct marketers to increase efficiency. Moreover, current and potential competitors have established or may establish cooperative relationships among themselves or with third parties to enhance their products and services. Accordingly, it is possible that new competitors or alliances among competitors may emerge and acquire significant market share.</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cannot assure you that we can continue to compete effectively against our current or future competitors. If we encounter new competition or fail to compete effectively against our competitors, our business may be harmed.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and will continue to face significant price competition.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Generally, pricing is very aggressive in the personal computer industry, and we expect pricing pressures to continue. An increase in price competition could result in a reduction of our profit margins. There can be no assurance that we will be able to offset the effects of price reductions with an increase in the number of customers, higher sales, cost reductions, or otherwise. Also, our sales of personal computer hardware products are generally producing lower profit margins than those associated with software products. Such pricing pressures could result in an erosion of our market share, reduced sales, and reduced operating margins, any of which could have a material adverse effect on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methods of distributing personal computers and related products are changing, and such changes may negatively impact us and our business.</w:t>
      </w:r>
    </w:p>
    <w:p>
      <w:pPr>
        <w:spacing w:after="0" w:line="11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manner in which personal computers and related products are distributed and sold is changing, and new methods of distribution and sale, such as online shopping services, have emerged. Hardware and software manufacturers have sold, and may intensify their efforts to sell, their products directly to end users. From time to time, certain manufacturers have instituted programs for the direct sales of large order quantities of hardware and software to certain major corporate accounts. These types of programs may continue to be developed and used by various manufacturers. Some of our vendors, including Apple, HP, and Lenovo, currently sell some of their products directly to end users and have stated their intentions to increase the level of such direct sales. In addition, manufacturers may attempt to increase the volume of software products distributed electronically to end users. An increase in the volume of products sold through or used by consumers of any of these competitive programs or distributed electronically to end users could have a material adverse effect on our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experience system failures which would interfere with our ability to process orders.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depend on the accuracy and proper use of our management information systems, including our telephone system. Many of our key functions depend on the quality and effective utilization of the information generated by our management information systems, including:</w:t>
      </w:r>
    </w:p>
    <w:p>
      <w:pPr>
        <w:spacing w:after="0" w:line="51"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manage inventory and accounts receivable collection;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purchase, sell, and ship products efficiently and on a timely basis;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operations.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management information systems require continual upgrades to most effectively manage our operations and customer database. We are currently in the midst of a major upgrade to our sales processing system. Although we maintain some redundant systems, with full data backup, a substantial interruption in management information systems or in telephone communication systems, including those resulting from natural disasters as well as power loss, telecommunications failure, and similar events, would substantially hinder our ability to process customer orders and thus could have a material adverse effect on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the continued development of electronic commerce and Internet infrastructure development.</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had an increasing level of sales made over the Internet in part because of the growing use and acceptance of the Internet by end users. No one can be certain that acceptance and use of the Internet will continue to develop or that a sufficiently broad base of consumers will adopt and continue to use the Internet and other online services as a medium of commerce. Sales of computer products over the Internet represent a significant and increasing portion of overall computer product sales. Growth of our Internet sales is dependent on potential customers using the Internet in addition to traditional means of commerce to purchase products. We cannot accurately predict the rate at which they will do so.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success in growing our Internet business will depend in large part upon the development of an infrastructure for providing Internet access and services. If the number of Internet users or their use of Internet resources continues to grow rapidly, such growth may overwhelm the existing Internet infrastructure. Our ability to increase the speed with which we provide services to customers and to increase the scope of such services ultimately is limited by, and reliant upon, the speed, reliability, and cost-effectiveness of the networks operated by third parties, and these networks may not continue to be developed or be available at prices consistent with our required business model.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heavily on third-party shippers to deliver our products to customers.</w:t>
      </w:r>
    </w:p>
    <w:p>
      <w:pPr>
        <w:spacing w:after="0" w:line="9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We ship approximately 50% of our products to customers by DHL Worldwide Express (“DHL”), with the remainder being shipped by United Parcel Service, Inc. and other overnight delivery and ground services. A strike or other interruption in service by these shippers could adversely affect our ability to market or deliver products to customers on a timely basis.</w:t>
      </w:r>
    </w:p>
    <w:p>
      <w:pPr>
        <w:spacing w:after="0" w:line="215"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We may experience potential increases in shipping, paper, and postage costs, which may adversely affect our business if we are not able to pass such increases on to our customers.</w:t>
      </w:r>
    </w:p>
    <w:p>
      <w:pPr>
        <w:spacing w:after="0" w:line="4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Shipping costs are a significant expense in the operation of our business. Increases in postal or shipping rates and paper costs could significantly impact the cost of producing and mailing our catalogs and shipping customer orders. Postage prices and shipping rates increase periodically, and we have no control over future increases. We have a long-term contract with DHL whereby DHL ships products to our customers. We believe that we have negotiated favorable shipping rates with DHL. We generally invoice customers for shipping and handling charges. There can be no assurance that we will be able to pass on to our customers the full cost, including any future increases in the cost, of commercial delivery services such as DHL.</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also incur substantial paper and postage costs related to our marketing activities, including producing and mailing our catalogs. Paper prices historically have been cyclical, and we have experienced substantial increases in the past. Significant increases in postal or shipping rates and paper costs could adversely impact our business, financial condition, and results of operations, particularly if we cannot pass on such increases to our customers or offset such increases by reducing other costs.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concerns with respect to list development and maintenance may materially adversely affect our business.</w:t>
      </w:r>
    </w:p>
    <w:p>
      <w:pPr>
        <w:spacing w:after="0" w:line="9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We mail catalogs and send electronic messages to names in our proprietary customer database and to potential customers whose names we obtain from rented or exchanged mailing lists. World-wide public concern regarding personal privacy has subjected the rental and use of customer mailing lists and other customer information to increased scrutiny. Any domestic or foreign legislation enacted limiting or prohibiting these practices could negatively affect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many uncertainties relating to the collection of state sales and use tax.</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presently collect sales and use tax on sales of products to residents in many states. During the six months ended June 30, 2006, we collected sales and use tax on approximately 24% of our net sales, and the additional sales in these states that were nontaxable due to product or customer exemption represent an additional 34% of our net sales. Various states have sought to impose on direct marketers the burden of collecting state sales and use taxes on the sales of products shipped to their residents. In 1992, the United States Supreme Court affirmed its position that it is unconstitutional for a state to impose sales or use tax collection obligations on an out-of-state mail-order company whose only contacts with the state are limited to the distribution of catalogs and other advertising materials through the mail and the subsequent delivery of purchased goods by United States mail or by interstate common carrier. However, legislation that would expand the ability of states to impose sales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and use tax collection obligations on direct marketers has been introduced in Congress on many occasions. Additionally, certain states have adopted rules that require companies and their affiliates to register in those states as a condition of doing business within those states.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Moreover, due to our presence on various forms of electronic media and other operational factors, our contacts with many states may exceed the limited contacts involved in the Supreme Court case. We cannot predict the level of contacts that is sufficient to permit a state to impose on us a sales or use tax collection obligation. Two of our competitors have elected to collect sales and use taxes in all states. If the Supreme Court changes its position, or if legislation is passed to overturn the Supreme Court’s decision, or if a court were to determine that our contacts with a state exceed the constitutionality permitted contacts, the imposition of a sales or use tax collection obligation on us in states to which we ship products would result in additional administrative expenses to us, could result in tax liability for past sales as well as price increases to our customers, and could reduce demand for our product.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key personnel.</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future performance will depend to a significant extent upon the efforts and abilities of our senior executives. The competition for qualified management personnel in the computer products industry is very intense, and the loss of service of one or more of these persons could have an adverse effect on our business. Our success and plans for future growth will also depend on our ability to hire, train, and retain skilled personnel in all areas of our business, including sales account managers and technical support personnel. There can be no assurance that we will be able to attract, train, and retain sufficient qualified personnel to achieve our business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controlled by two principal stockholders.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Patricia Gallup and David Hall, our two principal stockholders, beneficially own or control, in the aggregate, approximately 68% of the outstanding shares of our common stock. Because of their beneficial stock ownership, these stockholders can continue to elect the members of the Board of Directors and decide all matters requiring stockholder approval at a meeting or by a written consent in lieu of a meeting. Similarly, such stockholders can control decisions to adopt, amend, or repeal our charter and our bylaws, or take other actions requiring the vote or consent of our stockholders and prevent a takeover of us by one or more third parties, or sell or otherwise transfer their stock to a third party, which could deprive our stockholders of a control premium that might otherwise be realized by them in connection with an acquisition of our Company. Such control may result in decisions that are not in the best interest of our public stockholders. In connection with our initial public offering, the principal stockholders placed substantially all shares of common stock beneficially owned by them into a voting trust, pursuant to which they are required to agree as to the manner of voting such shares in order for the shares to be voted. Such provisions could discourage bids for our common stock at a premium as well as have a negative impact on the market price of our common stock.</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2—Unregistered Sales of Equity Securities and Use of Proceeds</w:t>
      </w:r>
    </w:p>
    <w:p>
      <w:pPr>
        <w:spacing w:after="0" w:line="96" w:lineRule="exact"/>
        <w:rPr>
          <w:sz w:val="20"/>
          <w:szCs w:val="20"/>
          <w:color w:val="auto"/>
        </w:rPr>
      </w:pPr>
    </w:p>
    <w:p>
      <w:pPr>
        <w:ind w:left="900" w:right="50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following table provides information about purchases by the Company during the quarter ended June 30, 2006 of equity securities that are registered by the Company pursuant to Section 12 of the Exchange Act: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7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(b)</w:t>
            </w:r>
          </w:p>
        </w:tc>
        <w:tc>
          <w:tcPr>
            <w:tcW w:w="7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46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74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Maximum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7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7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74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Dollar 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7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Price Paid</w:t>
            </w:r>
          </w:p>
        </w:tc>
        <w:tc>
          <w:tcPr>
            <w:tcW w:w="7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 Publicly</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that May Yet Be</w:t>
            </w:r>
          </w:p>
        </w:tc>
        <w:tc>
          <w:tcPr>
            <w:tcW w:w="0" w:type="dxa"/>
            <w:vAlign w:val="bottom"/>
          </w:tcPr>
          <w:p>
            <w:pPr>
              <w:spacing w:after="0"/>
              <w:rPr>
                <w:sz w:val="1"/>
                <w:szCs w:val="1"/>
                <w:color w:val="auto"/>
              </w:rPr>
            </w:pPr>
          </w:p>
        </w:tc>
      </w:tr>
      <w:tr>
        <w:trPr>
          <w:trHeight w:val="149"/>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7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Units)</w:t>
            </w:r>
          </w:p>
        </w:tc>
        <w:tc>
          <w:tcPr>
            <w:tcW w:w="7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 Share</w:t>
            </w:r>
          </w:p>
        </w:tc>
        <w:tc>
          <w:tcPr>
            <w:tcW w:w="7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Announced Plans</w:t>
            </w:r>
          </w:p>
        </w:tc>
        <w:tc>
          <w:tcPr>
            <w:tcW w:w="74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55"/>
        </w:trPr>
        <w:tc>
          <w:tcPr>
            <w:tcW w:w="474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Purchased</w:t>
            </w:r>
          </w:p>
        </w:tc>
        <w:tc>
          <w:tcPr>
            <w:tcW w:w="740" w:type="dxa"/>
            <w:vAlign w:val="bottom"/>
          </w:tcPr>
          <w:p>
            <w:pPr>
              <w:spacing w:after="0"/>
              <w:rPr>
                <w:sz w:val="13"/>
                <w:szCs w:val="13"/>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(or Unit)</w:t>
            </w:r>
          </w:p>
        </w:tc>
        <w:tc>
          <w:tcPr>
            <w:tcW w:w="740" w:type="dxa"/>
            <w:vAlign w:val="bottom"/>
          </w:tcPr>
          <w:p>
            <w:pPr>
              <w:spacing w:after="0"/>
              <w:rPr>
                <w:sz w:val="13"/>
                <w:szCs w:val="13"/>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or Programs</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9"/>
              </w:rPr>
              <w:t>Program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04/01/06 – 04/30/06</w:t>
            </w:r>
          </w:p>
        </w:tc>
        <w:tc>
          <w:tcPr>
            <w:tcW w:w="7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4"/>
              </w:rPr>
              <w:t>12,714,000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05/01/06 – 05/31/06</w:t>
            </w:r>
          </w:p>
        </w:tc>
        <w:tc>
          <w:tcPr>
            <w:tcW w:w="7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40" w:type="dxa"/>
            <w:vAlign w:val="bottom"/>
          </w:tcPr>
          <w:p>
            <w:pPr>
              <w:ind w:left="460"/>
              <w:spacing w:after="0"/>
              <w:rPr>
                <w:sz w:val="20"/>
                <w:szCs w:val="20"/>
                <w:color w:val="auto"/>
              </w:rPr>
            </w:pPr>
            <w:r>
              <w:rPr>
                <w:rFonts w:ascii="Arial" w:cs="Arial" w:eastAsia="Arial" w:hAnsi="Arial"/>
                <w:sz w:val="18"/>
                <w:szCs w:val="18"/>
                <w:color w:val="auto"/>
                <w:w w:val="84"/>
              </w:rPr>
              <w:t>12,714,000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06/01/06 – 06/30/06</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4"/>
              </w:rPr>
              <w:t>12,714,000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40" w:type="dxa"/>
            <w:vAlign w:val="bottom"/>
          </w:tcPr>
          <w:p>
            <w:pPr>
              <w:ind w:left="460"/>
              <w:spacing w:after="0"/>
              <w:rPr>
                <w:sz w:val="20"/>
                <w:szCs w:val="20"/>
                <w:color w:val="auto"/>
              </w:rPr>
            </w:pPr>
            <w:r>
              <w:rPr>
                <w:rFonts w:ascii="Arial" w:cs="Arial" w:eastAsia="Arial" w:hAnsi="Arial"/>
                <w:sz w:val="18"/>
                <w:szCs w:val="18"/>
                <w:color w:val="auto"/>
                <w:w w:val="84"/>
              </w:rPr>
              <w:t>12,714,000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18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Board of Directors approved the repurchase by us of shares of our common stock having a value of up to $15.0 million in the aggregate pursuant to a repurchase program announced on March 28, 2001.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4—Submission of Matters to a Vote of Security Holders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At the 2006 Annual Meeting of Stockholders of the Company (the “Annual Meeting”) on May 24, 2006, the following matters were acted upon by the stockholders of the Company:</w:t>
      </w:r>
    </w:p>
    <w:p>
      <w:pPr>
        <w:spacing w:after="0" w:line="5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election of six Directors.</w:t>
      </w:r>
    </w:p>
    <w:p>
      <w:pPr>
        <w:spacing w:after="0" w:line="9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ratification of the selection by the Audit Committee of Deloitte &amp; Touche LLP as the Company’s independent registered public accounting firm for the current fiscal year.</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number of shares of common stock issued, outstanding, and eligible to vote as of the record date of April 13, 2006 was 25,259,261. The results of the voting on each of the matters presented to stockholders at the Annual Meeting are set forth below:</w:t>
      </w:r>
    </w:p>
    <w:p>
      <w:pPr>
        <w:spacing w:after="0" w:line="5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7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Nominees</w:t>
            </w:r>
          </w:p>
        </w:tc>
        <w:tc>
          <w:tcPr>
            <w:tcW w:w="62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Arial" w:cs="Arial" w:eastAsia="Arial" w:hAnsi="Arial"/>
                <w:sz w:val="14"/>
                <w:szCs w:val="14"/>
                <w:b w:val="1"/>
                <w:bCs w:val="1"/>
                <w:color w:val="auto"/>
              </w:rPr>
              <w:t>Votes For</w:t>
            </w:r>
          </w:p>
        </w:tc>
        <w:tc>
          <w:tcPr>
            <w:tcW w:w="620" w:type="dxa"/>
            <w:vAlign w:val="bottom"/>
          </w:tcPr>
          <w:p>
            <w:pPr>
              <w:spacing w:after="0"/>
              <w:rPr>
                <w:sz w:val="15"/>
                <w:szCs w:val="15"/>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8"/>
              </w:rPr>
              <w:t>Votes Withheld</w:t>
            </w:r>
          </w:p>
        </w:tc>
      </w:tr>
      <w:tr>
        <w:trPr>
          <w:trHeight w:val="195"/>
        </w:trPr>
        <w:tc>
          <w:tcPr>
            <w:tcW w:w="7440" w:type="dxa"/>
            <w:vAlign w:val="bottom"/>
          </w:tcPr>
          <w:p>
            <w:pPr>
              <w:spacing w:after="0" w:line="195" w:lineRule="exact"/>
              <w:rPr>
                <w:sz w:val="20"/>
                <w:szCs w:val="20"/>
                <w:color w:val="auto"/>
              </w:rPr>
            </w:pPr>
            <w:r>
              <w:rPr>
                <w:rFonts w:ascii="Arial" w:cs="Arial" w:eastAsia="Arial" w:hAnsi="Arial"/>
                <w:sz w:val="18"/>
                <w:szCs w:val="18"/>
                <w:color w:val="auto"/>
              </w:rPr>
              <w:t>Patricia Gallup</w:t>
            </w:r>
          </w:p>
        </w:tc>
        <w:tc>
          <w:tcPr>
            <w:tcW w:w="620" w:type="dxa"/>
            <w:vAlign w:val="bottom"/>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3"/>
              </w:rPr>
              <w:t>23,019,332</w:t>
            </w:r>
          </w:p>
        </w:tc>
        <w:tc>
          <w:tcPr>
            <w:tcW w:w="620" w:type="dxa"/>
            <w:vAlign w:val="bottom"/>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575,921</w:t>
            </w:r>
          </w:p>
        </w:tc>
        <w:tc>
          <w:tcPr>
            <w:tcW w:w="20" w:type="dxa"/>
            <w:vAlign w:val="bottom"/>
          </w:tcPr>
          <w:p>
            <w:pPr>
              <w:spacing w:after="0"/>
              <w:rPr>
                <w:sz w:val="16"/>
                <w:szCs w:val="16"/>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David Hall</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23,020,142</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575,111</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Bruce Barone</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23,487,508</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107,745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David Beffa-Negrini</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23,020,232</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575,021</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Joseph Baute</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23,487,403</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107,850</w:t>
            </w: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Donald Weatherson</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22,912,630</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682,623</w:t>
            </w:r>
          </w:p>
        </w:tc>
      </w:tr>
    </w:tbl>
    <w:p>
      <w:pPr>
        <w:spacing w:after="0" w:line="75" w:lineRule="exact"/>
        <w:rPr>
          <w:sz w:val="20"/>
          <w:szCs w:val="20"/>
          <w:color w:val="auto"/>
        </w:rPr>
      </w:pPr>
    </w:p>
    <w:p>
      <w:pPr>
        <w:ind w:left="460" w:right="30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Ratification of the selection by the Audit Committee of Deloitte &amp; Touche LLP as the Company’s independent registered public accounting firm for the current fiscal year:</w:t>
      </w:r>
    </w:p>
    <w:p>
      <w:pPr>
        <w:spacing w:after="0" w:line="249" w:lineRule="exact"/>
        <w:rPr>
          <w:sz w:val="20"/>
          <w:szCs w:val="20"/>
          <w:color w:val="auto"/>
        </w:rPr>
      </w:pPr>
    </w:p>
    <w:tbl>
      <w:tblPr>
        <w:tblLayout w:type="fixed"/>
        <w:tblInd w:w="3080" w:type="dxa"/>
        <w:tblCellMar>
          <w:top w:w="0" w:type="dxa"/>
          <w:left w:w="0" w:type="dxa"/>
          <w:bottom w:w="0" w:type="dxa"/>
          <w:right w:w="0" w:type="dxa"/>
        </w:tblCellMar>
      </w:tblPr>
      <w:tr>
        <w:trPr>
          <w:trHeight w:val="161"/>
        </w:trPr>
        <w:tc>
          <w:tcPr>
            <w:tcW w:w="3340" w:type="dxa"/>
            <w:vAlign w:val="bottom"/>
            <w:gridSpan w:val="2"/>
          </w:tcPr>
          <w:p>
            <w:pPr>
              <w:ind w:left="260"/>
              <w:spacing w:after="0"/>
              <w:rPr>
                <w:sz w:val="20"/>
                <w:szCs w:val="20"/>
                <w:color w:val="auto"/>
              </w:rPr>
            </w:pPr>
            <w:r>
              <w:rPr>
                <w:rFonts w:ascii="Arial" w:cs="Arial" w:eastAsia="Arial" w:hAnsi="Arial"/>
                <w:sz w:val="14"/>
                <w:szCs w:val="14"/>
                <w:b w:val="1"/>
                <w:bCs w:val="1"/>
                <w:color w:val="auto"/>
              </w:rPr>
              <w:t>Votes For</w:t>
            </w:r>
          </w:p>
        </w:tc>
        <w:tc>
          <w:tcPr>
            <w:tcW w:w="3320" w:type="dxa"/>
            <w:vAlign w:val="bottom"/>
            <w:gridSpan w:val="2"/>
          </w:tcPr>
          <w:p>
            <w:pPr>
              <w:ind w:left="120"/>
              <w:spacing w:after="0"/>
              <w:rPr>
                <w:sz w:val="20"/>
                <w:szCs w:val="20"/>
                <w:color w:val="auto"/>
              </w:rPr>
            </w:pPr>
            <w:r>
              <w:rPr>
                <w:rFonts w:ascii="Arial" w:cs="Arial" w:eastAsia="Arial" w:hAnsi="Arial"/>
                <w:sz w:val="14"/>
                <w:szCs w:val="14"/>
                <w:b w:val="1"/>
                <w:bCs w:val="1"/>
                <w:color w:val="auto"/>
              </w:rPr>
              <w:t>Votes Against</w:t>
            </w: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w w:val="98"/>
              </w:rPr>
              <w:t>Votes Abstained</w:t>
            </w:r>
          </w:p>
        </w:tc>
      </w:tr>
      <w:tr>
        <w:trPr>
          <w:trHeight w:val="216"/>
        </w:trPr>
        <w:tc>
          <w:tcPr>
            <w:tcW w:w="10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84"/>
              </w:rPr>
              <w:t>23,562,509</w:t>
            </w:r>
          </w:p>
        </w:tc>
        <w:tc>
          <w:tcPr>
            <w:tcW w:w="23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30,303</w:t>
            </w:r>
          </w:p>
        </w:tc>
        <w:tc>
          <w:tcPr>
            <w:tcW w:w="230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2,441</w:t>
            </w:r>
          </w:p>
        </w:tc>
        <w:tc>
          <w:tcPr>
            <w:tcW w:w="20" w:type="dxa"/>
            <w:vAlign w:val="bottom"/>
          </w:tcPr>
          <w:p>
            <w:pPr>
              <w:spacing w:after="0"/>
              <w:rPr>
                <w:sz w:val="18"/>
                <w:szCs w:val="18"/>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1, 2006, our subsidiary Merrimack Services Corporation entered into an amendment to its Lease Agreement, dated January 5, 2000, with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Hillsborough Group, as amended, for property located at 706 Route 101A, Merrimack, New Hampshire. The amendment increased the rental payment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$11,302.67 per month and extended the lease for an additional two year term. The amendment also provided Merrimack Services Corporation an option to renew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lease for one additional two year term, commencing May 1, 2008 and ending April 30, 2010, at the same monthly rate.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April 21, 2006, our subsidiary Merrimack Services Corporation entered into an amendment to its Lease Agreement, dated November 16, 2000, with The Whatman Group, successor-in-interest to Schleicher &amp; Schuell Bioscience, Inc. for property located at 10 Optical Avenue, Keene, New Hampshire. The amendment extended the Lease Agreement for an additional two year term commencing May 23, 2006 and ending May 22, 2008 at the same monthly rate of $10,158.</w:t>
      </w:r>
    </w:p>
    <w:p>
      <w:pPr>
        <w:spacing w:after="0" w:line="13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240" w:top="459" w:right="5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ind w:left="80"/>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4"/>
                <w:szCs w:val="14"/>
                <w:color w:val="auto"/>
              </w:rPr>
            </w:pPr>
          </w:p>
        </w:tc>
        <w:tc>
          <w:tcPr>
            <w:tcW w:w="10260" w:type="dxa"/>
            <w:vAlign w:val="bottom"/>
          </w:tcPr>
          <w:p>
            <w:pPr>
              <w:spacing w:after="0"/>
              <w:rPr>
                <w:sz w:val="14"/>
                <w:szCs w:val="14"/>
                <w:color w:val="auto"/>
              </w:rPr>
            </w:pPr>
          </w:p>
        </w:tc>
      </w:tr>
      <w:tr>
        <w:trPr>
          <w:trHeight w:val="181"/>
        </w:trPr>
        <w:tc>
          <w:tcPr>
            <w:tcW w:w="5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4"/>
              </w:rPr>
              <w:t>Number</w:t>
            </w:r>
          </w:p>
        </w:tc>
        <w:tc>
          <w:tcPr>
            <w:tcW w:w="580" w:type="dxa"/>
            <w:vAlign w:val="bottom"/>
          </w:tcPr>
          <w:p>
            <w:pPr>
              <w:spacing w:after="0"/>
              <w:rPr>
                <w:sz w:val="15"/>
                <w:szCs w:val="15"/>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580" w:type="dxa"/>
            <w:vAlign w:val="bottom"/>
          </w:tcPr>
          <w:p>
            <w:pPr>
              <w:ind w:left="180"/>
              <w:spacing w:after="0" w:line="195" w:lineRule="exact"/>
              <w:rPr>
                <w:sz w:val="20"/>
                <w:szCs w:val="20"/>
                <w:color w:val="auto"/>
              </w:rPr>
            </w:pPr>
            <w:r>
              <w:rPr>
                <w:rFonts w:ascii="Arial" w:cs="Arial" w:eastAsia="Arial" w:hAnsi="Arial"/>
                <w:sz w:val="18"/>
                <w:szCs w:val="18"/>
                <w:color w:val="auto"/>
                <w:w w:val="90"/>
              </w:rPr>
              <w:t>10.1*</w:t>
            </w:r>
          </w:p>
        </w:tc>
        <w:tc>
          <w:tcPr>
            <w:tcW w:w="58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w w:val="94"/>
              </w:rPr>
              <w:t>Amendment, dated May 1, 2006, to the Lease Agreement between Merrimack Services Corporation and The Hillsborough Group, dated</w:t>
            </w:r>
          </w:p>
        </w:tc>
      </w:tr>
      <w:tr>
        <w:trPr>
          <w:trHeight w:val="222"/>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January 5, 2000, for property located at 706 Route 101A, Merrimack, New Hampshire.</w:t>
            </w:r>
          </w:p>
        </w:tc>
      </w:tr>
      <w:tr>
        <w:trPr>
          <w:trHeight w:val="318"/>
        </w:trPr>
        <w:tc>
          <w:tcPr>
            <w:tcW w:w="580" w:type="dxa"/>
            <w:vAlign w:val="bottom"/>
          </w:tcPr>
          <w:p>
            <w:pPr>
              <w:ind w:left="180"/>
              <w:spacing w:after="0"/>
              <w:rPr>
                <w:sz w:val="20"/>
                <w:szCs w:val="20"/>
                <w:color w:val="auto"/>
              </w:rPr>
            </w:pPr>
            <w:r>
              <w:rPr>
                <w:rFonts w:ascii="Arial" w:cs="Arial" w:eastAsia="Arial" w:hAnsi="Arial"/>
                <w:sz w:val="18"/>
                <w:szCs w:val="18"/>
                <w:color w:val="auto"/>
                <w:w w:val="90"/>
              </w:rPr>
              <w:t>10.2*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Amendment, dated April 21, 2006, to the Lease Agreement between Merrimack Services Corporation and Whatman, Inc., dated November 16,</w:t>
            </w:r>
          </w:p>
        </w:tc>
      </w:tr>
      <w:tr>
        <w:trPr>
          <w:trHeight w:val="222"/>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2000, for property located at 10 Optical Avenue, Keene, New Hampshire.</w:t>
            </w:r>
          </w:p>
        </w:tc>
      </w:tr>
      <w:tr>
        <w:trPr>
          <w:trHeight w:val="324"/>
        </w:trPr>
        <w:tc>
          <w:tcPr>
            <w:tcW w:w="580" w:type="dxa"/>
            <w:vAlign w:val="bottom"/>
          </w:tcPr>
          <w:p>
            <w:pPr>
              <w:ind w:left="180"/>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Letter on unaudited interim financial information.</w:t>
            </w:r>
          </w:p>
        </w:tc>
      </w:tr>
      <w:tr>
        <w:trPr>
          <w:trHeight w:val="324"/>
        </w:trPr>
        <w:tc>
          <w:tcPr>
            <w:tcW w:w="580" w:type="dxa"/>
            <w:vAlign w:val="bottom"/>
          </w:tcPr>
          <w:p>
            <w:pPr>
              <w:ind w:left="180"/>
              <w:spacing w:after="0"/>
              <w:rPr>
                <w:sz w:val="20"/>
                <w:szCs w:val="20"/>
                <w:color w:val="auto"/>
              </w:rPr>
            </w:pPr>
            <w:r>
              <w:rPr>
                <w:rFonts w:ascii="Arial" w:cs="Arial" w:eastAsia="Arial" w:hAnsi="Arial"/>
                <w:sz w:val="18"/>
                <w:szCs w:val="18"/>
                <w:color w:val="auto"/>
                <w:w w:val="90"/>
              </w:rPr>
              <w:t>31.1*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Certification of the Company’s President and Chief Executive Officer pursuant to Section 302 of the Sarbanes-Oxley Act of 2002.</w:t>
            </w:r>
          </w:p>
        </w:tc>
      </w:tr>
      <w:tr>
        <w:trPr>
          <w:trHeight w:val="318"/>
        </w:trPr>
        <w:tc>
          <w:tcPr>
            <w:tcW w:w="580" w:type="dxa"/>
            <w:vAlign w:val="bottom"/>
          </w:tcPr>
          <w:p>
            <w:pPr>
              <w:ind w:left="180"/>
              <w:spacing w:after="0"/>
              <w:rPr>
                <w:sz w:val="20"/>
                <w:szCs w:val="20"/>
                <w:color w:val="auto"/>
              </w:rPr>
            </w:pPr>
            <w:r>
              <w:rPr>
                <w:rFonts w:ascii="Arial" w:cs="Arial" w:eastAsia="Arial" w:hAnsi="Arial"/>
                <w:sz w:val="18"/>
                <w:szCs w:val="18"/>
                <w:color w:val="auto"/>
                <w:w w:val="90"/>
              </w:rPr>
              <w:t>31.2*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Certification of the Company’s Senior Vice President, Treasurer and Chief Financial Officer pursuant to Section 302 of the Sarbanes-Oxley Act</w:t>
            </w:r>
          </w:p>
        </w:tc>
      </w:tr>
      <w:tr>
        <w:trPr>
          <w:trHeight w:val="222"/>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of 2002.</w:t>
            </w:r>
          </w:p>
        </w:tc>
      </w:tr>
      <w:tr>
        <w:trPr>
          <w:trHeight w:val="318"/>
        </w:trPr>
        <w:tc>
          <w:tcPr>
            <w:tcW w:w="580" w:type="dxa"/>
            <w:vAlign w:val="bottom"/>
          </w:tcPr>
          <w:p>
            <w:pPr>
              <w:ind w:left="180"/>
              <w:spacing w:after="0"/>
              <w:rPr>
                <w:sz w:val="20"/>
                <w:szCs w:val="20"/>
                <w:color w:val="auto"/>
              </w:rPr>
            </w:pPr>
            <w:r>
              <w:rPr>
                <w:rFonts w:ascii="Arial" w:cs="Arial" w:eastAsia="Arial" w:hAnsi="Arial"/>
                <w:sz w:val="18"/>
                <w:szCs w:val="18"/>
                <w:color w:val="auto"/>
                <w:w w:val="90"/>
              </w:rPr>
              <w:t>32.1*</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Certification of the Company’s President and Chief Executive Officer pursuant to 18 U.S.C. Section 1350, as adopted pursuant to Section 906 of</w:t>
            </w:r>
          </w:p>
        </w:tc>
      </w:tr>
      <w:tr>
        <w:trPr>
          <w:trHeight w:val="222"/>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Sarbanes-Oxley Act of 2002.</w:t>
            </w:r>
          </w:p>
        </w:tc>
      </w:tr>
      <w:tr>
        <w:trPr>
          <w:trHeight w:val="318"/>
        </w:trPr>
        <w:tc>
          <w:tcPr>
            <w:tcW w:w="580" w:type="dxa"/>
            <w:vAlign w:val="bottom"/>
          </w:tcPr>
          <w:p>
            <w:pPr>
              <w:ind w:left="180"/>
              <w:spacing w:after="0"/>
              <w:rPr>
                <w:sz w:val="20"/>
                <w:szCs w:val="20"/>
                <w:color w:val="auto"/>
              </w:rPr>
            </w:pPr>
            <w:r>
              <w:rPr>
                <w:rFonts w:ascii="Arial" w:cs="Arial" w:eastAsia="Arial" w:hAnsi="Arial"/>
                <w:sz w:val="18"/>
                <w:szCs w:val="18"/>
                <w:color w:val="auto"/>
                <w:w w:val="90"/>
              </w:rPr>
              <w:t>32.2*</w:t>
            </w:r>
          </w:p>
        </w:tc>
        <w:tc>
          <w:tcPr>
            <w:tcW w:w="58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Certification of the Company’s Senior Vice President, Treasurer and Chief Financial Officer pursuant to 18 U.S.C. Section 1350, as adopted</w:t>
            </w:r>
          </w:p>
        </w:tc>
      </w:tr>
      <w:tr>
        <w:trPr>
          <w:trHeight w:val="222"/>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PC CONNECTION, INC. AND SUBSIDIARIES</w:t>
      </w:r>
    </w:p>
    <w:p>
      <w:pPr>
        <w:spacing w:after="0" w:line="231" w:lineRule="exact"/>
        <w:rPr>
          <w:sz w:val="20"/>
          <w:szCs w:val="20"/>
          <w:color w:val="auto"/>
        </w:rPr>
      </w:pPr>
    </w:p>
    <w:p>
      <w:pPr>
        <w:spacing w:after="0"/>
        <w:tabs>
          <w:tab w:leader="none" w:pos="5140" w:val="left"/>
          <w:tab w:leader="none" w:pos="7520" w:val="left"/>
          <w:tab w:leader="none" w:pos="7860" w:val="left"/>
        </w:tabs>
        <w:rPr>
          <w:sz w:val="20"/>
          <w:szCs w:val="20"/>
          <w:color w:val="auto"/>
        </w:rPr>
      </w:pPr>
      <w:r>
        <w:rPr>
          <w:rFonts w:ascii="Arial" w:cs="Arial" w:eastAsia="Arial" w:hAnsi="Arial"/>
          <w:sz w:val="18"/>
          <w:szCs w:val="18"/>
          <w:color w:val="auto"/>
        </w:rPr>
        <w:t>Date: August 11,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P</w:t>
      </w:r>
      <w:r>
        <w:rPr>
          <w:rFonts w:ascii="Arial" w:cs="Arial" w:eastAsia="Arial" w:hAnsi="Arial"/>
          <w:sz w:val="14"/>
          <w:szCs w:val="14"/>
          <w:color w:val="auto"/>
        </w:rPr>
        <w:t>ATRICIA</w:t>
      </w:r>
      <w:r>
        <w:rPr>
          <w:rFonts w:ascii="Arial" w:cs="Arial" w:eastAsia="Arial" w:hAnsi="Arial"/>
          <w:sz w:val="18"/>
          <w:szCs w:val="18"/>
          <w:color w:val="auto"/>
        </w:rPr>
        <w:t xml:space="preserve"> G</w:t>
      </w:r>
      <w:r>
        <w:rPr>
          <w:rFonts w:ascii="Arial" w:cs="Arial" w:eastAsia="Arial" w:hAnsi="Arial"/>
          <w:sz w:val="14"/>
          <w:szCs w:val="14"/>
          <w:color w:val="auto"/>
        </w:rPr>
        <w:t>ALLUP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7560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jc w:val="center"/>
        <w:ind w:left="5620"/>
        <w:spacing w:after="0"/>
        <w:rPr>
          <w:sz w:val="20"/>
          <w:szCs w:val="20"/>
          <w:color w:val="auto"/>
        </w:rPr>
      </w:pPr>
      <w:r>
        <w:rPr>
          <w:rFonts w:ascii="Arial" w:cs="Arial" w:eastAsia="Arial" w:hAnsi="Arial"/>
          <w:sz w:val="14"/>
          <w:szCs w:val="14"/>
          <w:b w:val="1"/>
          <w:bCs w:val="1"/>
          <w:color w:val="auto"/>
        </w:rPr>
        <w:t>Patricia Gallup</w:t>
      </w:r>
    </w:p>
    <w:p>
      <w:pPr>
        <w:spacing w:after="0" w:line="1"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Chairman and Chief Executive Officer</w:t>
      </w:r>
    </w:p>
    <w:p>
      <w:pPr>
        <w:spacing w:after="0" w:line="195" w:lineRule="exact"/>
        <w:rPr>
          <w:sz w:val="20"/>
          <w:szCs w:val="20"/>
          <w:color w:val="auto"/>
        </w:rPr>
      </w:pPr>
    </w:p>
    <w:p>
      <w:pPr>
        <w:spacing w:after="0"/>
        <w:tabs>
          <w:tab w:leader="none" w:pos="5140" w:val="left"/>
          <w:tab w:leader="none" w:pos="7580" w:val="left"/>
          <w:tab w:leader="none" w:pos="7920" w:val="left"/>
        </w:tabs>
        <w:rPr>
          <w:sz w:val="20"/>
          <w:szCs w:val="20"/>
          <w:color w:val="auto"/>
        </w:rPr>
      </w:pPr>
      <w:r>
        <w:rPr>
          <w:rFonts w:ascii="Arial" w:cs="Arial" w:eastAsia="Arial" w:hAnsi="Arial"/>
          <w:sz w:val="18"/>
          <w:szCs w:val="18"/>
          <w:color w:val="auto"/>
        </w:rPr>
        <w:t>Date: August 11,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ACK</w:t>
      </w:r>
      <w:r>
        <w:rPr>
          <w:rFonts w:ascii="Arial" w:cs="Arial" w:eastAsia="Arial" w:hAnsi="Arial"/>
          <w:sz w:val="16"/>
          <w:szCs w:val="16"/>
          <w:color w:val="auto"/>
        </w:rPr>
        <w:t xml:space="preserve"> F</w:t>
      </w:r>
      <w:r>
        <w:rPr>
          <w:rFonts w:ascii="Arial" w:cs="Arial" w:eastAsia="Arial" w:hAnsi="Arial"/>
          <w:sz w:val="13"/>
          <w:szCs w:val="13"/>
          <w:color w:val="auto"/>
        </w:rPr>
        <w:t>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7560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jc w:val="center"/>
        <w:ind w:left="5620"/>
        <w:spacing w:after="0"/>
        <w:rPr>
          <w:sz w:val="20"/>
          <w:szCs w:val="20"/>
          <w:color w:val="auto"/>
        </w:rPr>
      </w:pPr>
      <w:r>
        <w:rPr>
          <w:rFonts w:ascii="Arial" w:cs="Arial" w:eastAsia="Arial" w:hAnsi="Arial"/>
          <w:sz w:val="14"/>
          <w:szCs w:val="14"/>
          <w:b w:val="1"/>
          <w:bCs w:val="1"/>
          <w:color w:val="auto"/>
        </w:rPr>
        <w:t>Jack Ferguson</w:t>
      </w:r>
    </w:p>
    <w:p>
      <w:pPr>
        <w:spacing w:after="0" w:line="1"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Senior Vice President, Treasurer and Chief Financial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10.1</w:t>
      </w:r>
    </w:p>
    <w:p>
      <w:pPr>
        <w:spacing w:after="0" w:line="90" w:lineRule="exact"/>
        <w:rPr>
          <w:sz w:val="20"/>
          <w:szCs w:val="20"/>
          <w:color w:val="auto"/>
        </w:rPr>
      </w:pPr>
    </w:p>
    <w:p>
      <w:pPr>
        <w:jc w:val="right"/>
        <w:ind w:right="4800"/>
        <w:spacing w:after="0"/>
        <w:rPr>
          <w:sz w:val="20"/>
          <w:szCs w:val="20"/>
          <w:color w:val="auto"/>
        </w:rPr>
      </w:pPr>
      <w:r>
        <w:rPr>
          <w:rFonts w:ascii="Arial" w:cs="Arial" w:eastAsia="Arial" w:hAnsi="Arial"/>
          <w:sz w:val="18"/>
          <w:szCs w:val="18"/>
          <w:b w:val="1"/>
          <w:bCs w:val="1"/>
          <w:color w:val="auto"/>
        </w:rPr>
        <w:t>LEASE AMENDMENT</w:t>
      </w:r>
    </w:p>
    <w:p>
      <w:pPr>
        <w:spacing w:after="0" w:line="177" w:lineRule="exact"/>
        <w:rPr>
          <w:sz w:val="20"/>
          <w:szCs w:val="20"/>
          <w:color w:val="auto"/>
        </w:rPr>
      </w:pPr>
    </w:p>
    <w:p>
      <w:pPr>
        <w:jc w:val="right"/>
        <w:ind w:right="4760"/>
        <w:spacing w:after="0"/>
        <w:rPr>
          <w:sz w:val="20"/>
          <w:szCs w:val="20"/>
          <w:color w:val="auto"/>
        </w:rPr>
      </w:pPr>
      <w:r>
        <w:rPr>
          <w:rFonts w:ascii="Arial" w:cs="Arial" w:eastAsia="Arial" w:hAnsi="Arial"/>
          <w:sz w:val="16"/>
          <w:szCs w:val="16"/>
          <w:color w:val="auto"/>
        </w:rPr>
        <w:t>BY THIS INDENTURE OF LEASE, dated January 5, 2000, commencing May 1, 2006,</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Hillsborough Group, a General Partnership, duly authorized under the laws of the State of New Hampshire, with a principal place of business at 436 South River Road, Building B, Bedford, County of Hillsborough and State of New Hampshire (hereinafter called “Lessor”) leases to Merrimack Services Corporation (a subsidiary of PC Connection, Inc.), with a principal place of business located at Route 101A, 730 Milford Road, Merrimack, New Hampshire 03054 (hereinafter called “Lessee”):</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A 9,688 S.F. Building, more or less, located at 706 Route 101A, Merrimack, NH, for a term of two (2) years, commencing May 1, 2006 for a base rent of $14.00 per square foot which is equal to an annual rent of $135,632 payable in equal monthly installments of $11,302.67 in advance on the 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day of each month, commencing with the first month of the term, to EastPoint Properties, Inc., at 436 South River Road, Building B, Bedford NH, all in accordance with the terms described in Paragraphs 5 through 19, as well as the late payment clause in Paragraph 4, of the current lease for the building dated January 5, 2000. Lessee must exercise the renewal option in writing delivered to Lessor on or before 5:00 P.M. on October 1, 2007 or Lessee loses all rights to extend this Lease.</w:t>
      </w:r>
    </w:p>
    <w:p>
      <w:pPr>
        <w:spacing w:after="0" w:line="12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Lessee shall have the right to renew the lease for the entire building for one additional two (2) year term as follows: May 1, 2008 – April 30, 2010 at the existing rate of $14.00. All provisions of the Lease shall continue during the renewal term. Lessee must exercise the renewal option in writing delivered to Lessor on or before 5:00 P.M. on October 1, 2009 or Lessee loses all rights to extend this Lease.</w:t>
      </w:r>
    </w:p>
    <w:p>
      <w:pPr>
        <w:spacing w:after="0" w:line="14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All the terms and conditions found in the lease dated January 5, 2000 shall be in full force and effect throughout the term of this amendment and subsequent renewal.</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WITNESS WHEREOF, the parties have caused this lease amendment to be executed on the day and date first above written. This lease shall be binding on all parties as well as their respective successors, assigns, heirs, executors and administrators.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7920" w:type="dxa"/>
            <w:vAlign w:val="bottom"/>
            <w:gridSpan w:val="2"/>
          </w:tcPr>
          <w:p>
            <w:pPr>
              <w:ind w:left="2080"/>
              <w:spacing w:after="0"/>
              <w:rPr>
                <w:sz w:val="20"/>
                <w:szCs w:val="20"/>
                <w:color w:val="auto"/>
              </w:rPr>
            </w:pPr>
            <w:r>
              <w:rPr>
                <w:rFonts w:ascii="Arial" w:cs="Arial" w:eastAsia="Arial" w:hAnsi="Arial"/>
                <w:sz w:val="18"/>
                <w:szCs w:val="18"/>
                <w:color w:val="auto"/>
              </w:rPr>
              <w:t>LESSOR:</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920" w:type="dxa"/>
            <w:vAlign w:val="bottom"/>
            <w:gridSpan w:val="2"/>
          </w:tcPr>
          <w:p>
            <w:pPr>
              <w:ind w:left="2080"/>
              <w:spacing w:after="0"/>
              <w:rPr>
                <w:sz w:val="20"/>
                <w:szCs w:val="20"/>
                <w:color w:val="auto"/>
              </w:rPr>
            </w:pPr>
            <w:r>
              <w:rPr>
                <w:rFonts w:ascii="Arial" w:cs="Arial" w:eastAsia="Arial" w:hAnsi="Arial"/>
                <w:sz w:val="18"/>
                <w:szCs w:val="18"/>
                <w:color w:val="auto"/>
              </w:rPr>
              <w:t>THE HILLSBOROUGH GROUP</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/s/ Patty St. Laurent</w:t>
            </w:r>
          </w:p>
        </w:tc>
        <w:tc>
          <w:tcPr>
            <w:tcW w:w="2100" w:type="dxa"/>
            <w:vAlign w:val="bottom"/>
          </w:tcPr>
          <w:p>
            <w:pPr>
              <w:spacing w:after="0"/>
              <w:rPr>
                <w:sz w:val="24"/>
                <w:szCs w:val="24"/>
                <w:color w:val="auto"/>
              </w:rPr>
            </w:pPr>
          </w:p>
        </w:tc>
        <w:tc>
          <w:tcPr>
            <w:tcW w:w="7920" w:type="dxa"/>
            <w:vAlign w:val="bottom"/>
            <w:gridSpan w:val="2"/>
          </w:tcPr>
          <w:p>
            <w:pPr>
              <w:ind w:left="2080"/>
              <w:spacing w:after="0"/>
              <w:rPr>
                <w:sz w:val="20"/>
                <w:szCs w:val="20"/>
                <w:color w:val="auto"/>
              </w:rPr>
            </w:pPr>
            <w:r>
              <w:rPr>
                <w:rFonts w:ascii="Arial" w:cs="Arial" w:eastAsia="Arial" w:hAnsi="Arial"/>
                <w:sz w:val="18"/>
                <w:szCs w:val="18"/>
                <w:color w:val="auto"/>
              </w:rPr>
              <w:t>By: /s/ Art DeSaulnier</w:t>
            </w:r>
          </w:p>
        </w:tc>
        <w:tc>
          <w:tcPr>
            <w:tcW w:w="0" w:type="dxa"/>
            <w:vAlign w:val="bottom"/>
          </w:tcPr>
          <w:p>
            <w:pPr>
              <w:spacing w:after="0"/>
              <w:rPr>
                <w:sz w:val="1"/>
                <w:szCs w:val="1"/>
                <w:color w:val="auto"/>
              </w:rPr>
            </w:pPr>
          </w:p>
        </w:tc>
      </w:tr>
      <w:tr>
        <w:trPr>
          <w:trHeight w:val="21"/>
        </w:trPr>
        <w:tc>
          <w:tcPr>
            <w:tcW w:w="3500" w:type="dxa"/>
            <w:vAlign w:val="bottom"/>
            <w:gridSpan w:val="4"/>
            <w:vMerge w:val="restart"/>
          </w:tcPr>
          <w:p>
            <w:pPr>
              <w:spacing w:after="0"/>
              <w:rPr>
                <w:sz w:val="20"/>
                <w:szCs w:val="20"/>
                <w:color w:val="auto"/>
              </w:rPr>
            </w:pPr>
            <w:r>
              <w:rPr>
                <w:rFonts w:ascii="Arial" w:cs="Arial" w:eastAsia="Arial" w:hAnsi="Arial"/>
                <w:sz w:val="18"/>
                <w:szCs w:val="18"/>
                <w:color w:val="auto"/>
              </w:rPr>
              <w:t>Witness</w:t>
            </w:r>
          </w:p>
        </w:tc>
        <w:tc>
          <w:tcPr>
            <w:tcW w:w="2460" w:type="dxa"/>
            <w:vAlign w:val="bottom"/>
            <w:vMerge w:val="restart"/>
          </w:tcPr>
          <w:p>
            <w:pPr>
              <w:ind w:left="2080"/>
              <w:spacing w:after="0"/>
              <w:rPr>
                <w:sz w:val="20"/>
                <w:szCs w:val="20"/>
                <w:color w:val="auto"/>
              </w:rPr>
            </w:pPr>
            <w:r>
              <w:rPr>
                <w:rFonts w:ascii="Arial" w:cs="Arial" w:eastAsia="Arial" w:hAnsi="Arial"/>
                <w:sz w:val="18"/>
                <w:szCs w:val="18"/>
                <w:color w:val="auto"/>
              </w:rPr>
              <w:t>Its:</w:t>
            </w:r>
          </w:p>
        </w:tc>
        <w:tc>
          <w:tcPr>
            <w:tcW w:w="5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500" w:type="dxa"/>
            <w:vAlign w:val="bottom"/>
            <w:gridSpan w:val="4"/>
            <w:vMerge w:val="continue"/>
          </w:tcPr>
          <w:p>
            <w:pPr>
              <w:spacing w:after="0"/>
              <w:rPr>
                <w:sz w:val="19"/>
                <w:szCs w:val="19"/>
                <w:color w:val="auto"/>
              </w:rPr>
            </w:pPr>
          </w:p>
        </w:tc>
        <w:tc>
          <w:tcPr>
            <w:tcW w:w="2460" w:type="dxa"/>
            <w:vAlign w:val="bottom"/>
            <w:vMerge w:val="continue"/>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Agent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920" w:type="dxa"/>
            <w:vAlign w:val="bottom"/>
            <w:gridSpan w:val="2"/>
          </w:tcPr>
          <w:p>
            <w:pPr>
              <w:ind w:left="2080"/>
              <w:spacing w:after="0"/>
              <w:rPr>
                <w:sz w:val="20"/>
                <w:szCs w:val="20"/>
                <w:color w:val="auto"/>
              </w:rPr>
            </w:pPr>
            <w:r>
              <w:rPr>
                <w:rFonts w:ascii="Arial" w:cs="Arial" w:eastAsia="Arial" w:hAnsi="Arial"/>
                <w:sz w:val="18"/>
                <w:szCs w:val="18"/>
                <w:color w:val="auto"/>
              </w:rPr>
              <w:t>LESSEE:</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920" w:type="dxa"/>
            <w:vAlign w:val="bottom"/>
            <w:gridSpan w:val="2"/>
          </w:tcPr>
          <w:p>
            <w:pPr>
              <w:ind w:left="2080"/>
              <w:spacing w:after="0"/>
              <w:rPr>
                <w:sz w:val="20"/>
                <w:szCs w:val="20"/>
                <w:color w:val="auto"/>
              </w:rPr>
            </w:pPr>
            <w:r>
              <w:rPr>
                <w:rFonts w:ascii="Arial" w:cs="Arial" w:eastAsia="Arial" w:hAnsi="Arial"/>
                <w:sz w:val="18"/>
                <w:szCs w:val="18"/>
                <w:color w:val="auto"/>
              </w:rPr>
              <w:t>MERRIMACK SERVICES CORPORATION</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/s/ Pamela J. Carter</w:t>
            </w:r>
          </w:p>
        </w:tc>
        <w:tc>
          <w:tcPr>
            <w:tcW w:w="2120" w:type="dxa"/>
            <w:vAlign w:val="bottom"/>
            <w:gridSpan w:val="2"/>
          </w:tcPr>
          <w:p>
            <w:pPr>
              <w:spacing w:after="0"/>
              <w:rPr>
                <w:sz w:val="24"/>
                <w:szCs w:val="24"/>
                <w:color w:val="auto"/>
              </w:rPr>
            </w:pPr>
          </w:p>
        </w:tc>
        <w:tc>
          <w:tcPr>
            <w:tcW w:w="2460" w:type="dxa"/>
            <w:vAlign w:val="bottom"/>
          </w:tcPr>
          <w:p>
            <w:pPr>
              <w:ind w:left="2080"/>
              <w:spacing w:after="0"/>
              <w:rPr>
                <w:sz w:val="20"/>
                <w:szCs w:val="20"/>
                <w:color w:val="auto"/>
              </w:rPr>
            </w:pPr>
            <w:r>
              <w:rPr>
                <w:rFonts w:ascii="Arial" w:cs="Arial" w:eastAsia="Arial" w:hAnsi="Arial"/>
                <w:sz w:val="18"/>
                <w:szCs w:val="18"/>
                <w:color w:val="auto"/>
              </w:rPr>
              <w:t>By:</w:t>
            </w:r>
          </w:p>
        </w:tc>
        <w:tc>
          <w:tcPr>
            <w:tcW w:w="5460" w:type="dxa"/>
            <w:vAlign w:val="bottom"/>
          </w:tcPr>
          <w:p>
            <w:pPr>
              <w:spacing w:after="0"/>
              <w:rPr>
                <w:sz w:val="20"/>
                <w:szCs w:val="20"/>
                <w:color w:val="auto"/>
              </w:rPr>
            </w:pPr>
            <w:r>
              <w:rPr>
                <w:rFonts w:ascii="Arial" w:cs="Arial" w:eastAsia="Arial" w:hAnsi="Arial"/>
                <w:sz w:val="18"/>
                <w:szCs w:val="18"/>
                <w:color w:val="auto"/>
              </w:rPr>
              <w:t>/s/ Robert A. Pratt</w:t>
            </w:r>
          </w:p>
        </w:tc>
        <w:tc>
          <w:tcPr>
            <w:tcW w:w="0" w:type="dxa"/>
            <w:vAlign w:val="bottom"/>
          </w:tcPr>
          <w:p>
            <w:pPr>
              <w:spacing w:after="0"/>
              <w:rPr>
                <w:sz w:val="1"/>
                <w:szCs w:val="1"/>
                <w:color w:val="auto"/>
              </w:rPr>
            </w:pPr>
          </w:p>
        </w:tc>
      </w:tr>
      <w:tr>
        <w:trPr>
          <w:trHeight w:val="21"/>
        </w:trPr>
        <w:tc>
          <w:tcPr>
            <w:tcW w:w="3500" w:type="dxa"/>
            <w:vAlign w:val="bottom"/>
            <w:gridSpan w:val="4"/>
            <w:vMerge w:val="restart"/>
          </w:tcPr>
          <w:p>
            <w:pPr>
              <w:spacing w:after="0"/>
              <w:rPr>
                <w:sz w:val="20"/>
                <w:szCs w:val="20"/>
                <w:color w:val="auto"/>
              </w:rPr>
            </w:pPr>
            <w:r>
              <w:rPr>
                <w:rFonts w:ascii="Arial" w:cs="Arial" w:eastAsia="Arial" w:hAnsi="Arial"/>
                <w:sz w:val="18"/>
                <w:szCs w:val="18"/>
                <w:color w:val="auto"/>
              </w:rPr>
              <w:t>Witness</w:t>
            </w:r>
          </w:p>
        </w:tc>
        <w:tc>
          <w:tcPr>
            <w:tcW w:w="2460" w:type="dxa"/>
            <w:vAlign w:val="bottom"/>
            <w:vMerge w:val="restart"/>
          </w:tcPr>
          <w:p>
            <w:pPr>
              <w:ind w:left="2080"/>
              <w:spacing w:after="0"/>
              <w:rPr>
                <w:sz w:val="20"/>
                <w:szCs w:val="20"/>
                <w:color w:val="auto"/>
              </w:rPr>
            </w:pPr>
            <w:r>
              <w:rPr>
                <w:rFonts w:ascii="Arial" w:cs="Arial" w:eastAsia="Arial" w:hAnsi="Arial"/>
                <w:sz w:val="18"/>
                <w:szCs w:val="18"/>
                <w:color w:val="auto"/>
              </w:rPr>
              <w:t>Its:</w:t>
            </w:r>
          </w:p>
        </w:tc>
        <w:tc>
          <w:tcPr>
            <w:tcW w:w="5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500" w:type="dxa"/>
            <w:vAlign w:val="bottom"/>
            <w:gridSpan w:val="4"/>
            <w:vMerge w:val="continue"/>
          </w:tcPr>
          <w:p>
            <w:pPr>
              <w:spacing w:after="0"/>
              <w:rPr>
                <w:sz w:val="19"/>
                <w:szCs w:val="19"/>
                <w:color w:val="auto"/>
              </w:rPr>
            </w:pPr>
          </w:p>
        </w:tc>
        <w:tc>
          <w:tcPr>
            <w:tcW w:w="2460" w:type="dxa"/>
            <w:vAlign w:val="bottom"/>
            <w:vMerge w:val="continue"/>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Vice President of Facilities &amp; Site Services</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10.2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LEASE</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THIS FIRST AMENDMENT TO LEASE dated as of April 21, 2006 (“First Amendment”), amends the Lease Agreement dated November 16, 2000 (“Lease”) between WHATMAN, INC., having an office at 200 Park Avenue, Florham Park, New Jersey 07932 (the successor-by-merger to Schleicher &amp; Schuell Bioscience, Inc., successor-in-interest to Schleicher &amp; Schuell, Inc.) (“Landlord”) and MERRIMACK SERVICES CORPORATION, having an office at 730 Milford Road, Merrimack, New Hampshire 03054 (“Tenant”).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pursuant to the terms of the Lease, the Lease term expires on May 22, 2006;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pursuant to the terms of the Lease, the Tenant has two (2) options to extend the Lease for a two-year period each;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Tenant has provided the Landlord with written notice of its desire to exercise one of its options to extend the Lease for a two-year period;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WHEREAS, Landlord and Tenant each wish to enter into this First Amendment to provide for (i) the extension of the term of the Lease, and (ii) the adjusted rent payment for the extended term of the Lease.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mutual agreements herein set forth and other good and valuable consideration, the parties agree as follows:</w:t>
      </w:r>
    </w:p>
    <w:p>
      <w:pPr>
        <w:spacing w:after="0" w:line="113" w:lineRule="exact"/>
        <w:rPr>
          <w:sz w:val="20"/>
          <w:szCs w:val="20"/>
          <w:color w:val="auto"/>
        </w:rPr>
      </w:pPr>
    </w:p>
    <w:p>
      <w:pPr>
        <w:ind w:left="640" w:hanging="176"/>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Capitalized Terms</w:t>
      </w:r>
      <w:r>
        <w:rPr>
          <w:rFonts w:ascii="Arial" w:cs="Arial" w:eastAsia="Arial" w:hAnsi="Arial"/>
          <w:sz w:val="16"/>
          <w:szCs w:val="16"/>
          <w:color w:val="auto"/>
        </w:rPr>
        <w:t>. Except as otherwise expressly set forth herein, all capitalized terms used herein shall have the meanings set forth in the Lease.</w:t>
      </w:r>
    </w:p>
    <w:p>
      <w:pPr>
        <w:spacing w:after="0" w:line="194" w:lineRule="exact"/>
        <w:rPr>
          <w:rFonts w:ascii="Arial" w:cs="Arial" w:eastAsia="Arial" w:hAnsi="Arial"/>
          <w:sz w:val="16"/>
          <w:szCs w:val="16"/>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The term of the Lease is hereby extended to May 22, 2008.</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Rent</w:t>
      </w:r>
      <w:r>
        <w:rPr>
          <w:rFonts w:ascii="Arial" w:cs="Arial" w:eastAsia="Arial" w:hAnsi="Arial"/>
          <w:sz w:val="18"/>
          <w:szCs w:val="18"/>
          <w:color w:val="auto"/>
        </w:rPr>
        <w:t>. The rent for the first option term shall be payable in accordance with Paragraph 4(b) of the Lease.</w:t>
      </w:r>
    </w:p>
    <w:p>
      <w:pPr>
        <w:spacing w:after="0" w:line="171" w:lineRule="exact"/>
        <w:rPr>
          <w:rFonts w:ascii="Arial" w:cs="Arial" w:eastAsia="Arial" w:hAnsi="Arial"/>
          <w:sz w:val="18"/>
          <w:szCs w:val="18"/>
          <w:color w:val="auto"/>
        </w:rPr>
      </w:pPr>
    </w:p>
    <w:p>
      <w:pPr>
        <w:ind w:right="680" w:firstLine="464"/>
        <w:spacing w:after="0" w:line="268"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Remaining Option</w:t>
      </w:r>
      <w:r>
        <w:rPr>
          <w:rFonts w:ascii="Arial" w:cs="Arial" w:eastAsia="Arial" w:hAnsi="Arial"/>
          <w:sz w:val="18"/>
          <w:szCs w:val="18"/>
          <w:color w:val="auto"/>
        </w:rPr>
        <w:t>. The Landlord and Tenant hereby acknowledge that there remains one (1) two-year option to renew the Lease, which may be exercised by the Tenant in accordance with the terms of the Lease.</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Entire Amendment</w:t>
      </w:r>
      <w:r>
        <w:rPr>
          <w:rFonts w:ascii="Arial" w:cs="Arial" w:eastAsia="Arial" w:hAnsi="Arial"/>
          <w:sz w:val="16"/>
          <w:szCs w:val="16"/>
          <w:color w:val="auto"/>
        </w:rPr>
        <w:t>. Except as expressly amended hereby, all of the terms, covenants and provisions of the Lease shall remain in full force and effect.</w:t>
      </w:r>
    </w:p>
    <w:p>
      <w:pPr>
        <w:spacing w:after="0" w:line="188" w:lineRule="exact"/>
        <w:rPr>
          <w:rFonts w:ascii="Arial" w:cs="Arial" w:eastAsia="Arial" w:hAnsi="Arial"/>
          <w:sz w:val="16"/>
          <w:szCs w:val="16"/>
          <w:color w:val="auto"/>
        </w:rPr>
      </w:pPr>
    </w:p>
    <w:p>
      <w:pPr>
        <w:ind w:left="4360"/>
        <w:spacing w:after="0"/>
        <w:rPr>
          <w:rFonts w:ascii="Arial" w:cs="Arial" w:eastAsia="Arial" w:hAnsi="Arial"/>
          <w:sz w:val="16"/>
          <w:szCs w:val="16"/>
          <w:color w:val="auto"/>
        </w:rPr>
      </w:pPr>
      <w:r>
        <w:rPr>
          <w:rFonts w:ascii="Arial" w:cs="Arial" w:eastAsia="Arial" w:hAnsi="Arial"/>
          <w:sz w:val="18"/>
          <w:szCs w:val="18"/>
          <w:b w:val="1"/>
          <w:bCs w:val="1"/>
          <w:color w:val="auto"/>
        </w:rPr>
        <w:t>[the next page is the signature page]</w:t>
      </w:r>
    </w:p>
    <w:p>
      <w:pPr>
        <w:sectPr>
          <w:pgSz w:w="11900" w:h="16838" w:orient="portrait"/>
          <w:cols w:equalWidth="0" w:num="1">
            <w:col w:w="11420"/>
          </w:cols>
          <w:pgMar w:left="240" w:top="125" w:right="239" w:bottom="1440" w:gutter="0" w:footer="0" w:header="0"/>
        </w:sectPr>
      </w:pPr>
    </w:p>
    <w:bookmarkStart w:id="45" w:name="page46"/>
    <w:bookmarkEnd w:id="4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hereunto set their hands and seals as of the day and year first above written.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7"/>
              </w:rPr>
              <w:t>LANDLORD:</w:t>
            </w: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4"/>
        </w:trPr>
        <w:tc>
          <w:tcPr>
            <w:tcW w:w="5420" w:type="dxa"/>
            <w:vAlign w:val="bottom"/>
          </w:tcPr>
          <w:p>
            <w:pPr>
              <w:spacing w:after="0"/>
              <w:rPr>
                <w:sz w:val="20"/>
                <w:szCs w:val="20"/>
                <w:color w:val="auto"/>
              </w:rPr>
            </w:pPr>
            <w:r>
              <w:rPr>
                <w:rFonts w:ascii="Arial" w:cs="Arial" w:eastAsia="Arial" w:hAnsi="Arial"/>
                <w:sz w:val="18"/>
                <w:szCs w:val="18"/>
                <w:color w:val="auto"/>
              </w:rPr>
              <w:t>WITNESS:</w:t>
            </w:r>
          </w:p>
        </w:tc>
        <w:tc>
          <w:tcPr>
            <w:tcW w:w="560" w:type="dxa"/>
            <w:vAlign w:val="bottom"/>
          </w:tcPr>
          <w:p>
            <w:pPr>
              <w:spacing w:after="0"/>
              <w:rPr>
                <w:sz w:val="24"/>
                <w:szCs w:val="24"/>
                <w:color w:val="auto"/>
              </w:rPr>
            </w:pPr>
          </w:p>
        </w:tc>
        <w:tc>
          <w:tcPr>
            <w:tcW w:w="5440" w:type="dxa"/>
            <w:vAlign w:val="bottom"/>
            <w:gridSpan w:val="5"/>
          </w:tcPr>
          <w:p>
            <w:pPr>
              <w:spacing w:after="0"/>
              <w:rPr>
                <w:sz w:val="20"/>
                <w:szCs w:val="20"/>
                <w:color w:val="auto"/>
              </w:rPr>
            </w:pPr>
            <w:r>
              <w:rPr>
                <w:rFonts w:ascii="Arial" w:cs="Arial" w:eastAsia="Arial" w:hAnsi="Arial"/>
                <w:sz w:val="18"/>
                <w:szCs w:val="18"/>
                <w:color w:val="auto"/>
              </w:rPr>
              <w:t>WHATMAN, INC. (the successor-by-merger to Schleicher &amp; Schuell</w:t>
            </w:r>
          </w:p>
        </w:tc>
        <w:tc>
          <w:tcPr>
            <w:tcW w:w="0" w:type="dxa"/>
            <w:vAlign w:val="bottom"/>
          </w:tcPr>
          <w:p>
            <w:pPr>
              <w:spacing w:after="0"/>
              <w:rPr>
                <w:sz w:val="1"/>
                <w:szCs w:val="1"/>
                <w:color w:val="auto"/>
              </w:rPr>
            </w:pPr>
          </w:p>
        </w:tc>
      </w:tr>
      <w:tr>
        <w:trPr>
          <w:trHeight w:val="222"/>
        </w:trPr>
        <w:tc>
          <w:tcPr>
            <w:tcW w:w="5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40" w:type="dxa"/>
            <w:vAlign w:val="bottom"/>
            <w:gridSpan w:val="5"/>
          </w:tcPr>
          <w:p>
            <w:pPr>
              <w:spacing w:after="0"/>
              <w:rPr>
                <w:sz w:val="20"/>
                <w:szCs w:val="20"/>
                <w:color w:val="auto"/>
              </w:rPr>
            </w:pPr>
            <w:r>
              <w:rPr>
                <w:rFonts w:ascii="Arial" w:cs="Arial" w:eastAsia="Arial" w:hAnsi="Arial"/>
                <w:sz w:val="18"/>
                <w:szCs w:val="18"/>
                <w:color w:val="auto"/>
              </w:rPr>
              <w:t>Bioscience, Inc., successor-in-interest to Schleicher &amp; Schuell, Inc.)</w:t>
            </w:r>
          </w:p>
        </w:tc>
        <w:tc>
          <w:tcPr>
            <w:tcW w:w="0" w:type="dxa"/>
            <w:vAlign w:val="bottom"/>
          </w:tcPr>
          <w:p>
            <w:pPr>
              <w:spacing w:after="0"/>
              <w:rPr>
                <w:sz w:val="1"/>
                <w:szCs w:val="1"/>
                <w:color w:val="auto"/>
              </w:rPr>
            </w:pPr>
          </w:p>
        </w:tc>
      </w:tr>
      <w:tr>
        <w:trPr>
          <w:trHeight w:val="432"/>
        </w:trPr>
        <w:tc>
          <w:tcPr>
            <w:tcW w:w="5420" w:type="dxa"/>
            <w:vAlign w:val="bottom"/>
          </w:tcPr>
          <w:p>
            <w:pPr>
              <w:spacing w:after="0"/>
              <w:rPr>
                <w:sz w:val="20"/>
                <w:szCs w:val="20"/>
                <w:color w:val="auto"/>
              </w:rPr>
            </w:pPr>
            <w:r>
              <w:rPr>
                <w:rFonts w:ascii="Arial" w:cs="Arial" w:eastAsia="Arial" w:hAnsi="Arial"/>
                <w:sz w:val="18"/>
                <w:szCs w:val="18"/>
                <w:color w:val="auto"/>
              </w:rPr>
              <w:t>/s/ Helen Elizabeth Thomas</w:t>
            </w:r>
          </w:p>
        </w:tc>
        <w:tc>
          <w:tcPr>
            <w:tcW w:w="56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gridSpan w:val="4"/>
          </w:tcPr>
          <w:p>
            <w:pPr>
              <w:ind w:left="60"/>
              <w:spacing w:after="0"/>
              <w:rPr>
                <w:sz w:val="20"/>
                <w:szCs w:val="20"/>
                <w:color w:val="auto"/>
              </w:rPr>
            </w:pPr>
            <w:r>
              <w:rPr>
                <w:rFonts w:ascii="Arial" w:cs="Arial" w:eastAsia="Arial" w:hAnsi="Arial"/>
                <w:sz w:val="18"/>
                <w:szCs w:val="18"/>
                <w:color w:val="auto"/>
              </w:rPr>
              <w:t>/s/ John N. Bonnar</w:t>
            </w:r>
          </w:p>
        </w:tc>
        <w:tc>
          <w:tcPr>
            <w:tcW w:w="0" w:type="dxa"/>
            <w:vAlign w:val="bottom"/>
          </w:tcPr>
          <w:p>
            <w:pPr>
              <w:spacing w:after="0"/>
              <w:rPr>
                <w:sz w:val="1"/>
                <w:szCs w:val="1"/>
                <w:color w:val="auto"/>
              </w:rPr>
            </w:pPr>
          </w:p>
        </w:tc>
      </w:tr>
      <w:tr>
        <w:trPr>
          <w:trHeight w:val="20"/>
        </w:trPr>
        <w:tc>
          <w:tcPr>
            <w:tcW w:w="5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vMerge w:val="restart"/>
          </w:tcPr>
          <w:p>
            <w:pPr>
              <w:spacing w:after="0"/>
              <w:rPr>
                <w:sz w:val="20"/>
                <w:szCs w:val="20"/>
                <w:color w:val="auto"/>
              </w:rPr>
            </w:pPr>
            <w:r>
              <w:rPr>
                <w:rFonts w:ascii="Arial" w:cs="Arial" w:eastAsia="Arial" w:hAnsi="Arial"/>
                <w:sz w:val="18"/>
                <w:szCs w:val="18"/>
                <w:color w:val="auto"/>
                <w:w w:val="94"/>
              </w:rPr>
              <w:t>Name:</w:t>
            </w: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20" w:type="dxa"/>
            <w:vAlign w:val="bottom"/>
          </w:tcPr>
          <w:p>
            <w:pPr>
              <w:spacing w:after="0"/>
              <w:rPr>
                <w:sz w:val="20"/>
                <w:szCs w:val="20"/>
                <w:color w:val="auto"/>
              </w:rPr>
            </w:pPr>
            <w:r>
              <w:rPr>
                <w:rFonts w:ascii="Arial" w:cs="Arial" w:eastAsia="Arial" w:hAnsi="Arial"/>
                <w:sz w:val="18"/>
                <w:szCs w:val="18"/>
                <w:color w:val="auto"/>
              </w:rPr>
              <w:t>Name: Helen Elizabeth Thomas</w:t>
            </w:r>
          </w:p>
        </w:tc>
        <w:tc>
          <w:tcPr>
            <w:tcW w:w="5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4920" w:type="dxa"/>
            <w:vAlign w:val="bottom"/>
            <w:gridSpan w:val="4"/>
          </w:tcPr>
          <w:p>
            <w:pPr>
              <w:ind w:left="60"/>
              <w:spacing w:after="0"/>
              <w:rPr>
                <w:sz w:val="20"/>
                <w:szCs w:val="20"/>
                <w:color w:val="auto"/>
              </w:rPr>
            </w:pPr>
            <w:r>
              <w:rPr>
                <w:rFonts w:ascii="Arial" w:cs="Arial" w:eastAsia="Arial" w:hAnsi="Arial"/>
                <w:sz w:val="18"/>
                <w:szCs w:val="18"/>
                <w:color w:val="auto"/>
              </w:rPr>
              <w:t>John N. Bonnar</w:t>
            </w:r>
          </w:p>
        </w:tc>
        <w:tc>
          <w:tcPr>
            <w:tcW w:w="0" w:type="dxa"/>
            <w:vAlign w:val="bottom"/>
          </w:tcPr>
          <w:p>
            <w:pPr>
              <w:spacing w:after="0"/>
              <w:rPr>
                <w:sz w:val="1"/>
                <w:szCs w:val="1"/>
                <w:color w:val="auto"/>
              </w:rPr>
            </w:pP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Title:  Partner</w:t>
            </w:r>
          </w:p>
        </w:tc>
        <w:tc>
          <w:tcPr>
            <w:tcW w:w="56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gridSpan w:val="4"/>
          </w:tcPr>
          <w:p>
            <w:pPr>
              <w:ind w:left="6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394"/>
        </w:trPr>
        <w:tc>
          <w:tcPr>
            <w:tcW w:w="5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3"/>
              </w:rPr>
              <w:t>TENANT:</w:t>
            </w:r>
          </w:p>
        </w:tc>
        <w:tc>
          <w:tcPr>
            <w:tcW w:w="47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420" w:type="dxa"/>
            <w:vAlign w:val="bottom"/>
          </w:tcPr>
          <w:p>
            <w:pPr>
              <w:spacing w:after="0"/>
              <w:rPr>
                <w:sz w:val="20"/>
                <w:szCs w:val="20"/>
                <w:color w:val="auto"/>
              </w:rPr>
            </w:pPr>
            <w:r>
              <w:rPr>
                <w:rFonts w:ascii="Arial" w:cs="Arial" w:eastAsia="Arial" w:hAnsi="Arial"/>
                <w:sz w:val="18"/>
                <w:szCs w:val="18"/>
                <w:color w:val="auto"/>
              </w:rPr>
              <w:t>WITNESS:</w:t>
            </w:r>
          </w:p>
        </w:tc>
        <w:tc>
          <w:tcPr>
            <w:tcW w:w="560" w:type="dxa"/>
            <w:vAlign w:val="bottom"/>
          </w:tcPr>
          <w:p>
            <w:pPr>
              <w:spacing w:after="0"/>
              <w:rPr>
                <w:sz w:val="24"/>
                <w:szCs w:val="24"/>
                <w:color w:val="auto"/>
              </w:rPr>
            </w:pPr>
          </w:p>
        </w:tc>
        <w:tc>
          <w:tcPr>
            <w:tcW w:w="5440" w:type="dxa"/>
            <w:vAlign w:val="bottom"/>
            <w:gridSpan w:val="5"/>
          </w:tcPr>
          <w:p>
            <w:pPr>
              <w:spacing w:after="0"/>
              <w:rPr>
                <w:sz w:val="20"/>
                <w:szCs w:val="20"/>
                <w:color w:val="auto"/>
              </w:rPr>
            </w:pPr>
            <w:r>
              <w:rPr>
                <w:rFonts w:ascii="Arial" w:cs="Arial" w:eastAsia="Arial" w:hAnsi="Arial"/>
                <w:sz w:val="18"/>
                <w:szCs w:val="18"/>
                <w:color w:val="auto"/>
              </w:rPr>
              <w:t>MERRIMACK SERVICES CORPORATION</w:t>
            </w:r>
          </w:p>
        </w:tc>
        <w:tc>
          <w:tcPr>
            <w:tcW w:w="0" w:type="dxa"/>
            <w:vAlign w:val="bottom"/>
          </w:tcPr>
          <w:p>
            <w:pPr>
              <w:spacing w:after="0"/>
              <w:rPr>
                <w:sz w:val="1"/>
                <w:szCs w:val="1"/>
                <w:color w:val="auto"/>
              </w:rPr>
            </w:pPr>
          </w:p>
        </w:tc>
      </w:tr>
      <w:tr>
        <w:trPr>
          <w:trHeight w:val="434"/>
        </w:trPr>
        <w:tc>
          <w:tcPr>
            <w:tcW w:w="54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gridSpan w:val="4"/>
          </w:tcPr>
          <w:p>
            <w:pPr>
              <w:ind w:left="60"/>
              <w:spacing w:after="0"/>
              <w:rPr>
                <w:sz w:val="20"/>
                <w:szCs w:val="20"/>
                <w:color w:val="auto"/>
              </w:rPr>
            </w:pPr>
            <w:r>
              <w:rPr>
                <w:rFonts w:ascii="Arial" w:cs="Arial" w:eastAsia="Arial" w:hAnsi="Arial"/>
                <w:sz w:val="18"/>
                <w:szCs w:val="18"/>
                <w:color w:val="auto"/>
              </w:rPr>
              <w:t>/s/ Robert A. Pratt</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0" w:type="dxa"/>
            <w:vAlign w:val="bottom"/>
          </w:tcPr>
          <w:p>
            <w:pPr>
              <w:spacing w:after="0" w:line="20" w:lineRule="exact"/>
              <w:rPr>
                <w:sz w:val="1"/>
                <w:szCs w:val="1"/>
                <w:color w:val="auto"/>
              </w:rPr>
            </w:pPr>
          </w:p>
        </w:tc>
        <w:tc>
          <w:tcPr>
            <w:tcW w:w="520" w:type="dxa"/>
            <w:vAlign w:val="bottom"/>
            <w:vMerge w:val="restart"/>
          </w:tcPr>
          <w:p>
            <w:pPr>
              <w:spacing w:after="0"/>
              <w:rPr>
                <w:sz w:val="20"/>
                <w:szCs w:val="20"/>
                <w:color w:val="auto"/>
              </w:rPr>
            </w:pPr>
            <w:r>
              <w:rPr>
                <w:rFonts w:ascii="Arial" w:cs="Arial" w:eastAsia="Arial" w:hAnsi="Arial"/>
                <w:sz w:val="18"/>
                <w:szCs w:val="18"/>
                <w:color w:val="auto"/>
                <w:w w:val="94"/>
              </w:rPr>
              <w:t>Name:</w:t>
            </w: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4920" w:type="dxa"/>
            <w:vAlign w:val="bottom"/>
            <w:gridSpan w:val="4"/>
          </w:tcPr>
          <w:p>
            <w:pPr>
              <w:ind w:left="60"/>
              <w:spacing w:after="0"/>
              <w:rPr>
                <w:sz w:val="20"/>
                <w:szCs w:val="20"/>
                <w:color w:val="auto"/>
              </w:rPr>
            </w:pPr>
            <w:r>
              <w:rPr>
                <w:rFonts w:ascii="Arial" w:cs="Arial" w:eastAsia="Arial" w:hAnsi="Arial"/>
                <w:sz w:val="18"/>
                <w:szCs w:val="18"/>
                <w:color w:val="auto"/>
              </w:rPr>
              <w:t>Robert A. Pratt</w:t>
            </w:r>
          </w:p>
        </w:tc>
        <w:tc>
          <w:tcPr>
            <w:tcW w:w="0" w:type="dxa"/>
            <w:vAlign w:val="bottom"/>
          </w:tcPr>
          <w:p>
            <w:pPr>
              <w:spacing w:after="0"/>
              <w:rPr>
                <w:sz w:val="1"/>
                <w:szCs w:val="1"/>
                <w:color w:val="auto"/>
              </w:rPr>
            </w:pP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Title:</w:t>
            </w:r>
          </w:p>
        </w:tc>
        <w:tc>
          <w:tcPr>
            <w:tcW w:w="56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gridSpan w:val="4"/>
          </w:tcPr>
          <w:p>
            <w:pPr>
              <w:ind w:left="60"/>
              <w:spacing w:after="0"/>
              <w:rPr>
                <w:sz w:val="20"/>
                <w:szCs w:val="20"/>
                <w:color w:val="auto"/>
              </w:rPr>
            </w:pPr>
            <w:r>
              <w:rPr>
                <w:rFonts w:ascii="Arial" w:cs="Arial" w:eastAsia="Arial" w:hAnsi="Arial"/>
                <w:sz w:val="18"/>
                <w:szCs w:val="18"/>
                <w:color w:val="auto"/>
              </w:rPr>
              <w:t>V.P. of Facilities &amp; Site Services</w:t>
            </w:r>
          </w:p>
        </w:tc>
        <w:tc>
          <w:tcPr>
            <w:tcW w:w="0" w:type="dxa"/>
            <w:vAlign w:val="bottom"/>
          </w:tcPr>
          <w:p>
            <w:pPr>
              <w:spacing w:after="0"/>
              <w:rPr>
                <w:sz w:val="1"/>
                <w:szCs w:val="1"/>
                <w:color w:val="auto"/>
              </w:rPr>
            </w:pPr>
          </w:p>
        </w:tc>
      </w:tr>
      <w:tr>
        <w:trPr>
          <w:trHeight w:val="365"/>
        </w:trPr>
        <w:tc>
          <w:tcPr>
            <w:tcW w:w="5420" w:type="dxa"/>
            <w:vAlign w:val="bottom"/>
          </w:tcPr>
          <w:p>
            <w:pPr>
              <w:spacing w:after="0"/>
              <w:rPr>
                <w:sz w:val="24"/>
                <w:szCs w:val="24"/>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15</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11 2006</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PC Connection,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730 Milford Road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Merrimack, NH</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reviewed, in accordance with the standards of the Public Company Accounting Oversight Board (United States), the unaudited interim financial information of PC Connection, Inc. and subsidiaries for the periods ended June 30, 2006 and 2005, as indicated in our report dated August 11, 2006; because we did not perform an audit, we expressed no opinion on that information.</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aware that our report referred to above, which is included in your Quarterly Report on Form 10-Q for the quarter ended June 30, 2006, is incorporated by reference in Registration Statement Nos. 333-40172, 333-50845, 333-50847, 333-66450, 333-69981, 333-83943, 333-91584, 333-106652, and 333-130389 on Form S-8.</w:t>
      </w:r>
    </w:p>
    <w:p>
      <w:pPr>
        <w:spacing w:after="0" w:line="14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Patricia Gallup, certify that:</w:t>
      </w:r>
    </w:p>
    <w:p>
      <w:pPr>
        <w:spacing w:after="0" w:line="9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PC Connection,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spacing w:after="0"/>
        <w:tabs>
          <w:tab w:leader="none" w:pos="7740" w:val="left"/>
          <w:tab w:leader="none" w:pos="8080" w:val="left"/>
        </w:tabs>
        <w:rPr>
          <w:sz w:val="20"/>
          <w:szCs w:val="20"/>
          <w:color w:val="auto"/>
        </w:rPr>
      </w:pPr>
      <w:r>
        <w:rPr>
          <w:rFonts w:ascii="Arial" w:cs="Arial" w:eastAsia="Arial" w:hAnsi="Arial"/>
          <w:sz w:val="18"/>
          <w:szCs w:val="18"/>
          <w:color w:val="auto"/>
        </w:rPr>
        <w:t>Date: August 11, 2006</w:t>
      </w:r>
      <w:r>
        <w:rPr>
          <w:sz w:val="20"/>
          <w:szCs w:val="20"/>
          <w:color w:val="auto"/>
        </w:rPr>
        <w:tab/>
      </w:r>
      <w:r>
        <w:rPr>
          <w:rFonts w:ascii="Arial" w:cs="Arial" w:eastAsia="Arial" w:hAnsi="Arial"/>
          <w:sz w:val="18"/>
          <w:szCs w:val="18"/>
          <w:color w:val="auto"/>
        </w:rPr>
        <w:t>/s/</w:t>
        <w:tab/>
        <w:t>P</w:t>
      </w:r>
      <w:r>
        <w:rPr>
          <w:rFonts w:ascii="Arial" w:cs="Arial" w:eastAsia="Arial" w:hAnsi="Arial"/>
          <w:sz w:val="14"/>
          <w:szCs w:val="14"/>
          <w:color w:val="auto"/>
        </w:rPr>
        <w:t>ATRICIA</w:t>
      </w:r>
      <w:r>
        <w:rPr>
          <w:rFonts w:ascii="Arial" w:cs="Arial" w:eastAsia="Arial" w:hAnsi="Arial"/>
          <w:sz w:val="18"/>
          <w:szCs w:val="18"/>
          <w:color w:val="auto"/>
        </w:rPr>
        <w:t xml:space="preserve"> G</w:t>
      </w:r>
      <w:r>
        <w:rPr>
          <w:rFonts w:ascii="Arial" w:cs="Arial" w:eastAsia="Arial" w:hAnsi="Arial"/>
          <w:sz w:val="14"/>
          <w:szCs w:val="14"/>
          <w:color w:val="auto"/>
        </w:rPr>
        <w:t>ALLUP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Patricia Gallup</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Jack Ferguson, certify that:</w:t>
      </w:r>
    </w:p>
    <w:p>
      <w:pPr>
        <w:spacing w:after="0" w:line="9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PC Connection,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spacing w:after="0"/>
        <w:tabs>
          <w:tab w:leader="none" w:pos="7800" w:val="left"/>
          <w:tab w:leader="none" w:pos="8140" w:val="left"/>
        </w:tabs>
        <w:rPr>
          <w:sz w:val="20"/>
          <w:szCs w:val="20"/>
          <w:color w:val="auto"/>
        </w:rPr>
      </w:pPr>
      <w:r>
        <w:rPr>
          <w:rFonts w:ascii="Arial" w:cs="Arial" w:eastAsia="Arial" w:hAnsi="Arial"/>
          <w:sz w:val="18"/>
          <w:szCs w:val="18"/>
          <w:color w:val="auto"/>
        </w:rPr>
        <w:t>Date: August 11, 2006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ACK</w:t>
      </w:r>
      <w:r>
        <w:rPr>
          <w:rFonts w:ascii="Arial" w:cs="Arial" w:eastAsia="Arial" w:hAnsi="Arial"/>
          <w:sz w:val="16"/>
          <w:szCs w:val="16"/>
          <w:color w:val="auto"/>
        </w:rPr>
        <w:t xml:space="preserve"> F</w:t>
      </w:r>
      <w:r>
        <w:rPr>
          <w:rFonts w:ascii="Arial" w:cs="Arial" w:eastAsia="Arial" w:hAnsi="Arial"/>
          <w:sz w:val="13"/>
          <w:szCs w:val="13"/>
          <w:color w:val="auto"/>
        </w:rPr>
        <w:t>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Jack Ferguson</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Senior Vice President, Treasurer and Chief Financial Officer</w:t>
      </w:r>
    </w:p>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connection with the Quarterly Report on Form 10-Q of PC Connection, Inc. (the “Company”) for the period ended June 30, 2006 as filed with the Securities and Exchange Commission on the date hereof (the “Report”), the undersigned, Patricia Gallup, President and Chief Executive Officer of the Company, hereby certifies, pursuant to 18 U.S.C. Section 1350, that:</w:t>
      </w:r>
    </w:p>
    <w:p>
      <w:pPr>
        <w:spacing w:after="0" w:line="59" w:lineRule="exact"/>
        <w:rPr>
          <w:sz w:val="20"/>
          <w:szCs w:val="20"/>
          <w:color w:val="auto"/>
        </w:rPr>
      </w:pPr>
    </w:p>
    <w:p>
      <w:pPr>
        <w:ind w:left="720" w:hanging="256"/>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tabs>
          <w:tab w:leader="none" w:pos="7740" w:val="left"/>
          <w:tab w:leader="none" w:pos="8080" w:val="left"/>
        </w:tabs>
        <w:rPr>
          <w:sz w:val="20"/>
          <w:szCs w:val="20"/>
          <w:color w:val="auto"/>
        </w:rPr>
      </w:pPr>
      <w:r>
        <w:rPr>
          <w:rFonts w:ascii="Arial" w:cs="Arial" w:eastAsia="Arial" w:hAnsi="Arial"/>
          <w:sz w:val="18"/>
          <w:szCs w:val="18"/>
          <w:color w:val="auto"/>
        </w:rPr>
        <w:t>Date: August 11, 2006</w:t>
      </w:r>
      <w:r>
        <w:rPr>
          <w:sz w:val="20"/>
          <w:szCs w:val="20"/>
          <w:color w:val="auto"/>
        </w:rPr>
        <w:tab/>
      </w:r>
      <w:r>
        <w:rPr>
          <w:rFonts w:ascii="Arial" w:cs="Arial" w:eastAsia="Arial" w:hAnsi="Arial"/>
          <w:sz w:val="18"/>
          <w:szCs w:val="18"/>
          <w:color w:val="auto"/>
        </w:rPr>
        <w:t>/s/</w:t>
        <w:tab/>
        <w:t>P</w:t>
      </w:r>
      <w:r>
        <w:rPr>
          <w:rFonts w:ascii="Arial" w:cs="Arial" w:eastAsia="Arial" w:hAnsi="Arial"/>
          <w:sz w:val="14"/>
          <w:szCs w:val="14"/>
          <w:color w:val="auto"/>
        </w:rPr>
        <w:t>ATRICIA</w:t>
      </w:r>
      <w:r>
        <w:rPr>
          <w:rFonts w:ascii="Arial" w:cs="Arial" w:eastAsia="Arial" w:hAnsi="Arial"/>
          <w:sz w:val="18"/>
          <w:szCs w:val="18"/>
          <w:color w:val="auto"/>
        </w:rPr>
        <w:t xml:space="preserve"> G</w:t>
      </w:r>
      <w:r>
        <w:rPr>
          <w:rFonts w:ascii="Arial" w:cs="Arial" w:eastAsia="Arial" w:hAnsi="Arial"/>
          <w:sz w:val="14"/>
          <w:szCs w:val="14"/>
          <w:color w:val="auto"/>
        </w:rPr>
        <w:t>ALLUP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Patricia Gallup</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connection with the Quarterly Report on Form 10-Q of PC Connection, Inc. (the “Company”) for the period ended June 30, 2006 as filed with the Securities and Exchange Commission on the date hereof (the “Report”), the undersigned, Jack Ferguson, Senior Vice President, Treasurer and Chief Financial Officer of the Company, hereby certifies, pursuant to 18 U.S.C. Section 1350, that:</w:t>
      </w:r>
    </w:p>
    <w:p>
      <w:pPr>
        <w:spacing w:after="0" w:line="59" w:lineRule="exact"/>
        <w:rPr>
          <w:sz w:val="20"/>
          <w:szCs w:val="20"/>
          <w:color w:val="auto"/>
        </w:rPr>
      </w:pPr>
    </w:p>
    <w:p>
      <w:pPr>
        <w:ind w:left="720" w:hanging="256"/>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tabs>
          <w:tab w:leader="none" w:pos="7800" w:val="left"/>
          <w:tab w:leader="none" w:pos="8140" w:val="left"/>
        </w:tabs>
        <w:rPr>
          <w:sz w:val="20"/>
          <w:szCs w:val="20"/>
          <w:color w:val="auto"/>
        </w:rPr>
      </w:pPr>
      <w:r>
        <w:rPr>
          <w:rFonts w:ascii="Arial" w:cs="Arial" w:eastAsia="Arial" w:hAnsi="Arial"/>
          <w:sz w:val="18"/>
          <w:szCs w:val="18"/>
          <w:color w:val="auto"/>
        </w:rPr>
        <w:t>Date: August 11, 2006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ACK</w:t>
      </w:r>
      <w:r>
        <w:rPr>
          <w:rFonts w:ascii="Arial" w:cs="Arial" w:eastAsia="Arial" w:hAnsi="Arial"/>
          <w:sz w:val="16"/>
          <w:szCs w:val="16"/>
          <w:color w:val="auto"/>
        </w:rPr>
        <w:t xml:space="preserve"> F</w:t>
      </w:r>
      <w:r>
        <w:rPr>
          <w:rFonts w:ascii="Arial" w:cs="Arial" w:eastAsia="Arial" w:hAnsi="Arial"/>
          <w:sz w:val="13"/>
          <w:szCs w:val="13"/>
          <w:color w:val="auto"/>
        </w:rPr>
        <w:t>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4"/>
          <w:szCs w:val="14"/>
          <w:b w:val="1"/>
          <w:bCs w:val="1"/>
          <w:color w:val="auto"/>
        </w:rPr>
        <w:t>Jack Ferguson</w:t>
      </w:r>
    </w:p>
    <w:p>
      <w:pPr>
        <w:spacing w:after="0" w:line="1"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Senior Vice President, Treasurer 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lowerLetter"/>
      <w:start w:val="5"/>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2"/>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2019-12-14T17:29:04Z</dcterms:created>
  <dcterms:modified xsi:type="dcterms:W3CDTF">2019-12-14T17:29:04Z</dcterms:modified>
</cp:coreProperties>
</file>