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30, 2009</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jc w:val="right"/>
              <w:ind w:right="2530"/>
              <w:spacing w:after="0"/>
              <w:rPr>
                <w:sz w:val="20"/>
                <w:szCs w:val="20"/>
                <w:color w:val="auto"/>
              </w:rPr>
            </w:pPr>
            <w:r>
              <w:rPr>
                <w:rFonts w:ascii="Arial" w:cs="Arial" w:eastAsia="Arial" w:hAnsi="Arial"/>
                <w:sz w:val="18"/>
                <w:szCs w:val="18"/>
                <w:color w:val="auto"/>
              </w:rPr>
              <w:t>03054</w:t>
            </w: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spacing w:after="0"/>
              <w:rPr>
                <w:sz w:val="20"/>
                <w:szCs w:val="20"/>
                <w:color w:val="auto"/>
              </w:rPr>
            </w:pP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7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8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30, 2009, PC Connection, Inc. announced its financial results for the quarter ended June 30, 2009. The full text of the press release issued in connection with the announcement is furnished as Exhibit 99.1 to this Current Report on Form 8-K.</w:t>
      </w:r>
    </w:p>
    <w:p>
      <w:pPr>
        <w:spacing w:after="0" w:line="1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7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160" w:right="3540"/>
        <w:spacing w:after="0" w:line="590" w:lineRule="auto"/>
        <w:rPr>
          <w:rFonts w:ascii="Arial" w:cs="Arial" w:eastAsia="Arial" w:hAnsi="Arial"/>
          <w:sz w:val="18"/>
          <w:szCs w:val="18"/>
          <w:color w:val="auto"/>
        </w:rPr>
      </w:pPr>
      <w:r>
        <w:rPr>
          <w:rFonts w:ascii="Arial" w:cs="Arial" w:eastAsia="Arial" w:hAnsi="Arial"/>
          <w:sz w:val="18"/>
          <w:szCs w:val="18"/>
          <w:color w:val="auto"/>
        </w:rPr>
        <w:t>The following exhibit relating to Item 2.02 shall be deemed to be furnished, and not filed: 99.1 Press Release issued by PC Connection, Inc. on July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2009</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0" w:type="dxa"/>
            <w:vAlign w:val="bottom"/>
          </w:tcPr>
          <w:p>
            <w:pPr>
              <w:ind w:left="1920"/>
              <w:spacing w:after="0"/>
              <w:rPr>
                <w:sz w:val="20"/>
                <w:szCs w:val="20"/>
                <w:color w:val="auto"/>
              </w:rPr>
            </w:pPr>
            <w:r>
              <w:rPr>
                <w:rFonts w:ascii="Arial" w:cs="Arial" w:eastAsia="Arial" w:hAnsi="Arial"/>
                <w:sz w:val="18"/>
                <w:szCs w:val="18"/>
                <w:color w:val="auto"/>
              </w:rPr>
              <w:t>EXHIBIT INDEX</w:t>
            </w:r>
          </w:p>
        </w:tc>
      </w:tr>
      <w:tr>
        <w:trPr>
          <w:trHeight w:val="40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180" w:type="dxa"/>
            <w:vAlign w:val="bottom"/>
            <w:gridSpan w:val="3"/>
          </w:tcPr>
          <w:p>
            <w:pPr>
              <w:ind w:left="7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5180" w:type="dxa"/>
            <w:vAlign w:val="bottom"/>
            <w:gridSpan w:val="3"/>
          </w:tcPr>
          <w:p>
            <w:pPr>
              <w:ind w:left="740"/>
              <w:spacing w:after="0"/>
              <w:rPr>
                <w:sz w:val="20"/>
                <w:szCs w:val="20"/>
                <w:color w:val="auto"/>
              </w:rPr>
            </w:pPr>
            <w:r>
              <w:rPr>
                <w:rFonts w:ascii="Arial" w:cs="Arial" w:eastAsia="Arial" w:hAnsi="Arial"/>
                <w:sz w:val="18"/>
                <w:szCs w:val="18"/>
                <w:color w:val="auto"/>
                <w:w w:val="88"/>
              </w:rPr>
              <w:t>Press release issued by PC Connection, Inc. on July 30,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3260" w:firstLine="3257"/>
        <w:spacing w:after="0" w:line="435" w:lineRule="auto"/>
        <w:rPr>
          <w:sz w:val="20"/>
          <w:szCs w:val="20"/>
          <w:color w:val="auto"/>
        </w:rPr>
      </w:pPr>
      <w:r>
        <w:rPr>
          <w:rFonts w:ascii="Arial" w:cs="Arial" w:eastAsia="Arial" w:hAnsi="Arial"/>
          <w:sz w:val="22"/>
          <w:szCs w:val="22"/>
          <w:b w:val="1"/>
          <w:bCs w:val="1"/>
          <w:color w:val="auto"/>
        </w:rPr>
        <w:t xml:space="preserve">PC Connection, Inc. Reports Second Quarter Results </w:t>
      </w:r>
      <w:r>
        <w:rPr>
          <w:rFonts w:ascii="Arial" w:cs="Arial" w:eastAsia="Arial" w:hAnsi="Arial"/>
          <w:sz w:val="22"/>
          <w:szCs w:val="22"/>
          <w:b w:val="1"/>
          <w:bCs w:val="1"/>
          <w:u w:val="single" w:color="auto"/>
          <w:color w:val="auto"/>
        </w:rPr>
        <w:t>SECOND QUARTER SUMMARY</w:t>
      </w:r>
      <w:r>
        <w:rPr>
          <w:rFonts w:ascii="Arial" w:cs="Arial" w:eastAsia="Arial" w:hAnsi="Arial"/>
          <w:sz w:val="22"/>
          <w:szCs w:val="22"/>
          <w:b w:val="1"/>
          <w:bCs w:val="1"/>
          <w:color w:val="auto"/>
        </w:rPr>
        <w: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sales: $377 million, down 16%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b w:val="1"/>
          <w:bCs w:val="1"/>
          <w:color w:val="auto"/>
        </w:rPr>
        <w:t>SG&amp;A expense down 13%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b w:val="1"/>
          <w:bCs w:val="1"/>
          <w:color w:val="auto"/>
        </w:rPr>
        <w:t>Diluted loss: $0.24 per share; pro forma earnings: $0.04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b w:val="1"/>
          <w:bCs w:val="1"/>
          <w:color w:val="auto"/>
        </w:rPr>
        <w:t>Cash balance: $67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 xml:space="preserve">MERRIMACK, N.H.--(BUSINESS WIRE)--July 30, 2009--PC Connection, Inc. </w:t>
      </w:r>
      <w:r>
        <w:rPr>
          <w:rFonts w:ascii="Arial" w:cs="Arial" w:eastAsia="Arial" w:hAnsi="Arial"/>
          <w:sz w:val="21"/>
          <w:szCs w:val="21"/>
          <w:b w:val="1"/>
          <w:bCs w:val="1"/>
          <w:color w:val="auto"/>
        </w:rPr>
        <w:t>(NASDAQ: PCCC)</w:t>
      </w:r>
      <w:r>
        <w:rPr>
          <w:rFonts w:ascii="Arial" w:cs="Arial" w:eastAsia="Arial" w:hAnsi="Arial"/>
          <w:sz w:val="21"/>
          <w:szCs w:val="21"/>
          <w:color w:val="auto"/>
        </w:rPr>
        <w:t>, a leading direct marketer of information technology (IT) products and services, today announced results for the quarter ended June 30, 2009. Net sales for the three months ended June 30, 2009 were $377.3 million, a decrease of $72.1 million or 16.1%, compared to $449.4 million for the three months ended June 30, 2008. Net loss for the quarter was $6.5 million, or $0.24 per share, compared to net income of $5.1 million, or $0.19 per share, for the corresponding prior year period.</w:t>
      </w:r>
    </w:p>
    <w:p>
      <w:pPr>
        <w:spacing w:after="0" w:line="175"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The quarter ended June 30, 2009 included $12.1 million of special charges related primarily to the previously announced write-off of a software development project that reduced earnings and earnings per share. Approximately $11.6 million of these charges were non-cash charges. Had special charges not been incurred, pro forma net income for the quarter ended June 30, 2009 would have been $1.1 million, or $0.04 per share, compared to net income of $5.1 million, or $0.19 per share, for the quarter ended June 30, 2008. The Company did not record any special charges for the second quarter of 2008. A reconciliation between net loss on a GAAP basis and pro forma net income is provided in a table below immediately following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Net sales for the six months ended June 30, 2009 were $703.5 million, a decrease of $169.6 million or 19.4%, compared to</w:t>
      </w:r>
    </w:p>
    <w:p>
      <w:pPr>
        <w:spacing w:after="0" w:line="20"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$873.1 million for the six months ended June 30, 2008. Net loss for the six months ended June 30, 2009 was $8.1 million, or $0.30 per share, compared to net income of $9.9 million, or $0.37 per share, for the six months ended June 30, 2008. The six-month period ended June 30, 2009 included special charges that reduced earnings and earnings per share. Had these charges not been incurred, pro forma net income for the six months ended June 30, 2009 would have been $71 thousand, or substantially break-even on a per share basis, compared to $9.9 million, or $0.37 per share, for the six months ended June 30, 2008. The Company did not record any special charges for the six months ended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Quarterly Sales by Business Segment</w:t>
      </w:r>
      <w:r>
        <w:rPr>
          <w:rFonts w:ascii="Arial" w:cs="Arial" w:eastAsia="Arial" w:hAnsi="Arial"/>
          <w:sz w:val="22"/>
          <w:szCs w:val="22"/>
          <w:i w:val="1"/>
          <w:iCs w:val="1"/>
          <w:color w:val="auto"/>
        </w:rPr>
        <w:t>:</w:t>
      </w:r>
    </w:p>
    <w:p>
      <w:pPr>
        <w:spacing w:after="0" w:line="207" w:lineRule="exact"/>
        <w:rPr>
          <w:sz w:val="20"/>
          <w:szCs w:val="20"/>
          <w:color w:val="auto"/>
        </w:rPr>
      </w:pPr>
    </w:p>
    <w:p>
      <w:pPr>
        <w:jc w:val="both"/>
        <w:ind w:left="540" w:right="200"/>
        <w:spacing w:after="0"/>
        <w:rPr>
          <w:sz w:val="20"/>
          <w:szCs w:val="20"/>
          <w:color w:val="auto"/>
        </w:rPr>
      </w:pPr>
      <w:r>
        <w:rPr>
          <w:rFonts w:ascii="Arial" w:cs="Arial" w:eastAsia="Arial" w:hAnsi="Arial"/>
          <w:sz w:val="22"/>
          <w:szCs w:val="22"/>
          <w:color w:val="auto"/>
        </w:rPr>
        <w:t>Net sales for the small- and medium-sized business (SMB) segment decreased by 25.2% to $176.7 million compared to the second quarter of 2008. The year-over-year decline in SMB sales reflects the industry-wide economic conditions and credit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220"/>
        <w:spacing w:after="0"/>
        <w:rPr>
          <w:sz w:val="20"/>
          <w:szCs w:val="20"/>
          <w:color w:val="auto"/>
        </w:rPr>
      </w:pPr>
      <w:r>
        <w:rPr>
          <w:rFonts w:ascii="Arial" w:cs="Arial" w:eastAsia="Arial" w:hAnsi="Arial"/>
          <w:sz w:val="22"/>
          <w:szCs w:val="22"/>
          <w:color w:val="auto"/>
        </w:rPr>
        <w:t>Net sales for MoreDirect, Inc., the Company’s Large Account segment, decreased by 13.9% to $109.7 million compared to the second quarter of 2008. MoreDirect continued to see large enterprise customers delaying IT purchases given current budget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40"/>
        <w:spacing w:after="0" w:line="297" w:lineRule="auto"/>
        <w:rPr>
          <w:sz w:val="20"/>
          <w:szCs w:val="20"/>
          <w:color w:val="auto"/>
        </w:rPr>
      </w:pPr>
      <w:r>
        <w:rPr>
          <w:rFonts w:ascii="Arial" w:cs="Arial" w:eastAsia="Arial" w:hAnsi="Arial"/>
          <w:sz w:val="19"/>
          <w:szCs w:val="19"/>
          <w:color w:val="auto"/>
        </w:rPr>
        <w:t>Net sales to government and education customers (Public Sector segment) increased by 6.1% to $90.9 million compared to the second quarter of 2008. Increased federal contract sales contributed to the year-over-year increase as both education sales and sales to state and local governments were largely unchanged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by Product Mix</w:t>
      </w:r>
      <w:r>
        <w:rPr>
          <w:rFonts w:ascii="Arial" w:cs="Arial" w:eastAsia="Arial" w:hAnsi="Arial"/>
          <w:sz w:val="22"/>
          <w:szCs w:val="22"/>
          <w:i w:val="1"/>
          <w:iCs w:val="1"/>
          <w:color w:val="auto"/>
        </w:rPr>
        <w:t>:</w:t>
      </w:r>
    </w:p>
    <w:p>
      <w:pPr>
        <w:spacing w:after="0" w:line="206" w:lineRule="exact"/>
        <w:rPr>
          <w:sz w:val="20"/>
          <w:szCs w:val="20"/>
          <w:color w:val="auto"/>
        </w:rPr>
      </w:pPr>
    </w:p>
    <w:p>
      <w:pPr>
        <w:jc w:val="both"/>
        <w:ind w:left="540"/>
        <w:spacing w:after="0" w:line="297" w:lineRule="auto"/>
        <w:rPr>
          <w:sz w:val="20"/>
          <w:szCs w:val="20"/>
          <w:color w:val="auto"/>
        </w:rPr>
      </w:pPr>
      <w:r>
        <w:rPr>
          <w:rFonts w:ascii="Arial" w:cs="Arial" w:eastAsia="Arial" w:hAnsi="Arial"/>
          <w:sz w:val="19"/>
          <w:szCs w:val="19"/>
          <w:color w:val="auto"/>
        </w:rPr>
        <w:t>Software sales emerged as the Company’s largest product category in the second quarter of 2009. This product category was unchanged year over year in dollars but accounted for 15% of net sales in the second quarter of 2009 compared to 13% of net sales in the second quarter of 2008. Several large federal sales offset slight declines on the corporate side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ind w:left="540" w:right="20"/>
        <w:spacing w:after="0" w:line="258" w:lineRule="auto"/>
        <w:rPr>
          <w:sz w:val="20"/>
          <w:szCs w:val="20"/>
          <w:color w:val="auto"/>
        </w:rPr>
      </w:pPr>
      <w:r>
        <w:rPr>
          <w:rFonts w:ascii="Arial" w:cs="Arial" w:eastAsia="Arial" w:hAnsi="Arial"/>
          <w:sz w:val="21"/>
          <w:szCs w:val="21"/>
          <w:color w:val="auto"/>
        </w:rPr>
        <w:t>Notebooks and PDA sales decreased by 22% year over year and accounted for 14% of net sales in the second quarter of 2009 compared to 16% of net sales in the second quarter of 2008. Lower average selling prices, or ASPs, continued to reduce revenues. Competitive pricing pressures as well as the growth of netbook sales impacted ASPs.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6" w:lineRule="exact"/>
        <w:rPr>
          <w:sz w:val="20"/>
          <w:szCs w:val="20"/>
          <w:color w:val="auto"/>
        </w:rPr>
      </w:pPr>
    </w:p>
    <w:p>
      <w:pPr>
        <w:ind w:left="540" w:right="620"/>
        <w:spacing w:after="0"/>
        <w:rPr>
          <w:sz w:val="20"/>
          <w:szCs w:val="20"/>
          <w:color w:val="auto"/>
        </w:rPr>
      </w:pPr>
      <w:r>
        <w:rPr>
          <w:rFonts w:ascii="Arial" w:cs="Arial" w:eastAsia="Arial" w:hAnsi="Arial"/>
          <w:sz w:val="22"/>
          <w:szCs w:val="22"/>
          <w:color w:val="auto"/>
        </w:rPr>
        <w:t>Accessories/Other sales increased by 4% year over year, accounting for 14% of net sales in the second quarter of 2009 compared to 11% of net sales in the corresponding prior year period. Increased sales of specialized communication equipment and solutions contributed to the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spacing w:after="0" w:line="274" w:lineRule="auto"/>
        <w:rPr>
          <w:sz w:val="20"/>
          <w:szCs w:val="20"/>
          <w:color w:val="auto"/>
        </w:rPr>
      </w:pPr>
      <w:r>
        <w:rPr>
          <w:rFonts w:ascii="Arial" w:cs="Arial" w:eastAsia="Arial" w:hAnsi="Arial"/>
          <w:sz w:val="21"/>
          <w:szCs w:val="21"/>
          <w:color w:val="auto"/>
        </w:rPr>
        <w:t>Desktop/Servers sales decreased by 13% year over year and accounted for 14% of net sales in the second quarter of 2009 and 2008. Lower unit volumes accounted for this decrease as server ASPs were level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1" w:lineRule="exact"/>
        <w:rPr>
          <w:sz w:val="20"/>
          <w:szCs w:val="20"/>
          <w:color w:val="auto"/>
        </w:rPr>
      </w:pPr>
    </w:p>
    <w:p>
      <w:pPr>
        <w:jc w:val="both"/>
        <w:ind w:right="160"/>
        <w:spacing w:after="0" w:line="287" w:lineRule="auto"/>
        <w:rPr>
          <w:sz w:val="20"/>
          <w:szCs w:val="20"/>
          <w:color w:val="auto"/>
        </w:rPr>
      </w:pPr>
      <w:r>
        <w:rPr>
          <w:rFonts w:ascii="Arial" w:cs="Arial" w:eastAsia="Arial" w:hAnsi="Arial"/>
          <w:sz w:val="19"/>
          <w:szCs w:val="19"/>
          <w:color w:val="auto"/>
        </w:rPr>
        <w:t>Gross profit dollars decreased by $12.5 million, or 22.0%, in the second quarter of 2009 from the corresponding period a year ago due to reduced revenues and lower gross profit margins. Gross profit margin, as a percentage of net sales, declined year over year by 89 basis points to 11.8% in the second quarter of 2009. As a result of aggressive price competition, lower invoice margins and freight revenues decreased overall gross profit margins in the second quarter of 2009 compared to the prior year quarter.</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Overall annualized sales productivity decreased by 8% in the second quarter of 2009 compared to the second quarter of 2008. Sales productivity decreases by segment were 10% for SMB, 4% for Large Account, and 13% for Public Sector. The Public Sector decrease was due to increased headcount added in the fourth quarter of 2008. On a consolidated basis, the total number of sales representatives was 603 at June 30, 2009, compared to 667 at June 30, 2008 and 629 at March 31, 2009. The Company reduced both sales representatives and sales support headcount given the year-over-year declines in revenues experienced in each of the past three quarters.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Total selling, general and administrative expenses for the quarter decreased year over year by $6.1 million, or 12.6%, but increased as a percentage of net sales to 11.2% for the second quarter of 2009 from 10.7% for the second quarter of 2008. The year-over-year dollar decrease was primarily attributable to reduced headcount, lower variable compensation associated with decreased gross profits, and decreased advertising expenditures.</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“Despite the challenging business environment, and excluding the special charges we incurred during the quarter, we did make progress on restoring profitable growth to our business. On a pro forma basis, PC Connection generated $1.1 million of net income in Q2,” said Patricia Gallup, Chairman and Chief Executive Officer. “While the near-term industry outlook remains somewhat uncertain, we continue to be optimistic about the long-term demand for IT products and solutions. Our balance sheet remains strong, and we believe the strategies and talented team we have in place position us well for future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PC Connection, Inc.</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PC Connection, Inc., a Fortune 1000 company, has three sales subsidiaries: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185"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 xml:space="preserve">PC Connection Sales Corporation (1-800-800-5555), the original business of PC Connection, Inc. serving the small- and medium-sized business sector (SMB), is a rapid-response provider of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19"/>
          <w:szCs w:val="19"/>
          <w:u w:val="single" w:color="auto"/>
          <w:color w:val="auto"/>
        </w:rPr>
        <w:t>www.pcconnection.com</w:t>
      </w:r>
      <w:r>
        <w:rPr>
          <w:rFonts w:ascii="Arial" w:cs="Arial" w:eastAsia="Arial" w:hAnsi="Arial"/>
          <w:sz w:val="19"/>
          <w:szCs w:val="19"/>
          <w:color w:val="auto"/>
        </w:rPr>
        <w:t xml:space="preserve">. The subsidiary serves the Apple/Macintosh community through its MacConnection division (1-800-800-2222), which also publishes specialized catalogs and is online at </w:t>
      </w:r>
      <w:r>
        <w:rPr>
          <w:rFonts w:ascii="Arial" w:cs="Arial" w:eastAsia="Arial" w:hAnsi="Arial"/>
          <w:sz w:val="19"/>
          <w:szCs w:val="19"/>
          <w:u w:val="single" w:color="auto"/>
          <w:color w:val="auto"/>
        </w:rPr>
        <w:t>www.macconnection.com</w:t>
      </w:r>
      <w:r>
        <w:rPr>
          <w:rFonts w:ascii="Arial" w:cs="Arial" w:eastAsia="Arial" w:hAnsi="Arial"/>
          <w:sz w:val="19"/>
          <w:szCs w:val="19"/>
          <w:color w:val="auto"/>
        </w:rPr>
        <w: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MoreDirect, Inc. (561-237-3300),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and environment, or in the level of business investment in information technology products, competitive products and pricing, product availability and market acceptance, new products, fluctuations in operating results, and the ability of the Company to manage personnel levels in response to fluctuations in revenue, and other risks that could cause actual results to differ materially from these detailed under the caption “Risk Factors” in the Company’s Quarterly Report on Form 10-Q filed with the Securities and Exchange Commission for the quarter ended March 31, 2009. More specifically, the statements in this release concerning the Company’s outlook for 2009 and other statements of a non-historical basis (including statements regarding the Company’s ability to grow revenues, increase market share, and make further cost reductions as needed)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SELECTED FINANCIAL RESULTS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or for the Three Months Ended June 30,</w:t>
            </w:r>
          </w:p>
        </w:tc>
        <w:tc>
          <w:tcPr>
            <w:tcW w:w="14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700" w:type="dxa"/>
            <w:vAlign w:val="bottom"/>
          </w:tcPr>
          <w:p>
            <w:pPr>
              <w:spacing w:after="0" w:line="160" w:lineRule="exact"/>
              <w:rPr>
                <w:sz w:val="20"/>
                <w:szCs w:val="20"/>
                <w:color w:val="auto"/>
              </w:rPr>
            </w:pPr>
            <w:r>
              <w:rPr>
                <w:rFonts w:ascii="Arial" w:cs="Arial" w:eastAsia="Arial" w:hAnsi="Arial"/>
                <w:sz w:val="14"/>
                <w:szCs w:val="14"/>
                <w:i w:val="1"/>
                <w:iCs w:val="1"/>
                <w:color w:val="auto"/>
              </w:rPr>
              <w:t>(Dollars and shares in thousands, except operating data, price/earnings ratio, and per share data)</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6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Net Sales</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39"/>
        </w:trPr>
        <w:tc>
          <w:tcPr>
            <w:tcW w:w="670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377,262</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449,399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6700" w:type="dxa"/>
            <w:vAlign w:val="bottom"/>
          </w:tcPr>
          <w:p>
            <w:pPr>
              <w:ind w:left="220"/>
              <w:spacing w:after="0"/>
              <w:rPr>
                <w:sz w:val="20"/>
                <w:szCs w:val="20"/>
                <w:color w:val="auto"/>
              </w:rPr>
            </w:pPr>
            <w:r>
              <w:rPr>
                <w:rFonts w:ascii="Arial" w:cs="Arial" w:eastAsia="Arial" w:hAnsi="Arial"/>
                <w:sz w:val="14"/>
                <w:szCs w:val="14"/>
                <w:color w:val="auto"/>
              </w:rPr>
              <w:t>Diluted (loss)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(0.24)</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6700" w:type="dxa"/>
            <w:vAlign w:val="bottom"/>
          </w:tcPr>
          <w:p>
            <w:pPr>
              <w:ind w:left="220"/>
              <w:spacing w:after="0"/>
              <w:rPr>
                <w:sz w:val="20"/>
                <w:szCs w:val="20"/>
                <w:color w:val="auto"/>
              </w:rPr>
            </w:pPr>
            <w:r>
              <w:rPr>
                <w:rFonts w:ascii="Arial" w:cs="Arial" w:eastAsia="Arial" w:hAnsi="Arial"/>
                <w:sz w:val="14"/>
                <w:szCs w:val="14"/>
                <w:color w:val="auto"/>
              </w:rPr>
              <w:t>Gross profit margin</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700" w:type="dxa"/>
            <w:vAlign w:val="bottom"/>
          </w:tcPr>
          <w:p>
            <w:pPr>
              <w:ind w:left="220"/>
              <w:spacing w:after="0"/>
              <w:rPr>
                <w:sz w:val="20"/>
                <w:szCs w:val="20"/>
                <w:color w:val="auto"/>
              </w:rPr>
            </w:pPr>
            <w:r>
              <w:rPr>
                <w:rFonts w:ascii="Arial" w:cs="Arial" w:eastAsia="Arial" w:hAnsi="Arial"/>
                <w:sz w:val="14"/>
                <w:szCs w:val="14"/>
                <w:color w:val="auto"/>
              </w:rPr>
              <w:t>Operating margin</w:t>
            </w: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6700" w:type="dxa"/>
            <w:vAlign w:val="bottom"/>
          </w:tcPr>
          <w:p>
            <w:pPr>
              <w:ind w:left="22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1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700" w:type="dxa"/>
            <w:vAlign w:val="bottom"/>
          </w:tcPr>
          <w:p>
            <w:pPr>
              <w:ind w:left="220"/>
              <w:spacing w:after="0"/>
              <w:rPr>
                <w:sz w:val="20"/>
                <w:szCs w:val="20"/>
                <w:color w:val="auto"/>
              </w:rPr>
            </w:pPr>
            <w:r>
              <w:rPr>
                <w:rFonts w:ascii="Arial" w:cs="Arial" w:eastAsia="Arial" w:hAnsi="Arial"/>
                <w:sz w:val="14"/>
                <w:szCs w:val="14"/>
                <w:color w:val="auto"/>
              </w:rPr>
              <w:t>Catalogs distributed</w:t>
            </w:r>
          </w:p>
        </w:tc>
        <w:tc>
          <w:tcPr>
            <w:tcW w:w="14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w w:val="96"/>
              </w:rPr>
              <w:t>2,822,000</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3,060,000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6700" w:type="dxa"/>
            <w:vAlign w:val="bottom"/>
          </w:tcPr>
          <w:p>
            <w:pPr>
              <w:ind w:left="22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333,900</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361,500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313"/>
        </w:trPr>
        <w:tc>
          <w:tcPr>
            <w:tcW w:w="6700" w:type="dxa"/>
            <w:vAlign w:val="bottom"/>
          </w:tcPr>
          <w:p>
            <w:pPr>
              <w:ind w:left="22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1,413</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85"/>
        </w:trPr>
        <w:tc>
          <w:tcPr>
            <w:tcW w:w="6700" w:type="dxa"/>
            <w:vAlign w:val="bottom"/>
          </w:tcPr>
          <w:p>
            <w:pPr>
              <w:ind w:left="22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14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700" w:type="dxa"/>
            <w:vAlign w:val="bottom"/>
          </w:tcPr>
          <w:p>
            <w:pPr>
              <w:ind w:left="220"/>
              <w:spacing w:after="0"/>
              <w:rPr>
                <w:sz w:val="20"/>
                <w:szCs w:val="20"/>
                <w:color w:val="auto"/>
              </w:rPr>
            </w:pPr>
            <w:r>
              <w:rPr>
                <w:rFonts w:ascii="Arial" w:cs="Arial" w:eastAsia="Arial" w:hAnsi="Arial"/>
                <w:sz w:val="14"/>
                <w:szCs w:val="14"/>
                <w:color w:val="auto"/>
              </w:rPr>
              <w:t>Days sales outstanding</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6700" w:type="dxa"/>
            <w:vAlign w:val="bottom"/>
          </w:tcPr>
          <w:p>
            <w:pPr>
              <w:spacing w:after="0"/>
              <w:rPr>
                <w:sz w:val="20"/>
                <w:szCs w:val="20"/>
                <w:color w:val="auto"/>
              </w:rPr>
            </w:pPr>
            <w:r>
              <w:rPr>
                <w:rFonts w:ascii="Arial" w:cs="Arial" w:eastAsia="Arial" w:hAnsi="Arial"/>
                <w:sz w:val="14"/>
                <w:szCs w:val="14"/>
                <w:b w:val="1"/>
                <w:bCs w:val="1"/>
                <w:color w:val="auto"/>
              </w:rPr>
              <w:t>Product Mix:</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Software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56,765</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15%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57,010</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Notebooks &amp; PDAs</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54,336</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69,939</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Desktops/Servers</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53,735</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62,035</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Video, Imaging &amp; Sound</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46,322</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64,521</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Net/Com Products</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38,335</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51,046</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Printers &amp; Printer Supplies</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32,008</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40,305</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Storage Devices</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31,010</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36,583</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Memory &amp; System Enhancements</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12,905</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17,887</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1"/>
        </w:trPr>
        <w:tc>
          <w:tcPr>
            <w:tcW w:w="6700" w:type="dxa"/>
            <w:vAlign w:val="bottom"/>
          </w:tcPr>
          <w:p>
            <w:pPr>
              <w:ind w:left="220"/>
              <w:spacing w:after="0"/>
              <w:rPr>
                <w:sz w:val="20"/>
                <w:szCs w:val="20"/>
                <w:color w:val="auto"/>
              </w:rPr>
            </w:pPr>
            <w:r>
              <w:rPr>
                <w:rFonts w:ascii="Arial" w:cs="Arial" w:eastAsia="Arial" w:hAnsi="Arial"/>
                <w:sz w:val="14"/>
                <w:szCs w:val="14"/>
                <w:color w:val="auto"/>
              </w:rPr>
              <w:t>Accessories/Other</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51,846</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50,073</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6700" w:type="dxa"/>
            <w:vAlign w:val="bottom"/>
          </w:tcPr>
          <w:p>
            <w:pPr>
              <w:ind w:left="2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377,262</w:t>
            </w:r>
          </w:p>
        </w:tc>
        <w:tc>
          <w:tcPr>
            <w:tcW w:w="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449,399</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4"/>
                <w:szCs w:val="14"/>
                <w:color w:val="auto"/>
              </w:rPr>
            </w:pPr>
          </w:p>
        </w:tc>
        <w:tc>
          <w:tcPr>
            <w:tcW w:w="680" w:type="dxa"/>
            <w:vAlign w:val="bottom"/>
            <w:gridSpan w:val="2"/>
          </w:tcPr>
          <w:p>
            <w:pPr>
              <w:jc w:val="right"/>
              <w:ind w:right="1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Net Sales of Enterprise Server and Networking Products (included in the above Product Mix):</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7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144,211</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38%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163,228</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24"/>
                <w:szCs w:val="24"/>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6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Actual shares outstanding</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26,864</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Total book value per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8.48</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Tangible book value per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6.63</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Closing price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5.25</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tcPr>
          <w:p>
            <w:pPr>
              <w:ind w:left="220"/>
              <w:spacing w:after="0"/>
              <w:rPr>
                <w:sz w:val="20"/>
                <w:szCs w:val="20"/>
                <w:color w:val="auto"/>
              </w:rPr>
            </w:pPr>
            <w:r>
              <w:rPr>
                <w:rFonts w:ascii="Arial" w:cs="Arial" w:eastAsia="Arial" w:hAnsi="Arial"/>
                <w:sz w:val="14"/>
                <w:szCs w:val="14"/>
                <w:color w:val="auto"/>
              </w:rPr>
              <w:t>Market capitalization</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141,036</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251,901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6700" w:type="dxa"/>
            <w:vAlign w:val="bottom"/>
          </w:tcPr>
          <w:p>
            <w:pPr>
              <w:ind w:left="22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1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Arial" w:cs="Arial" w:eastAsia="Arial" w:hAnsi="Arial"/>
                <w:sz w:val="14"/>
                <w:szCs w:val="14"/>
                <w:color w:val="auto"/>
              </w:rPr>
              <w:t>(1) Annualized</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20"/>
                <w:szCs w:val="20"/>
                <w:color w:val="auto"/>
              </w:rPr>
            </w:pPr>
            <w:r>
              <w:rPr>
                <w:rFonts w:ascii="Arial" w:cs="Arial" w:eastAsia="Arial" w:hAnsi="Arial"/>
                <w:sz w:val="14"/>
                <w:szCs w:val="14"/>
                <w:color w:val="auto"/>
              </w:rPr>
              <w:t>(2) Does not reflect cancellations or returns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tcPr>
          <w:p>
            <w:pPr>
              <w:spacing w:after="0"/>
              <w:rPr>
                <w:sz w:val="20"/>
                <w:szCs w:val="20"/>
                <w:color w:val="auto"/>
              </w:rPr>
            </w:pPr>
            <w:r>
              <w:rPr>
                <w:rFonts w:ascii="Arial" w:cs="Arial" w:eastAsia="Arial" w:hAnsi="Arial"/>
                <w:sz w:val="14"/>
                <w:szCs w:val="14"/>
                <w:color w:val="auto"/>
              </w:rPr>
              <w:t>(3) Earnings is based on the last four quarters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6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SEGMENT INFORMATION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88"/>
              <w:spacing w:after="0" w:line="160"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Sales</w:t>
            </w: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 (%)</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Sales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 (%)</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6700" w:type="dxa"/>
            <w:vAlign w:val="bottom"/>
          </w:tcPr>
          <w:p>
            <w:pPr>
              <w:ind w:left="220"/>
              <w:spacing w:after="0"/>
              <w:rPr>
                <w:sz w:val="20"/>
                <w:szCs w:val="20"/>
                <w:color w:val="auto"/>
              </w:rPr>
            </w:pPr>
            <w:r>
              <w:rPr>
                <w:rFonts w:ascii="Arial" w:cs="Arial" w:eastAsia="Arial" w:hAnsi="Arial"/>
                <w:sz w:val="14"/>
                <w:szCs w:val="14"/>
                <w:color w:val="auto"/>
              </w:rPr>
              <w:t>PC Connection Sales Corporation (SMB)</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176,737</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13.7%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236,375</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14.0%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rPr>
                <w:sz w:val="20"/>
                <w:szCs w:val="20"/>
                <w:color w:val="auto"/>
              </w:rPr>
            </w:pPr>
            <w:r>
              <w:rPr>
                <w:rFonts w:ascii="Arial" w:cs="Arial" w:eastAsia="Arial" w:hAnsi="Arial"/>
                <w:sz w:val="14"/>
                <w:szCs w:val="14"/>
                <w:color w:val="auto"/>
              </w:rPr>
              <w:t>MoreDirect (Large Account)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109,674</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127,368</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11.8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ind w:left="220"/>
              <w:spacing w:after="0"/>
              <w:rPr>
                <w:sz w:val="20"/>
                <w:szCs w:val="20"/>
                <w:color w:val="auto"/>
              </w:rPr>
            </w:pPr>
            <w:r>
              <w:rPr>
                <w:rFonts w:ascii="Arial" w:cs="Arial" w:eastAsia="Arial" w:hAnsi="Arial"/>
                <w:sz w:val="14"/>
                <w:szCs w:val="14"/>
                <w:color w:val="auto"/>
              </w:rPr>
              <w:t>GovConnection (Public Sector)</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90,851</w:t>
            </w: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85,656</w:t>
            </w:r>
          </w:p>
        </w:tc>
        <w:tc>
          <w:tcPr>
            <w:tcW w:w="1100" w:type="dxa"/>
            <w:vAlign w:val="bottom"/>
            <w:gridSpan w:val="3"/>
          </w:tcPr>
          <w:p>
            <w:pPr>
              <w:jc w:val="right"/>
              <w:ind w:right="208"/>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00" w:type="dxa"/>
            <w:vAlign w:val="bottom"/>
          </w:tcPr>
          <w:p>
            <w:pPr>
              <w:ind w:left="4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377,262</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449,399</w:t>
            </w: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12.6%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7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gridSpan w:val="2"/>
          </w:tcPr>
          <w:p>
            <w:pPr>
              <w:jc w:val="right"/>
              <w:ind w:right="108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9"/>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0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94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Net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377,262</w:t>
            </w:r>
          </w:p>
        </w:tc>
        <w:tc>
          <w:tcPr>
            <w:tcW w:w="158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449,399</w:t>
            </w:r>
          </w:p>
        </w:tc>
        <w:tc>
          <w:tcPr>
            <w:tcW w:w="1660" w:type="dxa"/>
            <w:vAlign w:val="bottom"/>
            <w:tcBorders>
              <w:top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332,920</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392,559</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b w:val="1"/>
                <w:bCs w:val="1"/>
                <w:color w:val="auto"/>
              </w:rPr>
              <w:t>Gross profit</w:t>
            </w: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44,342</w:t>
            </w:r>
          </w:p>
        </w:tc>
        <w:tc>
          <w:tcPr>
            <w:tcW w:w="200" w:type="dxa"/>
            <w:vAlign w:val="bottom"/>
          </w:tcPr>
          <w:p>
            <w:pPr>
              <w:spacing w:after="0"/>
              <w:rPr>
                <w:sz w:val="15"/>
                <w:szCs w:val="15"/>
                <w:color w:val="auto"/>
              </w:rPr>
            </w:pPr>
          </w:p>
        </w:tc>
        <w:tc>
          <w:tcPr>
            <w:tcW w:w="13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56,840</w:t>
            </w:r>
          </w:p>
        </w:tc>
        <w:tc>
          <w:tcPr>
            <w:tcW w:w="220" w:type="dxa"/>
            <w:vAlign w:val="bottom"/>
          </w:tcPr>
          <w:p>
            <w:pPr>
              <w:spacing w:after="0"/>
              <w:rPr>
                <w:sz w:val="15"/>
                <w:szCs w:val="15"/>
                <w:color w:val="auto"/>
              </w:rPr>
            </w:pPr>
          </w:p>
        </w:tc>
        <w:tc>
          <w:tcPr>
            <w:tcW w:w="14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42,118</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48,173</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Special charges</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12,064</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b w:val="1"/>
                <w:bCs w:val="1"/>
                <w:color w:val="auto"/>
              </w:rPr>
              <w:t>(Loss) income from operations</w:t>
            </w: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(9,840)</w:t>
            </w:r>
          </w:p>
        </w:tc>
        <w:tc>
          <w:tcPr>
            <w:tcW w:w="200" w:type="dxa"/>
            <w:vAlign w:val="bottom"/>
          </w:tcPr>
          <w:p>
            <w:pPr>
              <w:spacing w:after="0"/>
              <w:rPr>
                <w:sz w:val="15"/>
                <w:szCs w:val="15"/>
                <w:color w:val="auto"/>
              </w:rPr>
            </w:pPr>
          </w:p>
        </w:tc>
        <w:tc>
          <w:tcPr>
            <w:tcW w:w="13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8,667</w:t>
            </w:r>
          </w:p>
        </w:tc>
        <w:tc>
          <w:tcPr>
            <w:tcW w:w="220" w:type="dxa"/>
            <w:vAlign w:val="bottom"/>
          </w:tcPr>
          <w:p>
            <w:pPr>
              <w:spacing w:after="0"/>
              <w:rPr>
                <w:sz w:val="15"/>
                <w:szCs w:val="15"/>
                <w:color w:val="auto"/>
              </w:rPr>
            </w:pPr>
          </w:p>
        </w:tc>
        <w:tc>
          <w:tcPr>
            <w:tcW w:w="14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(152)</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Income tax benefit (provision)</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3,373</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(3,586)</w:t>
            </w:r>
          </w:p>
        </w:tc>
        <w:tc>
          <w:tcPr>
            <w:tcW w:w="1660" w:type="dxa"/>
            <w:vAlign w:val="bottom"/>
            <w:gridSpan w:val="2"/>
          </w:tcPr>
          <w:p>
            <w:pPr>
              <w:jc w:val="right"/>
              <w:ind w:right="30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Arial" w:cs="Arial" w:eastAsia="Arial" w:hAnsi="Arial"/>
                <w:sz w:val="14"/>
                <w:szCs w:val="14"/>
                <w:b w:val="1"/>
                <w:bCs w:val="1"/>
                <w:color w:val="auto"/>
              </w:rPr>
              <w:t>Net (loss) income</w:t>
            </w: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($6,459)</w:t>
            </w:r>
          </w:p>
        </w:tc>
        <w:tc>
          <w:tcPr>
            <w:tcW w:w="20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5,087</w:t>
            </w:r>
          </w:p>
        </w:tc>
        <w:tc>
          <w:tcPr>
            <w:tcW w:w="2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4"/>
                <w:szCs w:val="14"/>
                <w:color w:val="auto"/>
              </w:rPr>
              <w:t>(Loss) earnings per common share:</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0.19</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5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(0.24)</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0.19</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4"/>
                <w:szCs w:val="14"/>
                <w:color w:val="auto"/>
              </w:rPr>
              <w:t>Weighted average common shares outstanding:</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26,819</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26,807</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52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26,819</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26,930</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9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108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9"/>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0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94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Net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703,483</w:t>
            </w:r>
          </w:p>
        </w:tc>
        <w:tc>
          <w:tcPr>
            <w:tcW w:w="158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873,123</w:t>
            </w:r>
          </w:p>
        </w:tc>
        <w:tc>
          <w:tcPr>
            <w:tcW w:w="1660" w:type="dxa"/>
            <w:vAlign w:val="bottom"/>
            <w:tcBorders>
              <w:top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617,530</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763,539</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b w:val="1"/>
                <w:bCs w:val="1"/>
                <w:color w:val="auto"/>
              </w:rPr>
              <w:t>Gross profit</w:t>
            </w: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85,953</w:t>
            </w:r>
          </w:p>
        </w:tc>
        <w:tc>
          <w:tcPr>
            <w:tcW w:w="200" w:type="dxa"/>
            <w:vAlign w:val="bottom"/>
          </w:tcPr>
          <w:p>
            <w:pPr>
              <w:spacing w:after="0"/>
              <w:rPr>
                <w:sz w:val="15"/>
                <w:szCs w:val="15"/>
                <w:color w:val="auto"/>
              </w:rPr>
            </w:pPr>
          </w:p>
        </w:tc>
        <w:tc>
          <w:tcPr>
            <w:tcW w:w="13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109,584</w:t>
            </w:r>
          </w:p>
        </w:tc>
        <w:tc>
          <w:tcPr>
            <w:tcW w:w="220" w:type="dxa"/>
            <w:vAlign w:val="bottom"/>
          </w:tcPr>
          <w:p>
            <w:pPr>
              <w:spacing w:after="0"/>
              <w:rPr>
                <w:sz w:val="15"/>
                <w:szCs w:val="15"/>
                <w:color w:val="auto"/>
              </w:rPr>
            </w:pPr>
          </w:p>
        </w:tc>
        <w:tc>
          <w:tcPr>
            <w:tcW w:w="14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85,407</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93,566</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Special charges</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12,955</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b w:val="1"/>
                <w:bCs w:val="1"/>
                <w:color w:val="auto"/>
              </w:rPr>
              <w:t>(Loss) income from operations</w:t>
            </w: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(12,409)</w:t>
            </w:r>
          </w:p>
        </w:tc>
        <w:tc>
          <w:tcPr>
            <w:tcW w:w="200" w:type="dxa"/>
            <w:vAlign w:val="bottom"/>
          </w:tcPr>
          <w:p>
            <w:pPr>
              <w:spacing w:after="0"/>
              <w:rPr>
                <w:sz w:val="15"/>
                <w:szCs w:val="15"/>
                <w:color w:val="auto"/>
              </w:rPr>
            </w:pPr>
          </w:p>
        </w:tc>
        <w:tc>
          <w:tcPr>
            <w:tcW w:w="13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16,018</w:t>
            </w:r>
          </w:p>
        </w:tc>
        <w:tc>
          <w:tcPr>
            <w:tcW w:w="220" w:type="dxa"/>
            <w:vAlign w:val="bottom"/>
          </w:tcPr>
          <w:p>
            <w:pPr>
              <w:spacing w:after="0"/>
              <w:rPr>
                <w:sz w:val="15"/>
                <w:szCs w:val="15"/>
                <w:color w:val="auto"/>
              </w:rPr>
            </w:pPr>
          </w:p>
        </w:tc>
        <w:tc>
          <w:tcPr>
            <w:tcW w:w="14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(361)</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166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200"/>
              <w:spacing w:after="0"/>
              <w:rPr>
                <w:sz w:val="20"/>
                <w:szCs w:val="20"/>
                <w:color w:val="auto"/>
              </w:rPr>
            </w:pPr>
            <w:r>
              <w:rPr>
                <w:rFonts w:ascii="Arial" w:cs="Arial" w:eastAsia="Arial" w:hAnsi="Arial"/>
                <w:sz w:val="14"/>
                <w:szCs w:val="14"/>
                <w:color w:val="auto"/>
              </w:rPr>
              <w:t>Income tax benefit (provision)</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4,258</w:t>
            </w: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(6,160)</w:t>
            </w:r>
          </w:p>
        </w:tc>
        <w:tc>
          <w:tcPr>
            <w:tcW w:w="1660" w:type="dxa"/>
            <w:vAlign w:val="bottom"/>
            <w:gridSpan w:val="2"/>
          </w:tcPr>
          <w:p>
            <w:pPr>
              <w:jc w:val="right"/>
              <w:ind w:right="30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ind w:left="520"/>
              <w:spacing w:after="0"/>
              <w:rPr>
                <w:sz w:val="20"/>
                <w:szCs w:val="20"/>
                <w:color w:val="auto"/>
              </w:rPr>
            </w:pPr>
            <w:r>
              <w:rPr>
                <w:rFonts w:ascii="Arial" w:cs="Arial" w:eastAsia="Arial" w:hAnsi="Arial"/>
                <w:sz w:val="14"/>
                <w:szCs w:val="14"/>
                <w:b w:val="1"/>
                <w:bCs w:val="1"/>
                <w:color w:val="auto"/>
              </w:rPr>
              <w:t>Net (loss) income</w:t>
            </w: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($8,078)</w:t>
            </w:r>
          </w:p>
        </w:tc>
        <w:tc>
          <w:tcPr>
            <w:tcW w:w="20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9,861</w:t>
            </w:r>
          </w:p>
        </w:tc>
        <w:tc>
          <w:tcPr>
            <w:tcW w:w="2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4"/>
                <w:szCs w:val="14"/>
                <w:color w:val="auto"/>
              </w:rPr>
              <w:t>(Loss) earnings per common share:</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0.37</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5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(0.30)</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0.37</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200"/>
              <w:spacing w:after="0"/>
              <w:rPr>
                <w:sz w:val="20"/>
                <w:szCs w:val="20"/>
                <w:color w:val="auto"/>
              </w:rPr>
            </w:pPr>
            <w:r>
              <w:rPr>
                <w:rFonts w:ascii="Arial" w:cs="Arial" w:eastAsia="Arial" w:hAnsi="Arial"/>
                <w:sz w:val="14"/>
                <w:szCs w:val="14"/>
                <w:color w:val="auto"/>
              </w:rPr>
              <w:t>Weighted average common shares outstanding:</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52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26,819</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26,834</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52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26,819</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26,952</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 RECONCILIATION BETWEEN GAAP AND PRO FORMA RESULTS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This information is being provided so as to allow for a comparison of our operating results without special charges.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Six Months Ended</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6"/>
        </w:trPr>
        <w:tc>
          <w:tcPr>
            <w:tcW w:w="596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4"/>
                <w:szCs w:val="14"/>
                <w:i w:val="1"/>
                <w:iCs w:val="1"/>
                <w:color w:val="auto"/>
              </w:rPr>
              <w:t>(amounts in thousands)</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8"/>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8"/>
              <w:spacing w:after="0" w:line="156"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8"/>
              <w:spacing w:after="0" w:line="156" w:lineRule="exact"/>
              <w:rPr>
                <w:sz w:val="20"/>
                <w:szCs w:val="20"/>
                <w:color w:val="auto"/>
              </w:rPr>
            </w:pPr>
            <w:r>
              <w:rPr>
                <w:rFonts w:ascii="Arial" w:cs="Arial" w:eastAsia="Arial" w:hAnsi="Arial"/>
                <w:sz w:val="14"/>
                <w:szCs w:val="14"/>
                <w:b w:val="1"/>
                <w:bCs w:val="1"/>
                <w:color w:val="auto"/>
              </w:rPr>
              <w:t>2008</w:t>
            </w:r>
          </w:p>
        </w:tc>
      </w:tr>
      <w:tr>
        <w:trPr>
          <w:trHeight w:val="339"/>
        </w:trPr>
        <w:tc>
          <w:tcPr>
            <w:tcW w:w="5960" w:type="dxa"/>
            <w:vAlign w:val="bottom"/>
            <w:gridSpan w:val="2"/>
          </w:tcPr>
          <w:p>
            <w:pPr>
              <w:ind w:left="220"/>
              <w:spacing w:after="0"/>
              <w:rPr>
                <w:sz w:val="20"/>
                <w:szCs w:val="20"/>
                <w:color w:val="auto"/>
              </w:rPr>
            </w:pPr>
            <w:r>
              <w:rPr>
                <w:rFonts w:ascii="Arial" w:cs="Arial" w:eastAsia="Arial" w:hAnsi="Arial"/>
                <w:sz w:val="14"/>
                <w:szCs w:val="14"/>
                <w:color w:val="auto"/>
              </w:rPr>
              <w:t>GAAP net (loss) income</w:t>
            </w:r>
          </w:p>
        </w:tc>
        <w:tc>
          <w:tcPr>
            <w:tcW w:w="2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($6,459)</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5,087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($8,078)</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9,861</w:t>
            </w:r>
          </w:p>
        </w:tc>
      </w:tr>
      <w:tr>
        <w:trPr>
          <w:trHeight w:val="176"/>
        </w:trPr>
        <w:tc>
          <w:tcPr>
            <w:tcW w:w="5960" w:type="dxa"/>
            <w:vAlign w:val="bottom"/>
            <w:gridSpan w:val="2"/>
          </w:tcPr>
          <w:p>
            <w:pPr>
              <w:ind w:left="220"/>
              <w:spacing w:after="0"/>
              <w:rPr>
                <w:sz w:val="20"/>
                <w:szCs w:val="20"/>
                <w:color w:val="auto"/>
              </w:rPr>
            </w:pPr>
            <w:r>
              <w:rPr>
                <w:rFonts w:ascii="Arial" w:cs="Arial" w:eastAsia="Arial" w:hAnsi="Arial"/>
                <w:sz w:val="14"/>
                <w:szCs w:val="14"/>
                <w:color w:val="auto"/>
              </w:rPr>
              <w:t>Special charges (after tax):</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960" w:type="dxa"/>
            <w:vAlign w:val="bottom"/>
            <w:gridSpan w:val="2"/>
          </w:tcPr>
          <w:p>
            <w:pPr>
              <w:ind w:left="420"/>
              <w:spacing w:after="0"/>
              <w:rPr>
                <w:sz w:val="20"/>
                <w:szCs w:val="20"/>
                <w:color w:val="auto"/>
              </w:rPr>
            </w:pPr>
            <w:r>
              <w:rPr>
                <w:rFonts w:ascii="Arial" w:cs="Arial" w:eastAsia="Arial" w:hAnsi="Arial"/>
                <w:sz w:val="14"/>
                <w:szCs w:val="14"/>
                <w:color w:val="auto"/>
              </w:rPr>
              <w:t>Software development write-off and related charges</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7,378</w:t>
            </w:r>
          </w:p>
        </w:tc>
        <w:tc>
          <w:tcPr>
            <w:tcW w:w="460" w:type="dxa"/>
            <w:vAlign w:val="bottom"/>
          </w:tcPr>
          <w:p>
            <w:pPr>
              <w:spacing w:after="0"/>
              <w:rPr>
                <w:sz w:val="15"/>
                <w:szCs w:val="15"/>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181"/>
        </w:trPr>
        <w:tc>
          <w:tcPr>
            <w:tcW w:w="5960" w:type="dxa"/>
            <w:vAlign w:val="bottom"/>
            <w:gridSpan w:val="2"/>
          </w:tcPr>
          <w:p>
            <w:pPr>
              <w:ind w:left="420"/>
              <w:spacing w:after="0"/>
              <w:rPr>
                <w:sz w:val="20"/>
                <w:szCs w:val="20"/>
                <w:color w:val="auto"/>
              </w:rPr>
            </w:pPr>
            <w:r>
              <w:rPr>
                <w:rFonts w:ascii="Arial" w:cs="Arial" w:eastAsia="Arial" w:hAnsi="Arial"/>
                <w:sz w:val="14"/>
                <w:szCs w:val="14"/>
                <w:color w:val="auto"/>
              </w:rPr>
              <w:t>Management restructuring</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771</w:t>
            </w:r>
          </w:p>
        </w:tc>
        <w:tc>
          <w:tcPr>
            <w:tcW w:w="460" w:type="dxa"/>
            <w:vAlign w:val="bottom"/>
          </w:tcPr>
          <w:p>
            <w:pPr>
              <w:spacing w:after="0"/>
              <w:rPr>
                <w:sz w:val="15"/>
                <w:szCs w:val="15"/>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169"/>
        </w:trPr>
        <w:tc>
          <w:tcPr>
            <w:tcW w:w="5960" w:type="dxa"/>
            <w:vAlign w:val="bottom"/>
            <w:gridSpan w:val="2"/>
          </w:tcPr>
          <w:p>
            <w:pPr>
              <w:ind w:left="220"/>
              <w:spacing w:after="0"/>
              <w:rPr>
                <w:sz w:val="20"/>
                <w:szCs w:val="20"/>
                <w:color w:val="auto"/>
              </w:rPr>
            </w:pPr>
            <w:r>
              <w:rPr>
                <w:rFonts w:ascii="Arial" w:cs="Arial" w:eastAsia="Arial" w:hAnsi="Arial"/>
                <w:sz w:val="14"/>
                <w:szCs w:val="14"/>
                <w:color w:val="auto"/>
              </w:rPr>
              <w:t>Total special charges (after tax)</w:t>
            </w: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7,573</w:t>
            </w: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r>
      <w:tr>
        <w:trPr>
          <w:trHeight w:val="345"/>
        </w:trPr>
        <w:tc>
          <w:tcPr>
            <w:tcW w:w="5960" w:type="dxa"/>
            <w:vAlign w:val="bottom"/>
            <w:gridSpan w:val="2"/>
          </w:tcPr>
          <w:p>
            <w:pPr>
              <w:ind w:left="220"/>
              <w:spacing w:after="0"/>
              <w:rPr>
                <w:sz w:val="20"/>
                <w:szCs w:val="20"/>
                <w:color w:val="auto"/>
              </w:rPr>
            </w:pPr>
            <w:r>
              <w:rPr>
                <w:rFonts w:ascii="Arial" w:cs="Arial" w:eastAsia="Arial" w:hAnsi="Arial"/>
                <w:sz w:val="14"/>
                <w:szCs w:val="14"/>
                <w:color w:val="auto"/>
              </w:rPr>
              <w:t>Pro forma net income</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5,087</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9,861</w:t>
            </w:r>
          </w:p>
        </w:tc>
      </w:tr>
      <w:tr>
        <w:trPr>
          <w:trHeight w:val="20"/>
        </w:trPr>
        <w:tc>
          <w:tcPr>
            <w:tcW w:w="5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21"/>
        </w:trPr>
        <w:tc>
          <w:tcPr>
            <w:tcW w:w="520" w:type="dxa"/>
            <w:vAlign w:val="bottom"/>
            <w:tcBorders>
              <w:bottom w:val="single" w:sz="8" w:color="EEEEEE"/>
            </w:tcBorders>
          </w:tcPr>
          <w:p>
            <w:pPr>
              <w:spacing w:after="0" w:line="20" w:lineRule="exact"/>
              <w:rPr>
                <w:sz w:val="1"/>
                <w:szCs w:val="1"/>
                <w:color w:val="auto"/>
              </w:rPr>
            </w:pPr>
          </w:p>
        </w:tc>
        <w:tc>
          <w:tcPr>
            <w:tcW w:w="5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4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BALANCE SHEETS</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3"/>
              </w:rPr>
              <w:t>2008</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67,310</w:t>
            </w:r>
          </w:p>
        </w:tc>
        <w:tc>
          <w:tcPr>
            <w:tcW w:w="48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47,003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168,918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185,885</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57,890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60,813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4,284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4,244</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Income taxes receivable</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4,296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Prepaid expenses and other current assets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3,377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current assets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306,075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303,019</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14,028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24,483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48,060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48,060</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Assets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370,344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378,167</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2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2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Current maturities of capital lease obligation to affiliate</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738</w:t>
            </w:r>
          </w:p>
        </w:tc>
        <w:tc>
          <w:tcPr>
            <w:tcW w:w="48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102,196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101,783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Accrued expenses and other liabilities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20,117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19,993</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Accrued payroll</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8,662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current liabilities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131,713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128,812</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Capital lease obligation to affiliate, less current maturities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3,231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3,585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4,066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Liabilities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142,595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142,843</w:t>
            </w:r>
          </w:p>
        </w:tc>
        <w:tc>
          <w:tcPr>
            <w:tcW w:w="0" w:type="dxa"/>
            <w:vAlign w:val="bottom"/>
          </w:tcPr>
          <w:p>
            <w:pPr>
              <w:spacing w:after="0"/>
              <w:rPr>
                <w:sz w:val="1"/>
                <w:szCs w:val="1"/>
                <w:color w:val="auto"/>
              </w:rPr>
            </w:pPr>
          </w:p>
        </w:tc>
      </w:tr>
      <w:tr>
        <w:trPr>
          <w:trHeight w:val="164"/>
        </w:trPr>
        <w:tc>
          <w:tcPr>
            <w:tcW w:w="424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96,306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95,997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Retained earnings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134,258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142,336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Treasury stock at cost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Stockholders’ Equity</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227,749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235,324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Liabilities and Stockholders’ Equity</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370,344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20" w:type="dxa"/>
            <w:vAlign w:val="bottom"/>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5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CONSOLIDATED STATEMENT OF CHANGES IN STOCKHOLDERS’ EQUITY</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 30, 2009 (</w:t>
            </w:r>
            <w:r>
              <w:rPr>
                <w:rFonts w:ascii="Arial" w:cs="Arial" w:eastAsia="Arial" w:hAnsi="Arial"/>
                <w:sz w:val="14"/>
                <w:szCs w:val="14"/>
                <w:b w:val="1"/>
                <w:bCs w:val="1"/>
                <w:i w:val="1"/>
                <w:iCs w:val="1"/>
                <w:color w:val="auto"/>
              </w:rPr>
              <w:t>amounts in thousands</w:t>
            </w: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Balance – January 1, 2009</w:t>
            </w:r>
          </w:p>
        </w:tc>
        <w:tc>
          <w:tcPr>
            <w:tcW w:w="680" w:type="dxa"/>
            <w:vAlign w:val="bottom"/>
          </w:tcPr>
          <w:p>
            <w:pPr>
              <w:jc w:val="right"/>
              <w:spacing w:after="0"/>
              <w:rPr>
                <w:sz w:val="20"/>
                <w:szCs w:val="20"/>
                <w:color w:val="auto"/>
              </w:rPr>
            </w:pPr>
            <w:r>
              <w:rPr>
                <w:rFonts w:ascii="Arial" w:cs="Arial" w:eastAsia="Arial" w:hAnsi="Arial"/>
                <w:sz w:val="14"/>
                <w:szCs w:val="14"/>
                <w:color w:val="auto"/>
              </w:rPr>
              <w:t>27,326</w:t>
            </w:r>
          </w:p>
        </w:tc>
        <w:tc>
          <w:tcPr>
            <w:tcW w:w="80" w:type="dxa"/>
            <w:vAlign w:val="bottom"/>
          </w:tcPr>
          <w:p>
            <w:pPr>
              <w:spacing w:after="0"/>
              <w:rPr>
                <w:sz w:val="24"/>
                <w:szCs w:val="24"/>
                <w:color w:val="auto"/>
              </w:rPr>
            </w:pP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273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95,997</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142,336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(492)</w:t>
            </w:r>
          </w:p>
        </w:tc>
        <w:tc>
          <w:tcPr>
            <w:tcW w:w="480" w:type="dxa"/>
            <w:vAlign w:val="bottom"/>
            <w:gridSpan w:val="4"/>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(3,282)</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235,324</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Stock compensation expense</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344"/>
        </w:trPr>
        <w:tc>
          <w:tcPr>
            <w:tcW w:w="4240" w:type="dxa"/>
            <w:vAlign w:val="bottom"/>
            <w:gridSpan w:val="2"/>
          </w:tcPr>
          <w:p>
            <w:pPr>
              <w:spacing w:after="0"/>
              <w:rPr>
                <w:sz w:val="20"/>
                <w:szCs w:val="20"/>
                <w:color w:val="auto"/>
              </w:rPr>
            </w:pPr>
            <w:r>
              <w:rPr>
                <w:rFonts w:ascii="Arial" w:cs="Arial" w:eastAsia="Arial" w:hAnsi="Arial"/>
                <w:sz w:val="14"/>
                <w:szCs w:val="14"/>
                <w:color w:val="auto"/>
              </w:rPr>
              <w:t>Issuance of common stock under Employee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Stock Purchase Plan</w:t>
            </w: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Tax shortfall from stock-based compensation</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Repurchase of common stock for treasury</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Nonvested stock awards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0"/>
        </w:trPr>
        <w:tc>
          <w:tcPr>
            <w:tcW w:w="42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(8,078)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(8,078)</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June 30, 2009</w:t>
            </w: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2"/>
            <w:vMerge w:val="continue"/>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27,354</w:t>
            </w:r>
          </w:p>
        </w:tc>
        <w:tc>
          <w:tcPr>
            <w:tcW w:w="80" w:type="dxa"/>
            <w:vAlign w:val="bottom"/>
          </w:tcPr>
          <w:p>
            <w:pPr>
              <w:spacing w:after="0"/>
              <w:rPr>
                <w:sz w:val="24"/>
                <w:szCs w:val="24"/>
                <w:color w:val="auto"/>
              </w:rPr>
            </w:pP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273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96,306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134,258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(484)</w:t>
            </w:r>
          </w:p>
        </w:tc>
        <w:tc>
          <w:tcPr>
            <w:tcW w:w="480" w:type="dxa"/>
            <w:vAlign w:val="bottom"/>
            <w:gridSpan w:val="4"/>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(3,088)</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227,749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Six Months Ended June 30, (</w:t>
            </w:r>
            <w:r>
              <w:rPr>
                <w:rFonts w:ascii="Arial" w:cs="Arial" w:eastAsia="Arial" w:hAnsi="Arial"/>
                <w:sz w:val="14"/>
                <w:szCs w:val="14"/>
                <w:b w:val="1"/>
                <w:bCs w:val="1"/>
                <w:i w:val="1"/>
                <w:iCs w:val="1"/>
                <w:color w:val="auto"/>
              </w:rPr>
              <w:t>amounts in thousands</w:t>
            </w: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2008</w:t>
            </w:r>
          </w:p>
        </w:tc>
      </w:tr>
      <w:tr>
        <w:trPr>
          <w:trHeight w:val="346"/>
        </w:trPr>
        <w:tc>
          <w:tcPr>
            <w:tcW w:w="8760" w:type="dxa"/>
            <w:vAlign w:val="bottom"/>
          </w:tcPr>
          <w:p>
            <w:pPr>
              <w:ind w:left="2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4"/>
        </w:trPr>
        <w:tc>
          <w:tcPr>
            <w:tcW w:w="8760" w:type="dxa"/>
            <w:vAlign w:val="bottom"/>
          </w:tcPr>
          <w:p>
            <w:pPr>
              <w:ind w:left="220"/>
              <w:spacing w:after="0"/>
              <w:rPr>
                <w:sz w:val="20"/>
                <w:szCs w:val="20"/>
                <w:color w:val="auto"/>
              </w:rPr>
            </w:pPr>
            <w:r>
              <w:rPr>
                <w:rFonts w:ascii="Arial" w:cs="Arial" w:eastAsia="Arial" w:hAnsi="Arial"/>
                <w:sz w:val="14"/>
                <w:szCs w:val="14"/>
                <w:color w:val="auto"/>
              </w:rPr>
              <w:t>Net (loss) income</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(8,078)</w:t>
            </w:r>
          </w:p>
        </w:tc>
        <w:tc>
          <w:tcPr>
            <w:tcW w:w="5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9,861</w:t>
            </w:r>
          </w:p>
        </w:tc>
      </w:tr>
      <w:tr>
        <w:trPr>
          <w:trHeight w:val="149"/>
        </w:trPr>
        <w:tc>
          <w:tcPr>
            <w:tcW w:w="8760" w:type="dxa"/>
            <w:vAlign w:val="bottom"/>
          </w:tcPr>
          <w:p>
            <w:pPr>
              <w:ind w:left="220"/>
              <w:spacing w:after="0" w:line="149" w:lineRule="exact"/>
              <w:rPr>
                <w:sz w:val="20"/>
                <w:szCs w:val="20"/>
                <w:color w:val="auto"/>
              </w:rPr>
            </w:pPr>
            <w:r>
              <w:rPr>
                <w:rFonts w:ascii="Arial" w:cs="Arial" w:eastAsia="Arial" w:hAnsi="Arial"/>
                <w:sz w:val="14"/>
                <w:szCs w:val="14"/>
                <w:color w:val="auto"/>
              </w:rPr>
              <w:t>Adjustments to reconcile net (loss) income to net cash provided by</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6"/>
        </w:trPr>
        <w:tc>
          <w:tcPr>
            <w:tcW w:w="876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Non-cash portion of special charges</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11,625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3,536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3,505</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Provision for doubtful accounts</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1,233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696</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(2,638)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1,751</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Stock compensation expense</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646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531</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Tax (shortfall) benefit from share-based compensation</w:t>
            </w:r>
          </w:p>
        </w:tc>
        <w:tc>
          <w:tcPr>
            <w:tcW w:w="3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Loss on disposal of fixed assets</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82"/>
        </w:trPr>
        <w:tc>
          <w:tcPr>
            <w:tcW w:w="8760" w:type="dxa"/>
            <w:vAlign w:val="bottom"/>
          </w:tcPr>
          <w:p>
            <w:pPr>
              <w:ind w:left="540"/>
              <w:spacing w:after="0"/>
              <w:rPr>
                <w:sz w:val="20"/>
                <w:szCs w:val="20"/>
                <w:color w:val="auto"/>
              </w:rPr>
            </w:pPr>
            <w:r>
              <w:rPr>
                <w:rFonts w:ascii="Arial" w:cs="Arial" w:eastAsia="Arial" w:hAnsi="Arial"/>
                <w:sz w:val="14"/>
                <w:szCs w:val="14"/>
                <w:color w:val="auto"/>
              </w:rPr>
              <w:t>Excess tax benefit from exercise of stock options</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344"/>
        </w:trPr>
        <w:tc>
          <w:tcPr>
            <w:tcW w:w="876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15,734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7,921</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2,923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11,122</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(2,599)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176"/>
        </w:trPr>
        <w:tc>
          <w:tcPr>
            <w:tcW w:w="8760" w:type="dxa"/>
            <w:vAlign w:val="bottom"/>
          </w:tcPr>
          <w:p>
            <w:pPr>
              <w:ind w:left="54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596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181"/>
        </w:trPr>
        <w:tc>
          <w:tcPr>
            <w:tcW w:w="8760" w:type="dxa"/>
            <w:vAlign w:val="bottom"/>
          </w:tcPr>
          <w:p>
            <w:pPr>
              <w:ind w:left="540"/>
              <w:spacing w:after="0"/>
              <w:rPr>
                <w:sz w:val="20"/>
                <w:szCs w:val="20"/>
                <w:color w:val="auto"/>
              </w:rPr>
            </w:pPr>
            <w:r>
              <w:rPr>
                <w:rFonts w:ascii="Arial" w:cs="Arial" w:eastAsia="Arial" w:hAnsi="Arial"/>
                <w:sz w:val="14"/>
                <w:szCs w:val="14"/>
                <w:color w:val="auto"/>
              </w:rPr>
              <w:t>Accrued expenses and other liabilities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2,277</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(1,444)</w:t>
            </w:r>
          </w:p>
        </w:tc>
      </w:tr>
      <w:tr>
        <w:trPr>
          <w:trHeight w:val="169"/>
        </w:trPr>
        <w:tc>
          <w:tcPr>
            <w:tcW w:w="876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25,056</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33,623</w:t>
            </w:r>
          </w:p>
        </w:tc>
      </w:tr>
      <w:tr>
        <w:trPr>
          <w:trHeight w:val="522"/>
        </w:trPr>
        <w:tc>
          <w:tcPr>
            <w:tcW w:w="8760" w:type="dxa"/>
            <w:vAlign w:val="bottom"/>
          </w:tcPr>
          <w:p>
            <w:pPr>
              <w:ind w:left="2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0"/>
        </w:trPr>
        <w:tc>
          <w:tcPr>
            <w:tcW w:w="8760" w:type="dxa"/>
            <w:vAlign w:val="bottom"/>
          </w:tcPr>
          <w:p>
            <w:pPr>
              <w:ind w:left="22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(4,369)</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(5,465)</w:t>
            </w:r>
          </w:p>
        </w:tc>
      </w:tr>
      <w:tr>
        <w:trPr>
          <w:trHeight w:val="169"/>
        </w:trPr>
        <w:tc>
          <w:tcPr>
            <w:tcW w:w="8760" w:type="dxa"/>
            <w:vAlign w:val="bottom"/>
          </w:tcPr>
          <w:p>
            <w:pPr>
              <w:ind w:left="220"/>
              <w:spacing w:after="0"/>
              <w:rPr>
                <w:sz w:val="20"/>
                <w:szCs w:val="20"/>
                <w:color w:val="auto"/>
              </w:rPr>
            </w:pPr>
            <w:r>
              <w:rPr>
                <w:rFonts w:ascii="Arial" w:cs="Arial" w:eastAsia="Arial" w:hAnsi="Arial"/>
                <w:sz w:val="14"/>
                <w:szCs w:val="14"/>
                <w:color w:val="auto"/>
              </w:rPr>
              <w:t>Net cash used for investing activities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(4,369)</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(5,465)</w:t>
            </w:r>
          </w:p>
        </w:tc>
      </w:tr>
      <w:tr>
        <w:trPr>
          <w:trHeight w:val="522"/>
        </w:trPr>
        <w:tc>
          <w:tcPr>
            <w:tcW w:w="8760" w:type="dxa"/>
            <w:vAlign w:val="bottom"/>
          </w:tcPr>
          <w:p>
            <w:pPr>
              <w:ind w:left="2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4"/>
        </w:trPr>
        <w:tc>
          <w:tcPr>
            <w:tcW w:w="8760" w:type="dxa"/>
            <w:vAlign w:val="bottom"/>
          </w:tcPr>
          <w:p>
            <w:pPr>
              <w:ind w:left="220"/>
              <w:spacing w:after="0"/>
              <w:rPr>
                <w:sz w:val="20"/>
                <w:szCs w:val="20"/>
                <w:color w:val="auto"/>
              </w:rPr>
            </w:pPr>
            <w:r>
              <w:rPr>
                <w:rFonts w:ascii="Arial" w:cs="Arial" w:eastAsia="Arial" w:hAnsi="Arial"/>
                <w:sz w:val="14"/>
                <w:szCs w:val="14"/>
                <w:color w:val="auto"/>
              </w:rPr>
              <w:t>Proceeds from short-term borrowings</w:t>
            </w:r>
          </w:p>
        </w:tc>
        <w:tc>
          <w:tcPr>
            <w:tcW w:w="3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1,545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35,345</w:t>
            </w:r>
          </w:p>
        </w:tc>
      </w:tr>
      <w:tr>
        <w:trPr>
          <w:trHeight w:val="176"/>
        </w:trPr>
        <w:tc>
          <w:tcPr>
            <w:tcW w:w="8760" w:type="dxa"/>
            <w:vAlign w:val="bottom"/>
          </w:tcPr>
          <w:p>
            <w:pPr>
              <w:ind w:left="220"/>
              <w:spacing w:after="0"/>
              <w:rPr>
                <w:sz w:val="20"/>
                <w:szCs w:val="20"/>
                <w:color w:val="auto"/>
              </w:rPr>
            </w:pPr>
            <w:r>
              <w:rPr>
                <w:rFonts w:ascii="Arial" w:cs="Arial" w:eastAsia="Arial" w:hAnsi="Arial"/>
                <w:sz w:val="14"/>
                <w:szCs w:val="14"/>
                <w:color w:val="auto"/>
              </w:rPr>
              <w:t>Repayment of short-term borrowings</w:t>
            </w:r>
          </w:p>
        </w:tc>
        <w:tc>
          <w:tcPr>
            <w:tcW w:w="3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(1,545)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(35,345)</w:t>
            </w:r>
          </w:p>
        </w:tc>
      </w:tr>
      <w:tr>
        <w:trPr>
          <w:trHeight w:val="176"/>
        </w:trPr>
        <w:tc>
          <w:tcPr>
            <w:tcW w:w="8760" w:type="dxa"/>
            <w:vAlign w:val="bottom"/>
          </w:tcPr>
          <w:p>
            <w:pPr>
              <w:ind w:left="220"/>
              <w:spacing w:after="0"/>
              <w:rPr>
                <w:sz w:val="20"/>
                <w:szCs w:val="20"/>
                <w:color w:val="auto"/>
              </w:rPr>
            </w:pPr>
            <w:r>
              <w:rPr>
                <w:rFonts w:ascii="Arial" w:cs="Arial" w:eastAsia="Arial" w:hAnsi="Arial"/>
                <w:sz w:val="14"/>
                <w:szCs w:val="14"/>
                <w:color w:val="auto"/>
              </w:rPr>
              <w:t>Repayment of capital lease obligation</w:t>
            </w:r>
          </w:p>
        </w:tc>
        <w:tc>
          <w:tcPr>
            <w:tcW w:w="3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(252)</w:t>
            </w:r>
          </w:p>
        </w:tc>
      </w:tr>
      <w:tr>
        <w:trPr>
          <w:trHeight w:val="176"/>
        </w:trPr>
        <w:tc>
          <w:tcPr>
            <w:tcW w:w="8760" w:type="dxa"/>
            <w:vAlign w:val="bottom"/>
          </w:tcPr>
          <w:p>
            <w:pPr>
              <w:ind w:left="220"/>
              <w:spacing w:after="0"/>
              <w:rPr>
                <w:sz w:val="20"/>
                <w:szCs w:val="20"/>
                <w:color w:val="auto"/>
              </w:rPr>
            </w:pPr>
            <w:r>
              <w:rPr>
                <w:rFonts w:ascii="Arial" w:cs="Arial" w:eastAsia="Arial" w:hAnsi="Arial"/>
                <w:sz w:val="14"/>
                <w:szCs w:val="14"/>
                <w:color w:val="auto"/>
              </w:rPr>
              <w:t>Purchase of treasury shares</w:t>
            </w:r>
          </w:p>
        </w:tc>
        <w:tc>
          <w:tcPr>
            <w:tcW w:w="3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(939)</w:t>
            </w:r>
          </w:p>
        </w:tc>
      </w:tr>
      <w:tr>
        <w:trPr>
          <w:trHeight w:val="176"/>
        </w:trPr>
        <w:tc>
          <w:tcPr>
            <w:tcW w:w="8760" w:type="dxa"/>
            <w:vAlign w:val="bottom"/>
          </w:tcPr>
          <w:p>
            <w:pPr>
              <w:ind w:left="220"/>
              <w:spacing w:after="0"/>
              <w:rPr>
                <w:sz w:val="20"/>
                <w:szCs w:val="20"/>
                <w:color w:val="auto"/>
              </w:rPr>
            </w:pPr>
            <w:r>
              <w:rPr>
                <w:rFonts w:ascii="Arial" w:cs="Arial" w:eastAsia="Arial" w:hAnsi="Arial"/>
                <w:sz w:val="14"/>
                <w:szCs w:val="14"/>
                <w:color w:val="auto"/>
              </w:rPr>
              <w:t>Issuance of stock under Employee Stock Purchase Plan</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129</w:t>
            </w:r>
          </w:p>
        </w:tc>
      </w:tr>
      <w:tr>
        <w:trPr>
          <w:trHeight w:val="176"/>
        </w:trPr>
        <w:tc>
          <w:tcPr>
            <w:tcW w:w="876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30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76</w:t>
            </w:r>
          </w:p>
        </w:tc>
      </w:tr>
      <w:tr>
        <w:trPr>
          <w:trHeight w:val="181"/>
        </w:trPr>
        <w:tc>
          <w:tcPr>
            <w:tcW w:w="8760" w:type="dxa"/>
            <w:vAlign w:val="bottom"/>
          </w:tcPr>
          <w:p>
            <w:pPr>
              <w:ind w:left="220"/>
              <w:spacing w:after="0"/>
              <w:rPr>
                <w:sz w:val="20"/>
                <w:szCs w:val="20"/>
                <w:color w:val="auto"/>
              </w:rPr>
            </w:pPr>
            <w:r>
              <w:rPr>
                <w:rFonts w:ascii="Arial" w:cs="Arial" w:eastAsia="Arial" w:hAnsi="Arial"/>
                <w:sz w:val="14"/>
                <w:szCs w:val="14"/>
                <w:color w:val="auto"/>
              </w:rPr>
              <w:t>Excess tax benefit from exercise of stock options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r>
      <w:tr>
        <w:trPr>
          <w:trHeight w:val="169"/>
        </w:trPr>
        <w:tc>
          <w:tcPr>
            <w:tcW w:w="8760" w:type="dxa"/>
            <w:vAlign w:val="bottom"/>
          </w:tcPr>
          <w:p>
            <w:pPr>
              <w:ind w:left="220"/>
              <w:spacing w:after="0"/>
              <w:rPr>
                <w:sz w:val="20"/>
                <w:szCs w:val="20"/>
                <w:color w:val="auto"/>
              </w:rPr>
            </w:pPr>
            <w:r>
              <w:rPr>
                <w:rFonts w:ascii="Arial" w:cs="Arial" w:eastAsia="Arial" w:hAnsi="Arial"/>
                <w:sz w:val="14"/>
                <w:szCs w:val="14"/>
                <w:color w:val="auto"/>
              </w:rPr>
              <w:t>Net cash used for financing activities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(983)</w:t>
            </w:r>
          </w:p>
        </w:tc>
      </w:tr>
      <w:tr>
        <w:trPr>
          <w:trHeight w:val="164"/>
        </w:trPr>
        <w:tc>
          <w:tcPr>
            <w:tcW w:w="8760" w:type="dxa"/>
            <w:vAlign w:val="bottom"/>
          </w:tcPr>
          <w:p>
            <w:pPr>
              <w:ind w:left="220"/>
              <w:spacing w:after="0"/>
              <w:rPr>
                <w:sz w:val="20"/>
                <w:szCs w:val="20"/>
                <w:color w:val="auto"/>
              </w:rPr>
            </w:pPr>
            <w:r>
              <w:rPr>
                <w:rFonts w:ascii="Arial" w:cs="Arial" w:eastAsia="Arial" w:hAnsi="Arial"/>
                <w:sz w:val="14"/>
                <w:szCs w:val="14"/>
                <w:color w:val="auto"/>
              </w:rPr>
              <w:t>Increase in cash and cash equivalents</w:t>
            </w:r>
          </w:p>
        </w:tc>
        <w:tc>
          <w:tcPr>
            <w:tcW w:w="3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20,307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27,175</w:t>
            </w:r>
          </w:p>
        </w:tc>
      </w:tr>
      <w:tr>
        <w:trPr>
          <w:trHeight w:val="181"/>
        </w:trPr>
        <w:tc>
          <w:tcPr>
            <w:tcW w:w="8760" w:type="dxa"/>
            <w:vAlign w:val="bottom"/>
          </w:tcPr>
          <w:p>
            <w:pPr>
              <w:ind w:left="22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47,003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13,741</w:t>
            </w:r>
          </w:p>
        </w:tc>
      </w:tr>
      <w:tr>
        <w:trPr>
          <w:trHeight w:val="169"/>
        </w:trPr>
        <w:tc>
          <w:tcPr>
            <w:tcW w:w="8760" w:type="dxa"/>
            <w:vAlign w:val="bottom"/>
          </w:tcPr>
          <w:p>
            <w:pPr>
              <w:ind w:left="220"/>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67,310</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40,916</w:t>
            </w:r>
          </w:p>
        </w:tc>
      </w:tr>
      <w:tr>
        <w:trPr>
          <w:trHeight w:val="20"/>
        </w:trPr>
        <w:tc>
          <w:tcPr>
            <w:tcW w:w="8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8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2019-12-10T15:45:58Z</dcterms:created>
  <dcterms:modified xsi:type="dcterms:W3CDTF">2019-12-10T15:45:58Z</dcterms:modified>
</cp:coreProperties>
</file>