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sz w:val="20"/>
        </w:rPr>
      </w:pPr>
      <w:bookmarkStart w:id="0" w:name="_70c62cbc_b09a_4f8f_9274_93492b898693"/>
      <w:bookmarkStart w:id="1" w:name="cnxn-20260729x8k.htm"/>
      <w:bookmarkStart w:id="2" w:name="kscnxn20260729x8k"/>
      <w:bookmarkEnd w:id="0"/>
      <w:bookmarkEnd w:id="1"/>
      <w:bookmarkEnd w:id="2"/>
      <w:r>
        <w:rPr>
          <w:rFonts w:ascii="Times New Roman;Times;serif" w:hAnsi="Times New Roman;Times;serif"/>
          <w:sz w:val="20"/>
        </w:rPr>
        <w:t>UNITED STATES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AND EXCHANGE COMMISSION</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FORM 8-K</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CURRENT REPORT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PURSUANT TO SECTION 13 OR 15(d) OF</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THE SECURITIES EXCHANGE ACT OF 1934</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 July 29, 2026</w:t>
      </w:r>
    </w:p>
    <w:p>
      <w:pPr>
        <w:pStyle w:val="Normal"/>
        <w:bidi w:val="0"/>
        <w:spacing w:before="0" w:after="0"/>
        <w:jc w:val="left"/>
        <w:rPr>
          <w:sz w:val="4"/>
          <w:szCs w:val="4"/>
        </w:rPr>
      </w:pPr>
      <w:r>
        <w:rPr>
          <w:sz w:val="4"/>
          <w:szCs w:val="4"/>
        </w:rPr>
      </w:r>
      <w:bookmarkStart w:id="3" w:name="_8417a908_fecd_40c4_9bd1_ca181cca52f8"/>
      <w:bookmarkStart w:id="4" w:name="_8417a908_fecd_40c4_9bd1_ca181cca52f8"/>
      <w:bookmarkEnd w:id="4"/>
    </w:p>
    <w:tbl>
      <w:tblPr>
        <w:tblW w:w="2521" w:type="dxa"/>
        <w:jc w:val="left"/>
        <w:tblInd w:w="0" w:type="dxa"/>
        <w:tblLayout w:type="fixed"/>
        <w:tblCellMar>
          <w:top w:w="0" w:type="dxa"/>
          <w:left w:w="0" w:type="dxa"/>
          <w:bottom w:w="0" w:type="dxa"/>
          <w:right w:w="0" w:type="dxa"/>
        </w:tblCellMar>
      </w:tblPr>
      <w:tblGrid>
        <w:gridCol w:w="2521"/>
      </w:tblGrid>
      <w:tr>
        <w:trPr/>
        <w:tc>
          <w:tcPr>
            <w:tcW w:w="2521" w:type="dxa"/>
            <w:tcBorders/>
            <w:vAlign w:val="center"/>
          </w:tcPr>
          <w:p>
            <w:pPr>
              <w:pStyle w:val="TableContents"/>
              <w:bidi w:val="0"/>
              <w:spacing w:before="0" w:after="0"/>
              <w:ind w:left="0" w:right="0" w:hanging="0"/>
              <w:jc w:val="left"/>
              <w:rPr/>
            </w:pPr>
            <w:r>
              <w:rPr/>
              <w:t>​</w:t>
            </w:r>
          </w:p>
        </w:tc>
      </w:tr>
      <w:tr>
        <w:trPr/>
        <w:tc>
          <w:tcPr>
            <w:tcW w:w="25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8"/>
              </w:rPr>
            </w:pPr>
            <w:r>
              <w:rPr>
                <w:rFonts w:ascii="Times New Roman;Times;serif" w:hAnsi="Times New Roman;Times;serif"/>
                <w:sz w:val="28"/>
              </w:rPr>
              <w:t>PC Connection, Inc.</w:t>
            </w:r>
          </w:p>
        </w:tc>
      </w:tr>
    </w:tbl>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charter)</w:t>
      </w:r>
    </w:p>
    <w:p>
      <w:pPr>
        <w:pStyle w:val="Normal"/>
        <w:bidi w:val="0"/>
        <w:spacing w:before="0" w:after="0"/>
        <w:jc w:val="left"/>
        <w:rPr>
          <w:sz w:val="4"/>
          <w:szCs w:val="4"/>
        </w:rPr>
      </w:pPr>
      <w:r>
        <w:rPr>
          <w:sz w:val="4"/>
          <w:szCs w:val="4"/>
        </w:rPr>
      </w:r>
      <w:bookmarkStart w:id="5" w:name="Tc_J1tOrtXNQUONejy1TxB4oA_2_2"/>
      <w:bookmarkStart w:id="6" w:name="Tc_oz7NY8Eg5kScdC-WxWmxyw_2_1"/>
      <w:bookmarkStart w:id="7" w:name="Tc_Y-k8ALX_XUekkIkxefU6Ig_2_0"/>
      <w:bookmarkStart w:id="8" w:name="_358a745e_9e04_4f27_b62d_41d41dd9bdcd"/>
      <w:bookmarkStart w:id="9" w:name="Tc_J1tOrtXNQUONejy1TxB4oA_2_2"/>
      <w:bookmarkStart w:id="10" w:name="Tc_oz7NY8Eg5kScdC-WxWmxyw_2_1"/>
      <w:bookmarkStart w:id="11" w:name="Tc_Y-k8ALX_XUekkIkxefU6Ig_2_0"/>
      <w:bookmarkStart w:id="12" w:name="_358a745e_9e04_4f27_b62d_41d41dd9bdcd"/>
      <w:bookmarkEnd w:id="9"/>
      <w:bookmarkEnd w:id="10"/>
      <w:bookmarkEnd w:id="11"/>
      <w:bookmarkEnd w:id="12"/>
    </w:p>
    <w:tbl>
      <w:tblPr>
        <w:tblW w:w="4953" w:type="dxa"/>
        <w:jc w:val="left"/>
        <w:tblInd w:w="0" w:type="dxa"/>
        <w:tblLayout w:type="fixed"/>
        <w:tblCellMar>
          <w:top w:w="0" w:type="dxa"/>
          <w:left w:w="0" w:type="dxa"/>
          <w:bottom w:w="0" w:type="dxa"/>
          <w:right w:w="0" w:type="dxa"/>
        </w:tblCellMar>
      </w:tblPr>
      <w:tblGrid>
        <w:gridCol w:w="2071"/>
        <w:gridCol w:w="1231"/>
        <w:gridCol w:w="1651"/>
      </w:tblGrid>
      <w:tr>
        <w:trPr/>
        <w:tc>
          <w:tcPr>
            <w:tcW w:w="207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r>
      <w:tr>
        <w:trPr/>
        <w:tc>
          <w:tcPr>
            <w:tcW w:w="20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0-23827</w:t>
            </w:r>
          </w:p>
        </w:tc>
        <w:tc>
          <w:tcPr>
            <w:tcW w:w="16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02-0513618</w:t>
            </w:r>
          </w:p>
        </w:tc>
      </w:tr>
      <w:tr>
        <w:trPr/>
        <w:tc>
          <w:tcPr>
            <w:tcW w:w="20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w:t>
              <w:br/>
              <w:t>diction of incorporation</w:t>
            </w:r>
          </w:p>
        </w:tc>
        <w:tc>
          <w:tcPr>
            <w:tcW w:w="12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(Commission </w:t>
              <w:br/>
              <w:t>File Number)</w:t>
            </w:r>
          </w:p>
        </w:tc>
        <w:tc>
          <w:tcPr>
            <w:tcW w:w="16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(IRS Employer </w:t>
              <w:br/>
              <w:t>Identification No.)</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3" w:name="Tc_xUyYpoTFCUORyTp85MOFJw_2_1"/>
      <w:bookmarkStart w:id="14" w:name="Tc_8wxl2PQgskqDY2aa301ieA_2_0"/>
      <w:bookmarkStart w:id="15" w:name="Tc_Vg_HgL25UkutUMVTBtunmA_1_0"/>
      <w:bookmarkStart w:id="16" w:name="_918503e1_8237_4874_b63a_0f823fdd2ed1"/>
      <w:bookmarkStart w:id="17" w:name="Tc_xUyYpoTFCUORyTp85MOFJw_2_1"/>
      <w:bookmarkStart w:id="18" w:name="Tc_8wxl2PQgskqDY2aa301ieA_2_0"/>
      <w:bookmarkStart w:id="19" w:name="Tc_Vg_HgL25UkutUMVTBtunmA_1_0"/>
      <w:bookmarkStart w:id="20" w:name="_918503e1_8237_4874_b63a_0f823fdd2ed1"/>
      <w:bookmarkEnd w:id="17"/>
      <w:bookmarkEnd w:id="18"/>
      <w:bookmarkEnd w:id="19"/>
      <w:bookmarkEnd w:id="20"/>
    </w:p>
    <w:tbl>
      <w:tblPr>
        <w:tblW w:w="4337" w:type="dxa"/>
        <w:jc w:val="left"/>
        <w:tblInd w:w="0" w:type="dxa"/>
        <w:tblLayout w:type="fixed"/>
        <w:tblCellMar>
          <w:top w:w="0" w:type="dxa"/>
          <w:left w:w="0" w:type="dxa"/>
          <w:bottom w:w="0" w:type="dxa"/>
          <w:right w:w="0" w:type="dxa"/>
        </w:tblCellMar>
      </w:tblPr>
      <w:tblGrid>
        <w:gridCol w:w="3301"/>
        <w:gridCol w:w="1036"/>
      </w:tblGrid>
      <w:tr>
        <w:trPr/>
        <w:tc>
          <w:tcPr>
            <w:tcW w:w="3301"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57860" cy="175260"/>
                      <wp:effectExtent l="0" t="0" r="0" b="0"/>
                      <wp:wrapNone/>
                      <wp:docPr id="1" name="Frame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730 Milford Road</w:t>
              <w:br/>
              <w:t>Merrimack, NH</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03054</w:t>
            </w:r>
          </w:p>
        </w:tc>
      </w:tr>
      <w:tr>
        <w:trPr/>
        <w:tc>
          <w:tcPr>
            <w:tcW w:w="33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03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240" w:after="24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 (603) 683-2000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bl>
      <w:tblPr>
        <w:tblW w:w="5026" w:type="dxa"/>
        <w:jc w:val="left"/>
        <w:tblInd w:w="0" w:type="dxa"/>
        <w:tblLayout w:type="fixed"/>
        <w:tblCellMar>
          <w:top w:w="0" w:type="dxa"/>
          <w:left w:w="0" w:type="dxa"/>
          <w:bottom w:w="0" w:type="dxa"/>
          <w:right w:w="0" w:type="dxa"/>
        </w:tblCellMar>
      </w:tblPr>
      <w:tblGrid>
        <w:gridCol w:w="5026"/>
      </w:tblGrid>
      <w:tr>
        <w:trPr/>
        <w:tc>
          <w:tcPr>
            <w:tcW w:w="5026" w:type="dxa"/>
            <w:tcBorders/>
            <w:vAlign w:val="center"/>
          </w:tcPr>
          <w:p>
            <w:pPr>
              <w:pStyle w:val="TableContents"/>
              <w:bidi w:val="0"/>
              <w:spacing w:before="0" w:after="0"/>
              <w:ind w:left="0" w:right="0" w:hanging="0"/>
              <w:jc w:val="left"/>
              <w:rPr/>
            </w:pPr>
            <w:r>
              <w:rPr/>
              <w:t>​</w:t>
            </w:r>
          </w:p>
        </w:tc>
      </w:tr>
      <w:tr>
        <w:trPr/>
        <w:tc>
          <w:tcPr>
            <w:tcW w:w="50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240" w:after="12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120"/>
        <w:ind w:left="360" w:right="0" w:hanging="0"/>
        <w:jc w:val="left"/>
        <w:rPr/>
      </w:pPr>
      <w:r>
        <w:rPr/>
        <w:t>☐    </w:t>
      </w:r>
      <w:r>
        <w:rPr>
          <w:rFonts w:ascii="Times New Roman;Times;serif" w:hAnsi="Times New Roman;Times;serif"/>
          <w:sz w:val="20"/>
        </w:rPr>
        <w:t>Written communications pursuant to Rule 425 under the Securities Act (17 CFR 230.425)</w:t>
      </w:r>
    </w:p>
    <w:p>
      <w:pPr>
        <w:pStyle w:val="TextBody"/>
        <w:bidi w:val="0"/>
        <w:spacing w:before="0" w:after="120"/>
        <w:ind w:left="360" w:right="0" w:hanging="0"/>
        <w:jc w:val="left"/>
        <w:rPr/>
      </w:pPr>
      <w:r>
        <w:rPr/>
        <w:t>☐    </w:t>
      </w:r>
      <w:r>
        <w:rPr>
          <w:rFonts w:ascii="Times New Roman;Times;serif" w:hAnsi="Times New Roman;Times;serif"/>
          <w:sz w:val="20"/>
        </w:rPr>
        <w:t>Soliciting material pursuant to Rule 14a-12 under the Exchange Act (17 CFR 240.14a-12)</w:t>
      </w:r>
    </w:p>
    <w:p>
      <w:pPr>
        <w:pStyle w:val="TextBody"/>
        <w:pBdr/>
        <w:bidi w:val="0"/>
        <w:spacing w:before="0" w:after="120"/>
        <w:ind w:left="360" w:right="0" w:hanging="360"/>
        <w:jc w:val="left"/>
        <w:rPr/>
      </w:pPr>
      <w:r>
        <w:rPr/>
        <w:t>☐    </w:t>
      </w:r>
      <w:r>
        <w:rPr>
          <w:rFonts w:ascii="Times New Roman;Times;serif" w:hAnsi="Times New Roman;Times;serif"/>
          <w:sz w:val="20"/>
        </w:rPr>
        <w:t>Pre-commencement communications pursuant to Rule 14d-2(b) under the Exchange Act (17 CFR 240.14d-2(b))</w:t>
      </w:r>
    </w:p>
    <w:p>
      <w:pPr>
        <w:pStyle w:val="TextBody"/>
        <w:pBdr/>
        <w:bidi w:val="0"/>
        <w:spacing w:before="0" w:after="120"/>
        <w:ind w:left="360" w:right="0" w:hanging="360"/>
        <w:jc w:val="left"/>
        <w:rPr/>
      </w:pPr>
      <w:r>
        <w:rPr/>
        <w:t>☐    </w:t>
      </w:r>
      <w:r>
        <w:rPr>
          <w:rFonts w:ascii="Times New Roman;Times;serif" w:hAnsi="Times New Roman;Times;serif"/>
          <w:sz w:val="20"/>
        </w:rPr>
        <w:t>Pre-commencement communications pursuant to Rule 13e-4(c) under the Exchange Act (17 CFR 240.13e-4(c))</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21" w:name="Tc_ORieRMXC6E-Kus20qqwcFA_1_2"/>
      <w:bookmarkStart w:id="22" w:name="Tc_moNYwTZzLESumRsVJ9Xthw_1_1"/>
      <w:bookmarkStart w:id="23" w:name="Tc_OC3K2_8C-EmdR5pEF8EOwg_1_0"/>
      <w:bookmarkStart w:id="24" w:name="_ada707ad_9534_40eb_b760_0fb971476b08"/>
      <w:bookmarkStart w:id="25" w:name="Tc_ORieRMXC6E-Kus20qqwcFA_1_2"/>
      <w:bookmarkStart w:id="26" w:name="Tc_moNYwTZzLESumRsVJ9Xthw_1_1"/>
      <w:bookmarkStart w:id="27" w:name="Tc_OC3K2_8C-EmdR5pEF8EOwg_1_0"/>
      <w:bookmarkStart w:id="28" w:name="_ada707ad_9534_40eb_b760_0fb971476b08"/>
      <w:bookmarkEnd w:id="25"/>
      <w:bookmarkEnd w:id="26"/>
      <w:bookmarkEnd w:id="27"/>
      <w:bookmarkEnd w:id="28"/>
    </w:p>
    <w:tbl>
      <w:tblPr>
        <w:tblW w:w="6438" w:type="dxa"/>
        <w:jc w:val="left"/>
        <w:tblInd w:w="0" w:type="dxa"/>
        <w:tblLayout w:type="fixed"/>
        <w:tblCellMar>
          <w:top w:w="0" w:type="dxa"/>
          <w:left w:w="0" w:type="dxa"/>
          <w:bottom w:w="0" w:type="dxa"/>
          <w:right w:w="0" w:type="dxa"/>
        </w:tblCellMar>
      </w:tblPr>
      <w:tblGrid>
        <w:gridCol w:w="2356"/>
        <w:gridCol w:w="1456"/>
        <w:gridCol w:w="2626"/>
      </w:tblGrid>
      <w:tr>
        <w:trPr/>
        <w:tc>
          <w:tcPr>
            <w:tcW w:w="235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pPr>
            <w:r>
              <w:rPr/>
              <w:t>​</w:t>
            </w:r>
          </w:p>
        </w:tc>
      </w:tr>
      <w:tr>
        <w:trPr/>
        <w:tc>
          <w:tcPr>
            <w:tcW w:w="23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4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26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w:t>
            </w:r>
          </w:p>
          <w:p>
            <w:pPr>
              <w:pStyle w:val="TableContents"/>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on which registered</w:t>
            </w:r>
          </w:p>
        </w:tc>
      </w:tr>
      <w:tr>
        <w:trPr/>
        <w:tc>
          <w:tcPr>
            <w:tcW w:w="23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Common Stock, $0.01 par </w:t>
              <w:br/>
              <w:t>value</w:t>
            </w:r>
          </w:p>
        </w:tc>
        <w:tc>
          <w:tcPr>
            <w:tcW w:w="14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CNXN</w:t>
            </w:r>
          </w:p>
        </w:tc>
        <w:tc>
          <w:tcPr>
            <w:tcW w:w="26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Nasdaq Global Select Market</w:t>
            </w:r>
          </w:p>
        </w:tc>
      </w:tr>
    </w:tbl>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40"/>
        <w:ind w:left="0" w:right="0" w:hanging="0"/>
        <w:jc w:val="righ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9" w:name="_e0f575e9_2aa7_4eb1_a7f2_e9537acee8ed"/>
      <w:bookmarkEnd w:id="29"/>
      <w:r>
        <w:rPr>
          <w:rFonts w:ascii="Times New Roman;Times;serif" w:hAnsi="Times New Roman;Times;serif"/>
          <w:b/>
          <w:sz w:val="20"/>
        </w:rPr>
        <w:t>Item 2.02. Results of Operations and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July 29, 2026, PC Connection, Inc. (“Connection”) announced its financial results for the quarter ended June 30, 2026. The full text of the press release issued in connection with the announcement is furnished as Exhibit 99.1 to this Current Report on Form 8-K.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information in Item 2.02 of this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(the “Securities Act”), except as expressly set forth by specific reference in such a filing.</w:t>
      </w:r>
    </w:p>
    <w:p>
      <w:pPr>
        <w:pStyle w:val="TextBody"/>
        <w:bidi w:val="0"/>
        <w:spacing w:before="0" w:after="240"/>
        <w:ind w:left="0" w:right="0" w:hanging="0"/>
        <w:jc w:val="left"/>
        <w:rPr>
          <w:rFonts w:ascii="Times New Roman;Times;serif" w:hAnsi="Times New Roman;Times;serif"/>
          <w:b/>
          <w:sz w:val="20"/>
        </w:rPr>
      </w:pPr>
      <w:bookmarkStart w:id="30" w:name="_57480e9b_cd7d_4c00_91ad_5b9753849326"/>
      <w:bookmarkEnd w:id="30"/>
      <w:r>
        <w:rPr>
          <w:rFonts w:ascii="Times New Roman;Times;serif" w:hAnsi="Times New Roman;Times;serif"/>
          <w:b/>
          <w:sz w:val="20"/>
        </w:rPr>
        <w:t>Item 7.01. Regulation FD Disclosure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29, 2026, Connection also announced in the press release attached as Exhibit 99.1 hereto that its Board of Directors had declared a quarterly cash dividend.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information in Item 7.01 of this Form 8-K (including Exhibit 99.1)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a filing.</w:t>
      </w:r>
    </w:p>
    <w:p>
      <w:pPr>
        <w:pStyle w:val="TextBody"/>
        <w:bidi w:val="0"/>
        <w:spacing w:before="0" w:after="240"/>
        <w:ind w:left="0" w:right="0" w:hanging="0"/>
        <w:jc w:val="left"/>
        <w:rPr>
          <w:rFonts w:ascii="Times New Roman;Times;serif" w:hAnsi="Times New Roman;Times;serif"/>
          <w:b/>
          <w:sz w:val="20"/>
        </w:rPr>
      </w:pPr>
      <w:bookmarkStart w:id="31" w:name="_423bbfb3_0256_40b7_a746_f3a5c18da932"/>
      <w:bookmarkEnd w:id="31"/>
      <w:r>
        <w:rPr>
          <w:rFonts w:ascii="Times New Roman;Times;serif" w:hAnsi="Times New Roman;Times;serif"/>
          <w:b/>
          <w:sz w:val="20"/>
        </w:rPr>
        <w:t>Item 9.01. Financial Statements and Exhibits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Exhibits</w:t>
      </w:r>
    </w:p>
    <w:tbl>
      <w:tblPr>
        <w:tblW w:w="8058" w:type="dxa"/>
        <w:jc w:val="left"/>
        <w:tblInd w:w="0" w:type="dxa"/>
        <w:tblLayout w:type="fixed"/>
        <w:tblCellMar>
          <w:top w:w="0" w:type="dxa"/>
          <w:left w:w="0" w:type="dxa"/>
          <w:bottom w:w="0" w:type="dxa"/>
          <w:right w:w="0" w:type="dxa"/>
        </w:tblCellMar>
      </w:tblPr>
      <w:tblGrid>
        <w:gridCol w:w="1066"/>
        <w:gridCol w:w="346"/>
        <w:gridCol w:w="6646"/>
      </w:tblGrid>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46" w:type="dxa"/>
            <w:tcBorders/>
            <w:vAlign w:val="center"/>
          </w:tcPr>
          <w:p>
            <w:pPr>
              <w:pStyle w:val="TableContents"/>
              <w:bidi w:val="0"/>
              <w:spacing w:before="0" w:after="0"/>
              <w:ind w:left="0" w:right="0" w:hanging="0"/>
              <w:jc w:val="left"/>
              <w:rPr/>
            </w:pPr>
            <w:r>
              <w:rPr/>
              <w:t>​</w:t>
            </w:r>
          </w:p>
        </w:tc>
      </w:tr>
      <w:tr>
        <w:trPr/>
        <w:tc>
          <w:tcPr>
            <w:tcW w:w="10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No.</w:t>
            </w:r>
          </w:p>
        </w:tc>
        <w:tc>
          <w:tcPr>
            <w:tcW w:w="346" w:type="dxa"/>
            <w:tcBorders/>
            <w:vAlign w:val="center"/>
          </w:tcPr>
          <w:p>
            <w:pPr>
              <w:pStyle w:val="TableContents"/>
              <w:bidi w:val="0"/>
              <w:spacing w:before="0" w:after="0"/>
              <w:ind w:left="0" w:right="0" w:hanging="0"/>
              <w:jc w:val="left"/>
              <w:rPr/>
            </w:pPr>
            <w:r>
              <w:rPr/>
              <w:t>​</w:t>
            </w:r>
          </w:p>
        </w:tc>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Description</w:t>
            </w:r>
          </w:p>
        </w:tc>
      </w:tr>
      <w:tr>
        <w:trPr/>
        <w:tc>
          <w:tcPr>
            <w:tcW w:w="106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0"/>
              <w:ind w:left="0" w:right="0" w:hanging="0"/>
              <w:jc w:val="left"/>
              <w:rPr/>
            </w:pPr>
            <w:r>
              <w:rPr/>
              <w:t>  ​ ​ ​</w:t>
            </w:r>
          </w:p>
        </w:tc>
        <w:tc>
          <w:tcPr>
            <w:tcW w:w="6646" w:type="dxa"/>
            <w:tcBorders/>
            <w:vAlign w:val="center"/>
          </w:tcPr>
          <w:p>
            <w:pPr>
              <w:pStyle w:val="TableContents"/>
              <w:bidi w:val="0"/>
              <w:spacing w:before="0" w:after="0"/>
              <w:ind w:left="0" w:right="0" w:hanging="0"/>
              <w:jc w:val="left"/>
              <w:rPr/>
            </w:pPr>
            <w:hyperlink w:anchor="cnxn-20260729xex99d1.htm">
              <w:r>
                <w:rPr>
                  <w:rStyle w:val="InternetLink"/>
                  <w:rFonts w:ascii="Times New Roman;Times;serif" w:hAnsi="Times New Roman;Times;serif"/>
                  <w:b w:val="false"/>
                  <w:i w:val="false"/>
                  <w:caps w:val="false"/>
                  <w:smallCaps w:val="false"/>
                  <w:sz w:val="20"/>
                </w:rPr>
                <w:t>Press Release issued by PC Connection, Inc. on July 29, 2026.</w:t>
              </w:r>
            </w:hyperlink>
          </w:p>
        </w:tc>
      </w:tr>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46" w:type="dxa"/>
            <w:tcBorders/>
            <w:vAlign w:val="center"/>
          </w:tcPr>
          <w:p>
            <w:pPr>
              <w:pStyle w:val="TableContents"/>
              <w:bidi w:val="0"/>
              <w:spacing w:before="0" w:after="0"/>
              <w:ind w:left="0" w:right="0" w:hanging="0"/>
              <w:jc w:val="left"/>
              <w:rPr/>
            </w:pPr>
            <w:r>
              <w:rPr/>
              <w:t>​</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6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val="false"/>
          <w:sz w:val="20"/>
        </w:rPr>
      </w:pPr>
      <w:bookmarkStart w:id="32" w:name="_d3420df0_4e8b_4f05_94da_b6391da839dd"/>
      <w:bookmarkEnd w:id="32"/>
      <w:r>
        <w:rPr>
          <w:rFonts w:ascii="Times New Roman;Times;serif" w:hAnsi="Times New Roman;Times;serif"/>
          <w:b w:val="false"/>
          <w:sz w:val="20"/>
        </w:rPr>
        <w:t>SIGNATURE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240"/>
        <w:ind w:left="0" w:right="0" w:hanging="0"/>
        <w:jc w:val="center"/>
        <w:rPr/>
      </w:pPr>
      <w:r>
        <w:rPr/>
        <w:t>​</w:t>
      </w:r>
    </w:p>
    <w:tbl>
      <w:tblPr>
        <w:tblW w:w="6993" w:type="dxa"/>
        <w:jc w:val="left"/>
        <w:tblInd w:w="0" w:type="dxa"/>
        <w:tblLayout w:type="fixed"/>
        <w:tblCellMar>
          <w:top w:w="0" w:type="dxa"/>
          <w:left w:w="0" w:type="dxa"/>
          <w:bottom w:w="0" w:type="dxa"/>
          <w:right w:w="0" w:type="dxa"/>
        </w:tblCellMar>
      </w:tblPr>
      <w:tblGrid>
        <w:gridCol w:w="1711"/>
        <w:gridCol w:w="451"/>
        <w:gridCol w:w="4831"/>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4831" w:type="dxa"/>
            <w:tcBorders/>
            <w:vAlign w:val="center"/>
          </w:tcPr>
          <w:p>
            <w:pPr>
              <w:pStyle w:val="TableContents"/>
              <w:bidi w:val="0"/>
              <w:spacing w:before="0" w:after="283"/>
              <w:ind w:left="0" w:right="0" w:hanging="0"/>
              <w:jc w:val="left"/>
              <w:rPr>
                <w:sz w:val="4"/>
                <w:szCs w:val="4"/>
              </w:rPr>
            </w:pPr>
            <w:r>
              <w:rPr>
                <w:sz w:val="4"/>
                <w:szCs w:val="4"/>
              </w:rPr>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29, 2026</w:t>
            </w:r>
          </w:p>
        </w:tc>
        <w:tc>
          <w:tcPr>
            <w:tcW w:w="528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PC CONNECTION, INC.</w:t>
            </w:r>
          </w:p>
        </w:tc>
      </w:tr>
      <w:tr>
        <w:trPr/>
        <w:tc>
          <w:tcPr>
            <w:tcW w:w="1711" w:type="dxa"/>
            <w:tcBorders/>
            <w:vAlign w:val="center"/>
          </w:tcPr>
          <w:p>
            <w:pPr>
              <w:pStyle w:val="TableContents"/>
              <w:bidi w:val="0"/>
              <w:spacing w:before="0" w:after="0"/>
              <w:ind w:left="0" w:right="0" w:hanging="0"/>
              <w:jc w:val="left"/>
              <w:rPr/>
            </w:pPr>
            <w:r>
              <w:rPr/>
              <w:t>​</w:t>
            </w:r>
          </w:p>
        </w:tc>
        <w:tc>
          <w:tcPr>
            <w:tcW w:w="5282" w:type="dxa"/>
            <w:gridSpan w:val="2"/>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283"/>
              <w:ind w:left="0" w:right="0" w:hanging="0"/>
              <w:jc w:val="left"/>
              <w:rPr>
                <w:sz w:val="4"/>
                <w:szCs w:val="4"/>
              </w:rPr>
            </w:pPr>
            <w:r>
              <w:rPr>
                <w:sz w:val="4"/>
                <w:szCs w:val="4"/>
              </w:rPr>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w:t>
            </w:r>
          </w:p>
        </w:tc>
        <w:tc>
          <w:tcPr>
            <w:tcW w:w="48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C. Baker</w:t>
            </w:r>
          </w:p>
        </w:tc>
      </w:tr>
      <w:tr>
        <w:trPr/>
        <w:tc>
          <w:tcPr>
            <w:tcW w:w="1711" w:type="dxa"/>
            <w:tcBorders/>
            <w:vAlign w:val="center"/>
          </w:tcPr>
          <w:p>
            <w:pPr>
              <w:pStyle w:val="TableContents"/>
              <w:bidi w:val="0"/>
              <w:spacing w:before="0" w:after="283"/>
              <w:ind w:left="0" w:right="0" w:hanging="0"/>
              <w:jc w:val="left"/>
              <w:rPr>
                <w:sz w:val="4"/>
                <w:szCs w:val="4"/>
              </w:rPr>
            </w:pPr>
            <w:r>
              <w:rPr>
                <w:sz w:val="4"/>
                <w:szCs w:val="4"/>
              </w:rPr>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48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C. Baker</w:t>
            </w:r>
          </w:p>
        </w:tc>
      </w:tr>
      <w:tr>
        <w:trPr/>
        <w:tc>
          <w:tcPr>
            <w:tcW w:w="1711" w:type="dxa"/>
            <w:tcBorders/>
            <w:vAlign w:val="center"/>
          </w:tcPr>
          <w:p>
            <w:pPr>
              <w:pStyle w:val="TableContents"/>
              <w:bidi w:val="0"/>
              <w:spacing w:before="0" w:after="283"/>
              <w:ind w:left="0" w:right="0" w:hanging="0"/>
              <w:jc w:val="left"/>
              <w:rPr>
                <w:sz w:val="4"/>
                <w:szCs w:val="4"/>
              </w:rPr>
            </w:pPr>
            <w:r>
              <w:rPr>
                <w:sz w:val="4"/>
                <w:szCs w:val="4"/>
              </w:rPr>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4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Chief Financial Officer &amp; Treasurer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b/>
          <w:sz w:val="20"/>
        </w:rPr>
      </w:pPr>
      <w:bookmarkStart w:id="33" w:name="cnxn-20260729xex99d1.htm"/>
      <w:bookmarkStart w:id="34" w:name="kscnxn20260729xex99d1"/>
      <w:bookmarkEnd w:id="33"/>
      <w:bookmarkEnd w:id="34"/>
      <w:r>
        <w:rPr>
          <w:rFonts w:ascii="Times New Roman;Times;serif" w:hAnsi="Times New Roman;Times;serif"/>
          <w:b/>
          <w:sz w:val="20"/>
        </w:rPr>
        <w:t>Exhibit 99.1</w:t>
      </w:r>
      <w:r>
        <w:br w:type="page"/>
      </w:r>
    </w:p>
    <w:p>
      <w:pPr>
        <w:pStyle w:val="TextBody"/>
        <w:bidi w:val="0"/>
        <w:spacing w:before="0" w:after="0"/>
        <w:ind w:left="0" w:right="0" w:hanging="0"/>
        <w:jc w:val="right"/>
        <w:rPr/>
      </w:pPr>
      <w:r>
        <w:rPr/>
        <w:t>​</w:t>
      </w:r>
    </w:p>
    <w:tbl>
      <w:tblPr>
        <w:tblW w:w="7036" w:type="dxa"/>
        <w:jc w:val="left"/>
        <w:tblInd w:w="0" w:type="dxa"/>
        <w:tblLayout w:type="fixed"/>
        <w:tblCellMar>
          <w:top w:w="0" w:type="dxa"/>
          <w:left w:w="0" w:type="dxa"/>
          <w:bottom w:w="0" w:type="dxa"/>
          <w:right w:w="0" w:type="dxa"/>
        </w:tblCellMar>
      </w:tblPr>
      <w:tblGrid>
        <w:gridCol w:w="3240"/>
        <w:gridCol w:w="3796"/>
      </w:tblGrid>
      <w:tr>
        <w:trPr/>
        <w:tc>
          <w:tcPr>
            <w:tcW w:w="3240" w:type="dxa"/>
            <w:tcBorders/>
            <w:vAlign w:val="center"/>
          </w:tcPr>
          <w:p>
            <w:pPr>
              <w:pStyle w:val="TableContents"/>
              <w:bidi w:val="0"/>
              <w:spacing w:before="0" w:after="0"/>
              <w:ind w:left="0" w:right="0" w:hanging="0"/>
              <w:jc w:val="left"/>
              <w:rPr/>
            </w:pPr>
            <w:r>
              <w:rPr/>
              <w:t>​</w:t>
            </w:r>
          </w:p>
        </w:tc>
        <w:tc>
          <w:tcPr>
            <w:tcW w:w="3796" w:type="dxa"/>
            <w:tcBorders/>
            <w:vAlign w:val="center"/>
          </w:tcPr>
          <w:p>
            <w:pPr>
              <w:pStyle w:val="TableContents"/>
              <w:bidi w:val="0"/>
              <w:spacing w:before="0" w:after="0"/>
              <w:ind w:left="0" w:right="0" w:hanging="0"/>
              <w:jc w:val="right"/>
              <w:rPr/>
            </w:pPr>
            <w:r>
              <w:rPr/>
              <w:t>​</w:t>
            </w:r>
          </w:p>
          <w:p>
            <w:pPr>
              <w:pStyle w:val="TableContents"/>
              <w:bidi w:val="0"/>
              <w:spacing w:before="0" w:after="0"/>
              <w:ind w:left="0" w:right="0" w:hanging="0"/>
              <w:jc w:val="right"/>
              <w:rPr/>
            </w:pPr>
            <w:r>
              <w:rPr/>
              <w:t>​</w:t>
            </w:r>
          </w:p>
          <w:p>
            <w:pPr>
              <w:pStyle w:val="TableContents"/>
              <w:bidi w:val="0"/>
              <w:spacing w:before="0" w:after="0"/>
              <w:ind w:left="0" w:right="0" w:hanging="0"/>
              <w:jc w:val="right"/>
              <w:rPr/>
            </w:pPr>
            <w:r>
              <w:rPr/>
              <w:t>​</w:t>
            </w:r>
          </w:p>
          <w:p>
            <w:pPr>
              <w:pStyle w:val="TableContents"/>
              <w:bidi w:val="0"/>
              <w:spacing w:before="0" w:after="0"/>
              <w:ind w:left="0" w:right="0" w:hanging="0"/>
              <w:jc w:val="right"/>
              <w:rPr/>
            </w:pPr>
            <w:r>
              <w:rPr/>
              <w:t>​</w:t>
            </w:r>
          </w:p>
          <w:p>
            <w:pPr>
              <w:pStyle w:val="TableContents"/>
              <w:bidi w:val="0"/>
              <w:spacing w:before="0" w:after="0"/>
              <w:ind w:left="0" w:right="0" w:hanging="0"/>
              <w:jc w:val="left"/>
              <w:rPr/>
            </w:pPr>
            <w:r>
              <w:rPr/>
              <w:t>​</w:t>
            </w:r>
          </w:p>
        </w:tc>
      </w:tr>
      <w:tr>
        <w:trPr/>
        <w:tc>
          <w:tcPr>
            <w:tcW w:w="3240" w:type="dxa"/>
            <w:tcBorders/>
            <w:vAlign w:val="center"/>
          </w:tcPr>
          <w:p>
            <w:pPr>
              <w:pStyle w:val="TableContents"/>
              <w:bidi w:val="0"/>
              <w:spacing w:before="0" w:after="0"/>
              <w:ind w:left="0" w:right="0" w:hanging="0"/>
              <w:jc w:val="left"/>
              <w:rPr/>
            </w:pPr>
            <w:r>
              <w:rPr/>
              <w:drawing>
                <wp:inline distT="0" distB="0" distL="0" distR="0">
                  <wp:extent cx="1993265" cy="80454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993265" cy="804545"/>
                          </a:xfrm>
                          <a:prstGeom prst="rect">
                            <a:avLst/>
                          </a:prstGeom>
                        </pic:spPr>
                      </pic:pic>
                    </a:graphicData>
                  </a:graphic>
                </wp:inline>
              </w:drawing>
            </w:r>
          </w:p>
        </w:tc>
        <w:tc>
          <w:tcPr>
            <w:tcW w:w="3796" w:type="dxa"/>
            <w:tcBorders/>
            <w:vAlign w:val="center"/>
          </w:tcPr>
          <w:p>
            <w:pPr>
              <w:pStyle w:val="TableContents"/>
              <w:bidi w:val="0"/>
              <w:spacing w:before="0" w:after="0"/>
              <w:ind w:left="0" w:right="0" w:hanging="0"/>
              <w:jc w:val="right"/>
              <w:rPr>
                <w:rFonts w:ascii="Tahoma" w:hAnsi="Tahoma"/>
                <w:b/>
                <w:sz w:val="20"/>
              </w:rPr>
            </w:pPr>
            <w:r>
              <w:rPr>
                <w:rFonts w:ascii="Tahoma" w:hAnsi="Tahoma"/>
                <w:b/>
                <w:sz w:val="20"/>
              </w:rPr>
              <w:t>Investor Relations Contact:</w:t>
            </w:r>
          </w:p>
          <w:p>
            <w:pPr>
              <w:pStyle w:val="TableContents"/>
              <w:bidi w:val="0"/>
              <w:spacing w:before="0" w:after="0"/>
              <w:ind w:left="0" w:right="0" w:hanging="0"/>
              <w:jc w:val="right"/>
              <w:rPr>
                <w:rFonts w:ascii="Tahoma" w:hAnsi="Tahoma"/>
                <w:sz w:val="20"/>
              </w:rPr>
            </w:pPr>
            <w:r>
              <w:rPr>
                <w:rFonts w:ascii="Tahoma" w:hAnsi="Tahoma"/>
                <w:sz w:val="20"/>
              </w:rPr>
              <w:t>Thomas Baker, 603.683.2505</w:t>
            </w:r>
          </w:p>
          <w:p>
            <w:pPr>
              <w:pStyle w:val="TableContents"/>
              <w:bidi w:val="0"/>
              <w:spacing w:before="0" w:after="0"/>
              <w:ind w:left="0" w:right="0" w:hanging="0"/>
              <w:jc w:val="right"/>
              <w:rPr>
                <w:rFonts w:ascii="Tahoma" w:hAnsi="Tahoma"/>
                <w:sz w:val="20"/>
              </w:rPr>
            </w:pPr>
            <w:r>
              <w:rPr>
                <w:rFonts w:ascii="Tahoma" w:hAnsi="Tahoma"/>
                <w:sz w:val="20"/>
              </w:rPr>
              <w:t>Senior Vice President, CFO, and Treasurer</w:t>
            </w:r>
          </w:p>
          <w:p>
            <w:pPr>
              <w:pStyle w:val="TableContents"/>
              <w:bidi w:val="0"/>
              <w:spacing w:before="0" w:after="0"/>
              <w:ind w:left="0" w:right="0" w:hanging="0"/>
              <w:jc w:val="right"/>
              <w:rPr>
                <w:rFonts w:ascii="Tahoma" w:hAnsi="Tahoma"/>
                <w:sz w:val="20"/>
              </w:rPr>
            </w:pPr>
            <w:r>
              <w:rPr>
                <w:rFonts w:ascii="Tahoma" w:hAnsi="Tahoma"/>
                <w:sz w:val="20"/>
              </w:rPr>
              <w:t>tom@connection.com</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center"/>
        <w:rPr>
          <w:rFonts w:ascii="Arial;Helvetica;sans-serif" w:hAnsi="Arial;Helvetica;sans-serif"/>
          <w:b/>
          <w:sz w:val="28"/>
        </w:rPr>
      </w:pPr>
      <w:r>
        <w:rPr>
          <w:rFonts w:ascii="Arial;Helvetica;sans-serif" w:hAnsi="Arial;Helvetica;sans-serif"/>
          <w:b/>
          <w:sz w:val="28"/>
        </w:rPr>
        <w:t>CONNECTION (CNXN)</w:t>
      </w:r>
    </w:p>
    <w:p>
      <w:pPr>
        <w:pStyle w:val="TextBody"/>
        <w:bidi w:val="0"/>
        <w:spacing w:before="0" w:after="0"/>
        <w:ind w:left="0" w:right="0" w:hanging="0"/>
        <w:jc w:val="center"/>
        <w:rPr>
          <w:rFonts w:ascii="Arial;Helvetica;sans-serif" w:hAnsi="Arial;Helvetica;sans-serif"/>
          <w:b/>
          <w:sz w:val="28"/>
        </w:rPr>
      </w:pPr>
      <w:r>
        <w:rPr>
          <w:rFonts w:ascii="Arial;Helvetica;sans-serif" w:hAnsi="Arial;Helvetica;sans-serif"/>
          <w:b/>
          <w:sz w:val="28"/>
        </w:rPr>
        <w:t>REPORTS SECOND QUARTER 2026 RESULTS</w:t>
      </w:r>
    </w:p>
    <w:tbl>
      <w:tblPr>
        <w:tblW w:w="278" w:type="dxa"/>
        <w:jc w:val="center"/>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pBdr/>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90" w:right="0" w:hanging="0"/>
              <w:jc w:val="left"/>
              <w:rPr/>
            </w:pPr>
            <w:r>
              <w:rPr/>
              <w:t>​</w:t>
            </w:r>
          </w:p>
        </w:tc>
      </w:tr>
    </w:tbl>
    <w:p>
      <w:pPr>
        <w:pStyle w:val="TextBody"/>
        <w:bidi w:val="0"/>
        <w:spacing w:before="0" w:after="0"/>
        <w:ind w:left="0" w:right="0" w:hanging="0"/>
        <w:jc w:val="left"/>
        <w:rPr/>
      </w:pPr>
      <w:r>
        <w:rPr/>
        <w:t>​</w:t>
      </w:r>
    </w:p>
    <w:tbl>
      <w:tblPr>
        <w:tblW w:w="10142" w:type="dxa"/>
        <w:jc w:val="center"/>
        <w:tblInd w:w="0" w:type="dxa"/>
        <w:tblLayout w:type="fixed"/>
        <w:tblCellMar>
          <w:top w:w="0" w:type="dxa"/>
          <w:left w:w="0" w:type="dxa"/>
          <w:bottom w:w="0" w:type="dxa"/>
          <w:right w:w="0" w:type="dxa"/>
        </w:tblCellMar>
      </w:tblPr>
      <w:tblGrid>
        <w:gridCol w:w="5056"/>
        <w:gridCol w:w="5086"/>
      </w:tblGrid>
      <w:tr>
        <w:trPr/>
        <w:tc>
          <w:tcPr>
            <w:tcW w:w="5056" w:type="dxa"/>
            <w:tcBorders/>
            <w:vAlign w:val="center"/>
          </w:tcPr>
          <w:p>
            <w:pPr>
              <w:pStyle w:val="TableContents"/>
              <w:bidi w:val="0"/>
              <w:spacing w:before="0" w:after="283"/>
              <w:ind w:left="0" w:right="0" w:hanging="0"/>
              <w:jc w:val="left"/>
              <w:rPr>
                <w:sz w:val="4"/>
                <w:szCs w:val="4"/>
              </w:rPr>
            </w:pPr>
            <w:r>
              <w:rPr>
                <w:sz w:val="4"/>
                <w:szCs w:val="4"/>
              </w:rPr>
            </w:r>
          </w:p>
        </w:tc>
        <w:tc>
          <w:tcPr>
            <w:tcW w:w="5086" w:type="dxa"/>
            <w:tcBorders/>
            <w:vAlign w:val="center"/>
          </w:tcPr>
          <w:p>
            <w:pPr>
              <w:pStyle w:val="TableContents"/>
              <w:bidi w:val="0"/>
              <w:spacing w:before="0" w:after="283"/>
              <w:ind w:left="0" w:right="0" w:hanging="0"/>
              <w:jc w:val="left"/>
              <w:rPr>
                <w:sz w:val="4"/>
                <w:szCs w:val="4"/>
              </w:rPr>
            </w:pPr>
            <w:r>
              <w:rPr>
                <w:sz w:val="4"/>
                <w:szCs w:val="4"/>
              </w:rPr>
            </w:r>
          </w:p>
        </w:tc>
      </w:tr>
      <w:tr>
        <w:trPr/>
        <w:tc>
          <w:tcPr>
            <w:tcW w:w="5056" w:type="dxa"/>
            <w:tcBorders/>
            <w:vAlign w:val="center"/>
          </w:tcPr>
          <w:p>
            <w:pPr>
              <w:pStyle w:val="TableContents"/>
              <w:pBdr/>
              <w:bidi w:val="0"/>
              <w:spacing w:before="0" w:after="0"/>
              <w:ind w:left="0" w:right="0" w:hanging="0"/>
              <w:jc w:val="left"/>
              <w:rPr>
                <w:rFonts w:ascii="Arial;Helvetica;sans-serif" w:hAnsi="Arial;Helvetica;sans-serif"/>
                <w:b/>
                <w:sz w:val="22"/>
              </w:rPr>
            </w:pPr>
            <w:r>
              <w:rPr>
                <w:rFonts w:ascii="Arial;Helvetica;sans-serif" w:hAnsi="Arial;Helvetica;sans-serif"/>
                <w:b/>
                <w:sz w:val="22"/>
              </w:rPr>
              <w:t>SECOND QUARTER SUMMARY:</w:t>
            </w:r>
          </w:p>
        </w:tc>
        <w:tc>
          <w:tcPr>
            <w:tcW w:w="5086" w:type="dxa"/>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FIRST HALF OF 2026 SUMMARY:</w:t>
            </w:r>
          </w:p>
        </w:tc>
      </w:tr>
      <w:tr>
        <w:trPr/>
        <w:tc>
          <w:tcPr>
            <w:tcW w:w="5056" w:type="dxa"/>
            <w:tcBorders/>
            <w:vAlign w:val="center"/>
          </w:tcPr>
          <w:p>
            <w:pPr>
              <w:pStyle w:val="TableContents"/>
              <w:bidi w:val="0"/>
              <w:spacing w:before="0" w:after="0"/>
              <w:ind w:left="0" w:right="0" w:hanging="0"/>
              <w:jc w:val="left"/>
              <w:rPr/>
            </w:pPr>
            <w:r>
              <w:rPr/>
              <w:t>​</w:t>
            </w:r>
          </w:p>
        </w:tc>
        <w:tc>
          <w:tcPr>
            <w:tcW w:w="5086" w:type="dxa"/>
            <w:tcBorders/>
            <w:vAlign w:val="center"/>
          </w:tcPr>
          <w:p>
            <w:pPr>
              <w:pStyle w:val="TableContents"/>
              <w:bidi w:val="0"/>
              <w:spacing w:before="0" w:after="0"/>
              <w:ind w:left="0" w:right="0" w:hanging="0"/>
              <w:jc w:val="left"/>
              <w:rPr/>
            </w:pPr>
            <w:r>
              <w:rPr/>
              <w:t>​</w:t>
            </w:r>
          </w:p>
        </w:tc>
      </w:tr>
      <w:tr>
        <w:trPr/>
        <w:tc>
          <w:tcPr>
            <w:tcW w:w="5056" w:type="dxa"/>
            <w:tcBorders/>
            <w:vAlign w:val="center"/>
          </w:tcPr>
          <w:p>
            <w:pPr>
              <w:pStyle w:val="TableContents"/>
              <w:bidi w:val="0"/>
              <w:spacing w:before="0" w:after="0"/>
              <w:ind w:left="90" w:right="0" w:hanging="0"/>
              <w:jc w:val="left"/>
              <w:rPr/>
            </w:pPr>
            <w:r>
              <w:rPr/>
              <w:t>●</w:t>
            </w:r>
            <w:r>
              <w:rPr>
                <w:rFonts w:ascii="Arial;Helvetica;sans-serif" w:hAnsi="Arial;Helvetica;sans-serif"/>
                <w:sz w:val="22"/>
              </w:rPr>
              <w:t>Net sales: $854.0 million, up 12.4% y/y</w:t>
            </w:r>
          </w:p>
          <w:p>
            <w:pPr>
              <w:pStyle w:val="TableContents"/>
              <w:bidi w:val="0"/>
              <w:spacing w:before="0" w:after="0"/>
              <w:ind w:left="90" w:right="0" w:hanging="0"/>
              <w:jc w:val="left"/>
              <w:rPr/>
            </w:pPr>
            <w:r>
              <w:rPr/>
              <w:t>●</w:t>
            </w:r>
            <w:r>
              <w:rPr>
                <w:rFonts w:ascii="Arial;Helvetica;sans-serif" w:hAnsi="Arial;Helvetica;sans-serif"/>
                <w:sz w:val="22"/>
              </w:rPr>
              <w:t>Gross billings: $1.2 billion, up 14.0% y/y</w:t>
            </w:r>
            <w:hyperlink w:anchor="footnote-2">
              <w:r>
                <w:rPr>
                  <w:rStyle w:val="InternetLink"/>
                  <w:rFonts w:ascii="Arial;Helvetica;sans-serif" w:hAnsi="Arial;Helvetica;sans-serif"/>
                  <w:sz w:val="17"/>
                </w:rPr>
                <w:t>1</w:t>
              </w:r>
            </w:hyperlink>
          </w:p>
          <w:p>
            <w:pPr>
              <w:pStyle w:val="TableContents"/>
              <w:bidi w:val="0"/>
              <w:spacing w:before="0" w:after="0"/>
              <w:ind w:left="90" w:right="0" w:hanging="0"/>
              <w:jc w:val="left"/>
              <w:rPr/>
            </w:pPr>
            <w:r>
              <w:rPr/>
              <w:t>●</w:t>
            </w:r>
            <w:r>
              <w:rPr>
                <w:rFonts w:ascii="Arial;Helvetica;sans-serif" w:hAnsi="Arial;Helvetica;sans-serif"/>
                <w:sz w:val="22"/>
              </w:rPr>
              <w:t>Gross profit: $157.5 million, up 14.3% y/y</w:t>
            </w:r>
          </w:p>
          <w:p>
            <w:pPr>
              <w:pStyle w:val="TableContents"/>
              <w:bidi w:val="0"/>
              <w:spacing w:before="0" w:after="0"/>
              <w:ind w:left="90" w:right="0" w:hanging="0"/>
              <w:jc w:val="left"/>
              <w:rPr/>
            </w:pPr>
            <w:r>
              <w:rPr/>
              <w:t>●</w:t>
            </w:r>
            <w:r>
              <w:rPr>
                <w:rFonts w:ascii="Arial;Helvetica;sans-serif" w:hAnsi="Arial;Helvetica;sans-serif"/>
                <w:sz w:val="22"/>
              </w:rPr>
              <w:t>Gross margin: 18.4%, up 30 basis points y/y</w:t>
            </w:r>
          </w:p>
          <w:p>
            <w:pPr>
              <w:pStyle w:val="TableContents"/>
              <w:bidi w:val="0"/>
              <w:spacing w:before="0" w:after="0"/>
              <w:ind w:left="90" w:right="0" w:hanging="0"/>
              <w:jc w:val="left"/>
              <w:rPr/>
            </w:pPr>
            <w:r>
              <w:rPr/>
              <w:t>●</w:t>
            </w:r>
            <w:r>
              <w:rPr>
                <w:rFonts w:ascii="Arial;Helvetica;sans-serif" w:hAnsi="Arial;Helvetica;sans-serif"/>
                <w:sz w:val="22"/>
              </w:rPr>
              <w:t>Net income: $33.2 million, up 33.8% y/y</w:t>
            </w:r>
          </w:p>
          <w:p>
            <w:pPr>
              <w:pStyle w:val="TableContents"/>
              <w:bidi w:val="0"/>
              <w:spacing w:before="0" w:after="0"/>
              <w:ind w:left="90" w:right="0" w:hanging="0"/>
              <w:jc w:val="left"/>
              <w:rPr/>
            </w:pPr>
            <w:r>
              <w:rPr/>
              <w:t>●</w:t>
            </w:r>
            <w:r>
              <w:rPr>
                <w:rFonts w:ascii="Arial;Helvetica;sans-serif" w:hAnsi="Arial;Helvetica;sans-serif"/>
                <w:sz w:val="22"/>
              </w:rPr>
              <w:t>Diluted EPS: $1.31, compared to $0.97 y/y</w:t>
            </w:r>
          </w:p>
          <w:p>
            <w:pPr>
              <w:pStyle w:val="TableContents"/>
              <w:bidi w:val="0"/>
              <w:spacing w:before="0" w:after="0"/>
              <w:ind w:left="90" w:right="0" w:hanging="0"/>
              <w:jc w:val="left"/>
              <w:rPr/>
            </w:pPr>
            <w:r>
              <w:rPr/>
              <w:t>●</w:t>
            </w:r>
            <w:r>
              <w:rPr>
                <w:rFonts w:ascii="Arial;Helvetica;sans-serif" w:hAnsi="Arial;Helvetica;sans-serif"/>
                <w:sz w:val="22"/>
              </w:rPr>
              <w:t>Adjusted Diluted EPS: $1.31, compared to $0.97</w:t>
            </w:r>
            <w:hyperlink w:anchor="footnote-3">
              <w:r>
                <w:rPr>
                  <w:rStyle w:val="InternetLink"/>
                  <w:rFonts w:ascii="Arial;Helvetica;sans-serif" w:hAnsi="Arial;Helvetica;sans-serif"/>
                  <w:sz w:val="17"/>
                </w:rPr>
                <w:t>2</w:t>
              </w:r>
            </w:hyperlink>
          </w:p>
          <w:p>
            <w:pPr>
              <w:pStyle w:val="TableContents"/>
              <w:bidi w:val="0"/>
              <w:spacing w:before="0" w:after="0"/>
              <w:ind w:left="0" w:right="0" w:hanging="0"/>
              <w:jc w:val="left"/>
              <w:rPr/>
            </w:pPr>
            <w:r>
              <w:rPr/>
              <w:t>​</w:t>
            </w:r>
          </w:p>
        </w:tc>
        <w:tc>
          <w:tcPr>
            <w:tcW w:w="5086" w:type="dxa"/>
            <w:tcBorders/>
            <w:vAlign w:val="center"/>
          </w:tcPr>
          <w:p>
            <w:pPr>
              <w:pStyle w:val="TableContents"/>
              <w:bidi w:val="0"/>
              <w:spacing w:before="0" w:after="0"/>
              <w:ind w:left="90" w:right="0" w:hanging="0"/>
              <w:jc w:val="left"/>
              <w:rPr/>
            </w:pPr>
            <w:r>
              <w:rPr/>
              <w:t>●</w:t>
            </w:r>
            <w:r>
              <w:rPr>
                <w:rFonts w:ascii="Arial;Helvetica;sans-serif" w:hAnsi="Arial;Helvetica;sans-serif"/>
                <w:sz w:val="22"/>
              </w:rPr>
              <w:t>Net sales: $1.6 billion, up 7.9% y/y</w:t>
            </w:r>
          </w:p>
          <w:p>
            <w:pPr>
              <w:pStyle w:val="TableContents"/>
              <w:bidi w:val="0"/>
              <w:spacing w:before="0" w:after="0"/>
              <w:ind w:left="90" w:right="0" w:hanging="0"/>
              <w:jc w:val="left"/>
              <w:rPr/>
            </w:pPr>
            <w:r>
              <w:rPr/>
              <w:t>●</w:t>
            </w:r>
            <w:r>
              <w:rPr>
                <w:rFonts w:ascii="Arial;Helvetica;sans-serif" w:hAnsi="Arial;Helvetica;sans-serif"/>
                <w:sz w:val="22"/>
              </w:rPr>
              <w:t>Gross billings: $2.2 billion, up 9.3% y/y</w:t>
            </w:r>
            <w:r>
              <w:rPr>
                <w:rFonts w:ascii="Arial;Helvetica;sans-serif" w:hAnsi="Arial;Helvetica;sans-serif"/>
                <w:sz w:val="17"/>
              </w:rPr>
              <w:t>1</w:t>
            </w:r>
          </w:p>
          <w:p>
            <w:pPr>
              <w:pStyle w:val="TableContents"/>
              <w:bidi w:val="0"/>
              <w:spacing w:before="0" w:after="0"/>
              <w:ind w:left="90" w:right="0" w:hanging="0"/>
              <w:jc w:val="left"/>
              <w:rPr/>
            </w:pPr>
            <w:r>
              <w:rPr/>
              <w:t>●</w:t>
            </w:r>
            <w:r>
              <w:rPr>
                <w:rFonts w:ascii="Arial;Helvetica;sans-serif" w:hAnsi="Arial;Helvetica;sans-serif"/>
                <w:sz w:val="22"/>
              </w:rPr>
              <w:t>Gross profit: $290.2 million, up 9.5% y/y</w:t>
            </w:r>
          </w:p>
          <w:p>
            <w:pPr>
              <w:pStyle w:val="TableContents"/>
              <w:bidi w:val="0"/>
              <w:spacing w:before="0" w:after="0"/>
              <w:ind w:left="90" w:right="0" w:hanging="0"/>
              <w:jc w:val="left"/>
              <w:rPr/>
            </w:pPr>
            <w:r>
              <w:rPr/>
              <w:t>●</w:t>
            </w:r>
            <w:r>
              <w:rPr>
                <w:rFonts w:ascii="Arial;Helvetica;sans-serif" w:hAnsi="Arial;Helvetica;sans-serif"/>
                <w:sz w:val="22"/>
              </w:rPr>
              <w:t>Gross margin: 18.4%, up 30 basis points y/y</w:t>
            </w:r>
          </w:p>
          <w:p>
            <w:pPr>
              <w:pStyle w:val="TableContents"/>
              <w:bidi w:val="0"/>
              <w:spacing w:before="0" w:after="0"/>
              <w:ind w:left="90" w:right="0" w:hanging="0"/>
              <w:jc w:val="left"/>
              <w:rPr/>
            </w:pPr>
            <w:r>
              <w:rPr/>
              <w:t>●</w:t>
            </w:r>
            <w:r>
              <w:rPr>
                <w:rFonts w:ascii="Arial;Helvetica;sans-serif" w:hAnsi="Arial;Helvetica;sans-serif"/>
                <w:sz w:val="22"/>
              </w:rPr>
              <w:t>Net income: $50.4 million, up 31.7% y/y</w:t>
            </w:r>
          </w:p>
          <w:p>
            <w:pPr>
              <w:pStyle w:val="TableContents"/>
              <w:bidi w:val="0"/>
              <w:spacing w:before="0" w:after="0"/>
              <w:ind w:left="90" w:right="0" w:hanging="0"/>
              <w:jc w:val="left"/>
              <w:rPr/>
            </w:pPr>
            <w:r>
              <w:rPr/>
              <w:t>●</w:t>
            </w:r>
            <w:r>
              <w:rPr>
                <w:rFonts w:ascii="Arial;Helvetica;sans-serif" w:hAnsi="Arial;Helvetica;sans-serif"/>
                <w:sz w:val="22"/>
              </w:rPr>
              <w:t>Diluted EPS: $1.99, compared to $1.48 y/y</w:t>
            </w:r>
          </w:p>
          <w:p>
            <w:pPr>
              <w:pStyle w:val="TableContents"/>
              <w:bidi w:val="0"/>
              <w:spacing w:before="0" w:after="0"/>
              <w:ind w:left="90" w:right="0" w:hanging="0"/>
              <w:jc w:val="left"/>
              <w:rPr/>
            </w:pPr>
            <w:r>
              <w:rPr/>
              <w:t>●</w:t>
            </w:r>
            <w:r>
              <w:rPr>
                <w:rFonts w:ascii="Arial;Helvetica;sans-serif" w:hAnsi="Arial;Helvetica;sans-serif"/>
                <w:sz w:val="22"/>
              </w:rPr>
              <w:t>Adjusted Diluted EPS: $2.08, compared to $1.56</w:t>
            </w:r>
            <w:r>
              <w:rPr>
                <w:rFonts w:ascii="Arial;Helvetica;sans-serif" w:hAnsi="Arial;Helvetica;sans-serif"/>
                <w:sz w:val="17"/>
              </w:rPr>
              <w:t>2</w:t>
            </w:r>
          </w:p>
          <w:p>
            <w:pPr>
              <w:pStyle w:val="TableContents"/>
              <w:bidi w:val="0"/>
              <w:spacing w:before="0" w:after="0"/>
              <w:ind w:left="90" w:right="0" w:hanging="0"/>
              <w:jc w:val="left"/>
              <w:rPr/>
            </w:pPr>
            <w:r>
              <w:rPr/>
              <w:t>​</w:t>
            </w:r>
          </w:p>
        </w:tc>
      </w:tr>
    </w:tbl>
    <w:p>
      <w:pPr>
        <w:pStyle w:val="TextBody"/>
        <w:bidi w:val="0"/>
        <w:spacing w:before="0" w:after="0"/>
        <w:ind w:left="0" w:right="0" w:hanging="0"/>
        <w:jc w:val="left"/>
        <w:rPr/>
      </w:pPr>
      <w:r>
        <w:rPr/>
        <w:t>​</w:t>
      </w:r>
    </w:p>
    <w:tbl>
      <w:tblPr>
        <w:tblW w:w="278" w:type="dxa"/>
        <w:jc w:val="center"/>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90" w:right="0" w:hanging="0"/>
              <w:jc w:val="left"/>
              <w:rPr/>
            </w:pPr>
            <w:r>
              <w:rPr/>
              <w:t>​</w:t>
            </w:r>
          </w:p>
        </w:tc>
      </w:tr>
    </w:tbl>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b/>
          <w:sz w:val="22"/>
        </w:rPr>
        <w:t>Merrimack, NH—July 29, 2026—</w:t>
      </w:r>
      <w:r>
        <w:rPr>
          <w:rFonts w:ascii="Arial;Helvetica;sans-serif" w:hAnsi="Arial;Helvetica;sans-serif"/>
          <w:sz w:val="22"/>
        </w:rPr>
        <w:t>Connection</w:t>
      </w:r>
      <w:r>
        <w:rPr>
          <w:rFonts w:ascii="Times New Roman;Times;serif" w:hAnsi="Times New Roman;Times;serif"/>
          <w:sz w:val="20"/>
        </w:rPr>
        <w:t xml:space="preserve"> </w:t>
      </w:r>
      <w:r>
        <w:rPr>
          <w:rFonts w:ascii="Arial;Helvetica;sans-serif" w:hAnsi="Arial;Helvetica;sans-serif"/>
          <w:sz w:val="22"/>
        </w:rPr>
        <w:t xml:space="preserve">(PC Connection, Inc.; NASDAQ: CNXN), a leading information technology solutions provider to business, government, healthcare and education markets, today announced results for the second quarter ended June 30, 2026. The Company also announced that its Board of Directors declared a quarterly dividend of $0.20 per share of the Company’s common stock. Payment will be made on August 28, 2026, to shareholders of record on August 11, 2026. </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"Our record financial performance reflects more than strong execution—it reflects the value that our customers are placing on their enterprise technology," said Timothy McGrath, President and Chief Executive Officer. McGrath continued, "As organizations increasingly operationalize AI, they need trusted partners like Connection who can modernize infrastructure, strengthen security, integrate cloud and data platforms, and deliver measurable business outcomes."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b/>
          <w:i/>
          <w:sz w:val="22"/>
        </w:rPr>
        <w:t>Second Quarter of 2026 Results</w:t>
      </w:r>
      <w:r>
        <w:rPr>
          <w:rFonts w:ascii="Arial;Helvetica;sans-serif" w:hAnsi="Arial;Helvetica;sans-serif"/>
          <w:i/>
          <w:sz w:val="22"/>
        </w:rPr>
        <w:t>:</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sz w:val="22"/>
        </w:rPr>
        <w:t>Net sales for the quarter ended June 30, 2026 increased by 12.4%, year over year. Gross billings increased by 14.0% to $1.2 billion, compared to $1.0 billion in the second quarter of 2025</w:t>
      </w:r>
      <w:r>
        <w:rPr>
          <w:rFonts w:ascii="Arial;Helvetica;sans-serif" w:hAnsi="Arial;Helvetica;sans-serif"/>
          <w:sz w:val="17"/>
        </w:rPr>
        <w:t>1</w:t>
      </w:r>
      <w:r>
        <w:rPr>
          <w:rFonts w:ascii="Arial;Helvetica;sans-serif" w:hAnsi="Arial;Helvetica;sans-serif"/>
          <w:sz w:val="22"/>
        </w:rPr>
        <w:t>. Gross profit increased by 14.3% to $157.5 million, compared to $137.8 million for the second quarter of 2025, and gross margin increased 30 basis points to 18.4%, compared to the prior year quarter.</w:t>
      </w:r>
      <w:r>
        <w:rPr>
          <w:rFonts w:ascii="Times New Roman;Times;serif" w:hAnsi="Times New Roman;Times;serif"/>
          <w:sz w:val="20"/>
        </w:rPr>
        <w:t xml:space="preserve"> </w:t>
      </w:r>
      <w:r>
        <w:rPr>
          <w:rFonts w:ascii="Arial;Helvetica;sans-serif" w:hAnsi="Arial;Helvetica;sans-serif"/>
          <w:sz w:val="22"/>
        </w:rPr>
        <w:t xml:space="preserve">Net income increased 33.8% to $33.2 million, or $1.31 per diluted share, compared to $24.8 million, or $0.97 per diluted share, for the second quarter of 2025. </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b/>
          <w:i/>
          <w:sz w:val="22"/>
        </w:rPr>
        <w:t>Performance by Segment</w:t>
      </w:r>
      <w:r>
        <w:rPr>
          <w:rFonts w:ascii="Arial;Helvetica;sans-serif" w:hAnsi="Arial;Helvetica;sans-serif"/>
          <w:i/>
          <w:sz w:val="22"/>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2"/>
              </w:rPr>
              <w:t>Net sales for the Business Solutions segment increased by 17.3% to $343.9 million in the second quarter of 2026, compared to $293.2 million in the prior year quarter. Gross billings increased by 16.7% to $496.1 million, compared to $425.1 million in the prior year quarter</w:t>
            </w:r>
            <w:r>
              <w:rPr>
                <w:rFonts w:ascii="Arial;Helvetica;sans-serif" w:hAnsi="Arial;Helvetica;sans-serif"/>
                <w:b w:val="false"/>
                <w:i w:val="false"/>
                <w:caps w:val="false"/>
                <w:smallCaps w:val="false"/>
                <w:sz w:val="17"/>
              </w:rPr>
              <w:t>1</w:t>
            </w:r>
            <w:r>
              <w:rPr>
                <w:rFonts w:ascii="Arial;Helvetica;sans-serif" w:hAnsi="Arial;Helvetica;sans-serif"/>
                <w:b w:val="false"/>
                <w:i w:val="false"/>
                <w:caps w:val="false"/>
                <w:smallCaps w:val="false"/>
                <w:sz w:val="22"/>
              </w:rPr>
              <w:t xml:space="preserve">. Gross profit increased by 14.9% </w:t>
            </w:r>
          </w:p>
        </w:tc>
      </w:tr>
    </w:tbl>
    <w:p>
      <w:pPr>
        <w:pStyle w:val="TextBody"/>
        <w:bidi w:val="0"/>
        <w:spacing w:before="0" w:after="0"/>
        <w:ind w:left="0" w:right="0" w:hanging="0"/>
        <w:jc w:val="left"/>
        <w:rPr>
          <w:rFonts w:ascii="Times New Roman;Times;serif" w:hAnsi="Times New Roman;Times;serif"/>
          <w:sz w:val="14"/>
        </w:rPr>
      </w:pPr>
      <w:bookmarkStart w:id="35" w:name="footnote-2"/>
      <w:bookmarkEnd w:id="35"/>
      <w:r>
        <w:rPr>
          <w:rFonts w:ascii="Arial;Helvetica;sans-serif" w:hAnsi="Arial;Helvetica;sans-serif"/>
          <w:sz w:val="12"/>
        </w:rPr>
        <w:t>1</w:t>
      </w:r>
      <w:r>
        <w:rPr>
          <w:rFonts w:ascii="Times New Roman;Times;serif" w:hAnsi="Times New Roman;Times;serif"/>
          <w:sz w:val="14"/>
        </w:rPr>
        <w:t xml:space="preserve"> </w:t>
      </w:r>
      <w:r>
        <w:rPr>
          <w:rFonts w:ascii="Arial;Helvetica;sans-serif" w:hAnsi="Arial;Helvetica;sans-serif"/>
          <w:sz w:val="15"/>
        </w:rPr>
        <w:t xml:space="preserve">Gross billings is the total dollar value of goods and services billed during the period, net of customer returns, credit memos, and any applicable sales or other taxes and include agency fees, and freight. As certain transactions are recognized on a net basis, gross billings include amounts not recognized in net sales. </w:t>
      </w:r>
    </w:p>
    <w:p>
      <w:pPr>
        <w:pStyle w:val="TextBody"/>
        <w:bidi w:val="0"/>
        <w:spacing w:before="0" w:after="0"/>
        <w:ind w:left="0" w:right="0" w:hanging="0"/>
        <w:jc w:val="left"/>
        <w:rPr>
          <w:rFonts w:ascii="Times New Roman;Times;serif" w:hAnsi="Times New Roman;Times;serif"/>
          <w:sz w:val="14"/>
        </w:rPr>
      </w:pPr>
      <w:bookmarkStart w:id="36" w:name="footnote-3"/>
      <w:bookmarkEnd w:id="36"/>
      <w:r>
        <w:rPr>
          <w:rFonts w:ascii="Arial;Helvetica;sans-serif" w:hAnsi="Arial;Helvetica;sans-serif"/>
          <w:sz w:val="12"/>
        </w:rPr>
        <w:t>2</w:t>
      </w:r>
      <w:r>
        <w:rPr>
          <w:rFonts w:ascii="Times New Roman;Times;serif" w:hAnsi="Times New Roman;Times;serif"/>
          <w:sz w:val="14"/>
        </w:rPr>
        <w:t xml:space="preserve"> </w:t>
      </w:r>
      <w:r>
        <w:rPr>
          <w:rFonts w:ascii="Arial;Helvetica;sans-serif" w:hAnsi="Arial;Helvetica;sans-serif"/>
          <w:sz w:val="15"/>
        </w:rPr>
        <w:t>Adjusted Diluted Earnings per Share and Adjusted EBITDA are non-GAAP measures. See page 10 for definitions and reconciliations of these measures.</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to $79.1 million, compared to $68.9 million in the prior year quarter. Gross margin decreased by 50 basis points to 23.0% for the second quarter of 2026.</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2"/>
              </w:rPr>
              <w:t>Net sales for the Public Sector Solutions segment remained consistent at $140.5 million for the second quarter of 2026 and 2025. Gross billings increased by 1.7% to $197.1 million, compared to $193.8 million in the prior year quarter</w:t>
            </w:r>
            <w:hyperlink w:anchor="footnote-4">
              <w:r>
                <w:rPr>
                  <w:rStyle w:val="InternetLink"/>
                  <w:rFonts w:ascii="Arial;Helvetica;sans-serif" w:hAnsi="Arial;Helvetica;sans-serif"/>
                  <w:b w:val="false"/>
                  <w:i w:val="false"/>
                  <w:caps w:val="false"/>
                  <w:smallCaps w:val="false"/>
                  <w:sz w:val="17"/>
                </w:rPr>
                <w:t>1</w:t>
              </w:r>
            </w:hyperlink>
            <w:r>
              <w:rPr>
                <w:rFonts w:ascii="Arial;Helvetica;sans-serif" w:hAnsi="Arial;Helvetica;sans-serif"/>
                <w:b w:val="false"/>
                <w:i w:val="false"/>
                <w:caps w:val="false"/>
                <w:smallCaps w:val="false"/>
                <w:sz w:val="22"/>
              </w:rPr>
              <w:t>. Gross profit increased by 9.2% to $23.2 million, compared to $21.3 million in the prior year quarter. Gross margin increased by 130 basis points to 16.5% for the second quarter of 2026.</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2"/>
              </w:rPr>
              <w:t>Net sales for the Enterprise Solutions segment increased by 13.4% to $369.6 million in the second quarter of 2026, compared to $326.0 million in the prior year quarter. Gross billings increased by 17.0% to $477.0 million, compared to $407.5 million in the prior year quarter</w:t>
            </w:r>
            <w:r>
              <w:rPr>
                <w:rFonts w:ascii="Arial;Helvetica;sans-serif" w:hAnsi="Arial;Helvetica;sans-serif"/>
                <w:b w:val="false"/>
                <w:i w:val="false"/>
                <w:caps w:val="false"/>
                <w:smallCaps w:val="false"/>
                <w:sz w:val="17"/>
              </w:rPr>
              <w:t>1</w:t>
            </w:r>
            <w:r>
              <w:rPr>
                <w:rFonts w:ascii="Arial;Helvetica;sans-serif" w:hAnsi="Arial;Helvetica;sans-serif"/>
                <w:b w:val="false"/>
                <w:i w:val="false"/>
                <w:caps w:val="false"/>
                <w:smallCaps w:val="false"/>
                <w:sz w:val="22"/>
              </w:rPr>
              <w:t>. Gross profit increased by 15.8% to $55.2 million, compared to $47.6 million in the prior year quarter. Gross margin increased by 30 basis points to 14.9% for the second quarter of 2026.</w:t>
            </w:r>
          </w:p>
        </w:tc>
      </w:tr>
    </w:tbl>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b/>
          <w:i/>
          <w:sz w:val="22"/>
        </w:rPr>
        <w:t>Sales by Product Mix</w:t>
      </w:r>
      <w:r>
        <w:rPr>
          <w:rFonts w:ascii="Arial;Helvetica;sans-serif" w:hAnsi="Arial;Helvetica;sans-serif"/>
          <w:i/>
          <w:sz w:val="22"/>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Notebook/mobility and desktop sales increased by 19% year over year and accounted for 51% of net sales in the second quarter of 2026, compared to 48% of net sales in the second quarter of 2025.</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Software sales increased by 15% year over year and accounted for 9% of net sales in the second quarter of both 2026 and 2025.</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Servers/storage sales decreased by 18% year over year and accounted for 7% of net sales in the second quarter of 2026, compared to 9% of net sales in the second quarter of 2025.</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Networking sales increased by 12% year over year and accounted for 7% of net sales in the second quarter of both 2026 and 2025.</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Accessories sales increased by 10% year over year and accounted for 10% of net sales in the second quarter of both 2026 and 2025.</w:t>
            </w:r>
          </w:p>
        </w:tc>
      </w:tr>
    </w:tbl>
    <w:p>
      <w:pPr>
        <w:pStyle w:val="TextBody"/>
        <w:bidi w:val="0"/>
        <w:spacing w:before="0" w:after="240"/>
        <w:ind w:left="0" w:right="0" w:hanging="0"/>
        <w:jc w:val="left"/>
        <w:rPr>
          <w:rFonts w:ascii="Arial;Helvetica;sans-serif" w:hAnsi="Arial;Helvetica;sans-serif"/>
          <w:sz w:val="22"/>
        </w:rPr>
      </w:pPr>
      <w:r>
        <w:rPr>
          <w:rFonts w:ascii="Arial;Helvetica;sans-serif" w:hAnsi="Arial;Helvetica;sans-serif"/>
          <w:sz w:val="22"/>
        </w:rPr>
        <w:t xml:space="preserve">Selling, general and administrative (“SG&amp;A”) expenses increased in the second quarter of 2026 by 7.1% to $114.5 million from $106.9 million in the prior year quarter. SG&amp;A as a percentage of net sales decreased to 13.4%, compared to 14.1% in the prior year quarter. </w:t>
      </w:r>
    </w:p>
    <w:p>
      <w:pPr>
        <w:pStyle w:val="TextBody"/>
        <w:bidi w:val="0"/>
        <w:spacing w:before="0" w:after="240"/>
        <w:ind w:left="0" w:right="0" w:hanging="0"/>
        <w:jc w:val="left"/>
        <w:rPr>
          <w:rFonts w:ascii="Arial;Helvetica;sans-serif" w:hAnsi="Arial;Helvetica;sans-serif"/>
          <w:sz w:val="22"/>
        </w:rPr>
      </w:pPr>
      <w:r>
        <w:rPr>
          <w:rFonts w:ascii="Arial;Helvetica;sans-serif" w:hAnsi="Arial;Helvetica;sans-serif"/>
          <w:sz w:val="22"/>
        </w:rPr>
        <w:t xml:space="preserve">Interest income in the second quarter of 2026 was $2.5 million, compared to $3.2 million in the second quarter of 2025. </w:t>
      </w:r>
    </w:p>
    <w:p>
      <w:pPr>
        <w:pStyle w:val="TextBody"/>
        <w:bidi w:val="0"/>
        <w:spacing w:before="0" w:after="240"/>
        <w:ind w:left="0" w:right="0" w:hanging="0"/>
        <w:jc w:val="left"/>
        <w:rPr>
          <w:rFonts w:ascii="Arial;Helvetica;sans-serif" w:hAnsi="Arial;Helvetica;sans-serif"/>
          <w:sz w:val="22"/>
        </w:rPr>
      </w:pPr>
      <w:r>
        <w:rPr>
          <w:rFonts w:ascii="Arial;Helvetica;sans-serif" w:hAnsi="Arial;Helvetica;sans-serif"/>
          <w:sz w:val="22"/>
        </w:rPr>
        <w:t>Cash and cash equivalents and short-term investments were $340.7 million as of June 30, 2026, compared to $406.7 million as of December 31, 2025.</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b/>
          <w:i/>
          <w:sz w:val="22"/>
        </w:rPr>
        <w:t>Six Months of 2026 Results</w:t>
      </w:r>
      <w:r>
        <w:rPr>
          <w:rFonts w:ascii="Arial;Helvetica;sans-serif" w:hAnsi="Arial;Helvetica;sans-serif"/>
          <w:i/>
          <w:sz w:val="22"/>
        </w:rPr>
        <w:t>:</w:t>
      </w:r>
    </w:p>
    <w:p>
      <w:pPr>
        <w:pStyle w:val="TextBody"/>
        <w:bidi w:val="0"/>
        <w:spacing w:before="0" w:after="240"/>
        <w:ind w:left="0" w:right="0" w:hanging="0"/>
        <w:jc w:val="left"/>
        <w:rPr/>
      </w:pPr>
      <w:r>
        <w:rPr>
          <w:rFonts w:ascii="Arial;Helvetica;sans-serif" w:hAnsi="Arial;Helvetica;sans-serif"/>
          <w:sz w:val="22"/>
        </w:rPr>
        <w:t>Net sales for the six months ended June 30, 2026 increased by 7.9%, compared to the six months ended June 30, 2025. Gross billings increased by 9.3% to $2.2 billion, compared to $2.0 billion for the six months ended June 30, 2025</w:t>
      </w:r>
      <w:r>
        <w:rPr>
          <w:rFonts w:ascii="Arial;Helvetica;sans-serif" w:hAnsi="Arial;Helvetica;sans-serif"/>
          <w:sz w:val="17"/>
        </w:rPr>
        <w:t>1</w:t>
      </w:r>
      <w:r>
        <w:rPr>
          <w:rFonts w:ascii="Arial;Helvetica;sans-serif" w:hAnsi="Arial;Helvetica;sans-serif"/>
          <w:sz w:val="22"/>
        </w:rPr>
        <w:t>. Gross profit increased by 9.5% to $290.2 million, compared to $265.1 million for the six months ended June 30, 2025, and gross margin increased 30 basis points to 18.4%, compared to the six months ended June 30, 2025. Net income for the six months ended June 30, 2026 increased by 31.7% to $50.4 million, or $1.99 per diluted share, compared to net income of $38.3 million, or $1.48 per diluted share, for the six months ended June 30, 2025. Adjusted Diluted Earnings per Share</w:t>
      </w:r>
      <w:hyperlink w:anchor="footnote-5">
        <w:r>
          <w:rPr>
            <w:rStyle w:val="InternetLink"/>
            <w:rFonts w:ascii="Arial;Helvetica;sans-serif" w:hAnsi="Arial;Helvetica;sans-serif"/>
            <w:sz w:val="17"/>
          </w:rPr>
          <w:t>2</w:t>
        </w:r>
      </w:hyperlink>
      <w:r>
        <w:rPr>
          <w:rFonts w:ascii="Times New Roman;Times;serif" w:hAnsi="Times New Roman;Times;serif"/>
          <w:sz w:val="20"/>
        </w:rPr>
        <w:t xml:space="preserve"> </w:t>
      </w:r>
      <w:r>
        <w:rPr>
          <w:rFonts w:ascii="Arial;Helvetica;sans-serif" w:hAnsi="Arial;Helvetica;sans-serif"/>
          <w:sz w:val="22"/>
        </w:rPr>
        <w:t>increased to $2.08 per share for the six months ended June 30, 2026, compared to $1.56 per share for the six months ended June 30, 2025.</w:t>
      </w:r>
    </w:p>
    <w:p>
      <w:pPr>
        <w:pStyle w:val="TextBody"/>
        <w:bidi w:val="0"/>
        <w:spacing w:before="0" w:after="0"/>
        <w:ind w:left="0" w:right="0" w:hanging="0"/>
        <w:jc w:val="left"/>
        <w:rPr>
          <w:rFonts w:ascii="Times New Roman;Times;serif" w:hAnsi="Times New Roman;Times;serif"/>
          <w:sz w:val="14"/>
        </w:rPr>
      </w:pPr>
      <w:bookmarkStart w:id="37" w:name="footnote-4"/>
      <w:bookmarkEnd w:id="37"/>
      <w:r>
        <w:rPr>
          <w:rFonts w:ascii="Arial;Helvetica;sans-serif" w:hAnsi="Arial;Helvetica;sans-serif"/>
          <w:sz w:val="11"/>
        </w:rPr>
        <w:t>1</w:t>
      </w:r>
      <w:r>
        <w:rPr>
          <w:rFonts w:ascii="Times New Roman;Times;serif" w:hAnsi="Times New Roman;Times;serif"/>
          <w:sz w:val="14"/>
        </w:rPr>
        <w:t xml:space="preserve"> </w:t>
      </w:r>
      <w:r>
        <w:rPr>
          <w:rFonts w:ascii="Arial;Helvetica;sans-serif" w:hAnsi="Arial;Helvetica;sans-serif"/>
          <w:sz w:val="15"/>
        </w:rPr>
        <w:t xml:space="preserve">Gross billings is the total dollar value of goods and services billed during the period, net of customer returns, credit memos, and any applicable sales or other taxes and include agency fees, and freight. As certain transactions are recognized on a net basis, gross billings include amounts not recognized in net sales. </w:t>
      </w:r>
    </w:p>
    <w:p>
      <w:pPr>
        <w:pStyle w:val="TextBody"/>
        <w:bidi w:val="0"/>
        <w:spacing w:before="0" w:after="0"/>
        <w:ind w:left="0" w:right="0" w:hanging="0"/>
        <w:jc w:val="left"/>
        <w:rPr>
          <w:rFonts w:ascii="Times New Roman;Times;serif" w:hAnsi="Times New Roman;Times;serif"/>
          <w:sz w:val="14"/>
        </w:rPr>
      </w:pPr>
      <w:bookmarkStart w:id="38" w:name="footnote-5"/>
      <w:bookmarkEnd w:id="38"/>
      <w:r>
        <w:rPr>
          <w:rFonts w:ascii="Arial;Helvetica;sans-serif" w:hAnsi="Arial;Helvetica;sans-serif"/>
          <w:sz w:val="11"/>
        </w:rPr>
        <w:t>2</w:t>
      </w:r>
      <w:r>
        <w:rPr>
          <w:rFonts w:ascii="Times New Roman;Times;serif" w:hAnsi="Times New Roman;Times;serif"/>
          <w:sz w:val="14"/>
        </w:rPr>
        <w:t xml:space="preserve"> </w:t>
      </w:r>
      <w:r>
        <w:rPr>
          <w:rFonts w:ascii="Arial;Helvetica;sans-serif" w:hAnsi="Arial;Helvetica;sans-serif"/>
          <w:sz w:val="15"/>
        </w:rPr>
        <w:t>Adjusted Diluted Earnings per Share and Adjusted EBITDA are non-GAAP measures. See page 10 for definitions and reconciliations of these measures.</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rFonts w:ascii="Arial;Helvetica;sans-serif" w:hAnsi="Arial;Helvetica;sans-serif"/>
          <w:sz w:val="22"/>
        </w:rPr>
        <w:t>Earnings before interest, taxes, depreciation and amortization, adjusted for stock-based compensation expense, restructuring and other charges and non-routine legal settlements (“Adjusted EBITDA”)</w:t>
      </w:r>
      <w:hyperlink w:anchor="footnote-6">
        <w:r>
          <w:rPr>
            <w:rStyle w:val="InternetLink"/>
            <w:rFonts w:ascii="Arial;Helvetica;sans-serif" w:hAnsi="Arial;Helvetica;sans-serif"/>
            <w:sz w:val="17"/>
          </w:rPr>
          <w:t>1</w:t>
        </w:r>
      </w:hyperlink>
      <w:r>
        <w:rPr>
          <w:rFonts w:ascii="Times New Roman;Times;serif" w:hAnsi="Times New Roman;Times;serif"/>
          <w:sz w:val="20"/>
        </w:rPr>
        <w:t xml:space="preserve"> </w:t>
      </w:r>
      <w:r>
        <w:rPr>
          <w:rFonts w:ascii="Arial;Helvetica;sans-serif" w:hAnsi="Arial;Helvetica;sans-serif"/>
          <w:sz w:val="22"/>
        </w:rPr>
        <w:t>increased 18% to $144.5 million for the twelve months ended June 30, 2026, compared to $122.5 million for the twelve months ended June 30, 2025.</w:t>
      </w:r>
    </w:p>
    <w:p>
      <w:pPr>
        <w:pStyle w:val="TextBody"/>
        <w:bidi w:val="0"/>
        <w:spacing w:before="0" w:after="240"/>
        <w:ind w:left="0" w:right="0" w:hanging="0"/>
        <w:jc w:val="left"/>
        <w:rPr>
          <w:rFonts w:ascii="Arial;Helvetica;sans-serif" w:hAnsi="Arial;Helvetica;sans-serif"/>
          <w:b/>
          <w:sz w:val="22"/>
        </w:rPr>
      </w:pPr>
      <w:r>
        <w:rPr>
          <w:rFonts w:ascii="Arial;Helvetica;sans-serif" w:hAnsi="Arial;Helvetica;sans-serif"/>
          <w:b/>
          <w:sz w:val="22"/>
        </w:rPr>
        <w:t>Conference Call and Webcast</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sz w:val="22"/>
        </w:rPr>
        <w:t>Connection will host a conference call and live web cast today, July 29, 2026 at 4:30 p.m. EDT to discuss its second quarter financial results. For participants who would like to participate via telephone, please register here</w:t>
      </w:r>
      <w:r>
        <w:rPr>
          <w:rFonts w:ascii="Times New Roman;Times;serif" w:hAnsi="Times New Roman;Times;serif"/>
          <w:sz w:val="20"/>
        </w:rPr>
        <w:t> </w:t>
      </w:r>
      <w:r>
        <w:rPr>
          <w:rFonts w:ascii="Arial;Helvetica;sans-serif" w:hAnsi="Arial;Helvetica;sans-serif"/>
          <w:sz w:val="22"/>
        </w:rPr>
        <w:t>to receive the dial-in number along with a unique PIN number that is required to access the call. A web-cast of the conference call, which will be broadcast live via the Internet, and a copy of this press release, can be accessed on Connection’s website at ir.connection.com. For those unable to participate in the live call, a replay of the webcast will be available at ir.connection.com approximately 90 minutes after the completion of the call and will be accessible on the site for approximately one year.</w:t>
      </w:r>
    </w:p>
    <w:p>
      <w:pPr>
        <w:pStyle w:val="TextBody"/>
        <w:bidi w:val="0"/>
        <w:spacing w:before="0" w:after="240"/>
        <w:ind w:left="0" w:right="0" w:hanging="0"/>
        <w:jc w:val="left"/>
        <w:rPr>
          <w:rFonts w:ascii="Arial;Helvetica;sans-serif" w:hAnsi="Arial;Helvetica;sans-serif"/>
          <w:b/>
          <w:sz w:val="22"/>
        </w:rPr>
      </w:pPr>
      <w:r>
        <w:rPr>
          <w:rFonts w:ascii="Arial;Helvetica;sans-serif" w:hAnsi="Arial;Helvetica;sans-serif"/>
          <w:b/>
          <w:sz w:val="22"/>
        </w:rPr>
        <w:t>Non-GAAP Financial Information</w:t>
      </w:r>
    </w:p>
    <w:p>
      <w:pPr>
        <w:pStyle w:val="TextBody"/>
        <w:bidi w:val="0"/>
        <w:spacing w:before="0" w:after="240"/>
        <w:ind w:left="0" w:right="0" w:hanging="0"/>
        <w:jc w:val="left"/>
        <w:rPr>
          <w:rFonts w:ascii="Arial;Helvetica;sans-serif" w:hAnsi="Arial;Helvetica;sans-serif"/>
          <w:sz w:val="22"/>
        </w:rPr>
      </w:pPr>
      <w:r>
        <w:rPr>
          <w:rFonts w:ascii="Arial;Helvetica;sans-serif" w:hAnsi="Arial;Helvetica;sans-serif"/>
          <w:sz w:val="22"/>
        </w:rPr>
        <w:t>EBITDA, Adjusted EBITDA, LTM Adjusted EBITDA, Adjusted Net Income and Adjusted Diluted Earnings per Share are non-GAAP financial measures. These measures are included to provide additional information with respect to the Company’s operating performance and earnings. Non-GAAP measures are not a substitute for GAAP measures and should be considered together with the GAAP financial measures. Our non-GAAP financial measures may not be comparable to similarly titled measures of other companies. Definitions for each Non-GAAP measure and a reconciliation to their most directly comparable GAAP measures are available in the tables at the end of this release.</w:t>
      </w:r>
    </w:p>
    <w:p>
      <w:pPr>
        <w:pStyle w:val="TextBody"/>
        <w:bidi w:val="0"/>
        <w:spacing w:before="0" w:after="240"/>
        <w:ind w:left="0" w:right="0" w:hanging="0"/>
        <w:jc w:val="left"/>
        <w:rPr>
          <w:rFonts w:ascii="Arial;Helvetica;sans-serif" w:hAnsi="Arial;Helvetica;sans-serif"/>
          <w:b/>
          <w:sz w:val="22"/>
        </w:rPr>
      </w:pPr>
      <w:r>
        <w:rPr>
          <w:rFonts w:ascii="Arial;Helvetica;sans-serif" w:hAnsi="Arial;Helvetica;sans-serif"/>
          <w:b/>
          <w:sz w:val="22"/>
        </w:rPr>
        <w:t>About Connection</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sz w:val="22"/>
        </w:rPr>
        <w:t xml:space="preserve">PC Connection, Inc. and its subsidiaries, dba </w:t>
      </w:r>
      <w:r>
        <w:rPr>
          <w:rFonts w:ascii="Arial;Helvetica;sans-serif" w:hAnsi="Arial;Helvetica;sans-serif"/>
          <w:b/>
          <w:sz w:val="22"/>
        </w:rPr>
        <w:t>Connection,</w:t>
      </w:r>
      <w:r>
        <w:rPr>
          <w:rFonts w:ascii="Times New Roman;Times;serif" w:hAnsi="Times New Roman;Times;serif"/>
          <w:sz w:val="20"/>
        </w:rPr>
        <w:t xml:space="preserve"> </w:t>
      </w:r>
      <w:r>
        <w:rPr>
          <w:rFonts w:ascii="Arial;Helvetica;sans-serif" w:hAnsi="Arial;Helvetica;sans-serif"/>
          <w:sz w:val="22"/>
        </w:rPr>
        <w:t>(www.connection.com; NASDAQ: CNXN) is a Fortune 1000 company headquartered in Merrimack, NH. With offices throughout the United States, Connection delivers custom-configured IT solutions from its ISO 9001:2015 SOC 2 Type 2 certified Technology Integration and Distribution Center in Wilmington, OH. In addition, the Company has more than 5,000 professional certifications to ensure that it can solve the most complex issues of its customers. Connection also services international customers through its GlobalServe subsidiary, a global IT procurement and service management company. Investors and media can find more information about Connection at http://ir.connection.com.</w:t>
      </w:r>
    </w:p>
    <w:p>
      <w:pPr>
        <w:pStyle w:val="TextBody"/>
        <w:bidi w:val="0"/>
        <w:spacing w:before="0" w:after="240"/>
        <w:ind w:left="0" w:right="0" w:hanging="0"/>
        <w:jc w:val="left"/>
        <w:rPr>
          <w:rFonts w:ascii="Arial;Helvetica;sans-serif" w:hAnsi="Arial;Helvetica;sans-serif"/>
          <w:sz w:val="22"/>
        </w:rPr>
      </w:pPr>
      <w:r>
        <w:rPr>
          <w:rFonts w:ascii="Arial;Helvetica;sans-serif" w:hAnsi="Arial;Helvetica;sans-serif"/>
          <w:sz w:val="22"/>
        </w:rPr>
        <w:t>Connection Business Solutions (800.800.5555) is a rapid-response provider of IT products and services serving primarily the small- and medium-sized business sector. It offers more than 460,000 brand-name products through its staff of technically trained sales account managers, publications, and its website at www.connection.com.</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sz w:val="22"/>
        </w:rPr>
        <w:t xml:space="preserve">Connection–Enterprise Solutions (561.237.3300), www.connection.com/enterprise, </w:t>
      </w:r>
      <w:r>
        <w:rPr>
          <w:rFonts w:ascii="Arial;Helvetica;sans-serif" w:hAnsi="Arial;Helvetica;sans-serif"/>
          <w:sz w:val="21"/>
        </w:rPr>
        <w:t>provides corporate technology buyers with best-in-class IT solutions, in-depth IT supply-chain expertise, and real-time access to over 460,000 products and 1,600 vendors through MarkITplace</w:t>
      </w:r>
      <w:r>
        <w:rPr>
          <w:rFonts w:ascii="Arial;Helvetica;sans-serif" w:hAnsi="Arial;Helvetica;sans-serif"/>
          <w:sz w:val="16"/>
        </w:rPr>
        <w:t>®</w:t>
      </w:r>
      <w:r>
        <w:rPr>
          <w:rFonts w:ascii="Arial;Helvetica;sans-serif" w:hAnsi="Arial;Helvetica;sans-serif"/>
          <w:sz w:val="21"/>
        </w:rPr>
        <w:t>, a proprietary next-generation, cloud-based supply chain solution. The team’s engineers, software licensing specialists, and subject matter experts help reduce the cost and complexity of buying hardware, software, and services throughout the entire IT lifecycle.</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sz w:val="21"/>
        </w:rPr>
        <w:t xml:space="preserve">Connection Public Sector Solutions (800.800.0019), is a rapid-response provider of IT products and services to federal, state, and local government agencies and educational institutions through specialized account managers, publications, and online at </w:t>
      </w:r>
      <w:r>
        <w:rPr>
          <w:rFonts w:ascii="Arial;Helvetica;sans-serif" w:hAnsi="Arial;Helvetica;sans-serif"/>
          <w:sz w:val="22"/>
        </w:rPr>
        <w:t>www.connection.com/publicsector.</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14"/>
        </w:rPr>
      </w:pPr>
      <w:bookmarkStart w:id="39" w:name="footnote-6"/>
      <w:bookmarkEnd w:id="39"/>
      <w:r>
        <w:rPr>
          <w:rFonts w:ascii="Arial;Helvetica;sans-serif" w:hAnsi="Arial;Helvetica;sans-serif"/>
          <w:sz w:val="12"/>
        </w:rPr>
        <w:t>1</w:t>
      </w:r>
      <w:r>
        <w:rPr>
          <w:rFonts w:ascii="Times New Roman;Times;serif" w:hAnsi="Times New Roman;Times;serif"/>
          <w:sz w:val="14"/>
        </w:rPr>
        <w:t xml:space="preserve"> </w:t>
      </w:r>
      <w:r>
        <w:rPr>
          <w:rFonts w:ascii="Arial;Helvetica;sans-serif" w:hAnsi="Arial;Helvetica;sans-serif"/>
          <w:sz w:val="15"/>
        </w:rPr>
        <w:t>Adjusted Diluted Earnings per Share and Adjusted EBITDA are non-GAAP measures. See page 10 for definitions and reconciliations of these measures.</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Arial;Helvetica;sans-serif" w:hAnsi="Arial;Helvetica;sans-serif"/>
          <w:b/>
          <w:sz w:val="22"/>
        </w:rPr>
      </w:pPr>
      <w:r>
        <w:rPr>
          <w:rFonts w:ascii="Arial;Helvetica;sans-serif" w:hAnsi="Arial;Helvetica;sans-serif"/>
          <w:b/>
          <w:sz w:val="22"/>
        </w:rPr>
        <w:t>Cautionary Note Regarding Forward-Looking Statements</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2"/>
        </w:rPr>
        <w:t>This earnings release contains forward-looking statements within the meaning of Section 27A of the Securities Act of 1933, as amended, and Section 21E of the Securities Exchange Act of 1934, as amended. Forward-looking statements generally relate to future events or our future financial or operating performance and include statements concerning, among other things, our future financial results, business plans (including statements regarding new products and services we may offer and future expenditures, costs and investments), liabilities, impairment charges, competition and the expected impact of current macroeconomic conditions on our businesses and results of operations. You can generally identify forward-looking statements because they may contain words such as “may,” “will,” “would,” “should,” “expects,” “plans,” “could,” “intends,” “target,” “projects,” “believes,” “estimates,” “anticipates,” “potential” or “continue” or the negative of these words or other similar terms or expressions that concern our expectations, strategy, plans or intentions,</w:t>
      </w:r>
      <w:r>
        <w:rPr>
          <w:rFonts w:ascii="Times New Roman;Times;serif" w:hAnsi="Times New Roman;Times;serif"/>
          <w:sz w:val="20"/>
        </w:rPr>
        <w:t xml:space="preserve"> </w:t>
      </w:r>
      <w:r>
        <w:rPr>
          <w:rFonts w:ascii="Arial;Helvetica;sans-serif" w:hAnsi="Arial;Helvetica;sans-serif"/>
          <w:sz w:val="22"/>
        </w:rPr>
        <w:t>although not all forward-looking statements include such terms. These statements reflect our current views and are based on assumptions as of the date of this report. Such assumptions are based upon internal estimates and other analysis of current market conditions and trends, management’s expectations, plans and strategies, economic conditions and other factors. These statements are subject to known and unknown risks, uncertainties and other factors that may cause our actual results, performance or achievements to be materially different from expectations or results projected or implied by forward-looking statements.</w:t>
      </w:r>
    </w:p>
    <w:p>
      <w:pPr>
        <w:pStyle w:val="TextBody"/>
        <w:bidi w:val="0"/>
        <w:spacing w:before="0" w:after="240"/>
        <w:ind w:left="0" w:right="0" w:hanging="0"/>
        <w:jc w:val="left"/>
        <w:rPr>
          <w:rFonts w:ascii="Arial;Helvetica;sans-serif" w:hAnsi="Arial;Helvetica;sans-serif"/>
          <w:sz w:val="22"/>
        </w:rPr>
      </w:pPr>
      <w:r>
        <w:rPr>
          <w:rFonts w:ascii="Arial;Helvetica;sans-serif" w:hAnsi="Arial;Helvetica;sans-serif"/>
          <w:sz w:val="22"/>
        </w:rPr>
        <w:t>Such differences may result from actions taken by us, including expense reduction or strategic initiatives (including reductions in force, capital investments and new or expanded product offerings or services), the execution of our business plans (including our inventory management, cost structure and management and other personnel decisions) or other business decisions, as well as from developments beyond our control, including;</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macroeconomic factors facing the global economy, including disruptions in or increased volatility of the capital markets, changes in trade policy, which may include the imposition of tariffs or other trade barriers, economic sanctions and economic slowdowns or recessions, government shutdowns, the impact of conflicts in Iran and the Middle East, changes in tax policy, rising inflation and changing interest rates modifying our potential for investment income and the timing thereof or reducing the level of investment our customers are willing to make in IT products;</w:t>
            </w:r>
          </w:p>
        </w:tc>
      </w:tr>
    </w:tbl>
    <w:tbl>
      <w:tblPr>
        <w:tblW w:w="7690" w:type="dxa"/>
        <w:jc w:val="left"/>
        <w:tblInd w:w="0" w:type="dxa"/>
        <w:tblLayout w:type="fixed"/>
        <w:tblCellMar>
          <w:top w:w="0" w:type="dxa"/>
          <w:left w:w="0" w:type="dxa"/>
          <w:bottom w:w="0" w:type="dxa"/>
          <w:right w:w="0" w:type="dxa"/>
        </w:tblCellMar>
      </w:tblPr>
      <w:tblGrid>
        <w:gridCol w:w="170"/>
        <w:gridCol w:w="7520"/>
      </w:tblGrid>
      <w:tr>
        <w:trPr/>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supply constraints, such as the global memory (DRAM and NAND) shortage;</w:t>
            </w:r>
          </w:p>
        </w:tc>
      </w:tr>
    </w:tbl>
    <w:tbl>
      <w:tblPr>
        <w:tblW w:w="5095" w:type="dxa"/>
        <w:jc w:val="left"/>
        <w:tblInd w:w="0" w:type="dxa"/>
        <w:tblLayout w:type="fixed"/>
        <w:tblCellMar>
          <w:top w:w="0" w:type="dxa"/>
          <w:left w:w="0" w:type="dxa"/>
          <w:bottom w:w="0" w:type="dxa"/>
          <w:right w:w="0" w:type="dxa"/>
        </w:tblCellMar>
      </w:tblPr>
      <w:tblGrid>
        <w:gridCol w:w="170"/>
        <w:gridCol w:w="4925"/>
      </w:tblGrid>
      <w:tr>
        <w:trPr/>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substantial competition reducing our market share;</w:t>
            </w:r>
          </w:p>
        </w:tc>
      </w:tr>
    </w:tbl>
    <w:tbl>
      <w:tblPr>
        <w:tblW w:w="5590" w:type="dxa"/>
        <w:jc w:val="left"/>
        <w:tblInd w:w="0" w:type="dxa"/>
        <w:tblLayout w:type="fixed"/>
        <w:tblCellMar>
          <w:top w:w="0" w:type="dxa"/>
          <w:left w:w="0" w:type="dxa"/>
          <w:bottom w:w="0" w:type="dxa"/>
          <w:right w:w="0" w:type="dxa"/>
        </w:tblCellMar>
      </w:tblPr>
      <w:tblGrid>
        <w:gridCol w:w="170"/>
        <w:gridCol w:w="5420"/>
      </w:tblGrid>
      <w:tr>
        <w:trPr/>
        <w:tc>
          <w:tcPr>
            <w:tcW w:w="170" w:type="dxa"/>
            <w:tcBorders/>
            <w:vAlign w:val="center"/>
          </w:tcPr>
          <w:p>
            <w:pPr>
              <w:pStyle w:val="TableContents"/>
              <w:bidi w:val="0"/>
              <w:spacing w:before="0" w:after="283"/>
              <w:jc w:val="left"/>
              <w:rPr/>
            </w:pPr>
            <w:r>
              <w:rPr/>
              <w:t>●</w:t>
            </w:r>
          </w:p>
        </w:tc>
        <w:tc>
          <w:tcPr>
            <w:tcW w:w="54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significant price competition reducing our profit margins;</w:t>
            </w:r>
          </w:p>
        </w:tc>
      </w:tr>
    </w:tbl>
    <w:tbl>
      <w:tblPr>
        <w:tblW w:w="10015" w:type="dxa"/>
        <w:jc w:val="left"/>
        <w:tblInd w:w="0" w:type="dxa"/>
        <w:tblLayout w:type="fixed"/>
        <w:tblCellMar>
          <w:top w:w="0" w:type="dxa"/>
          <w:left w:w="0" w:type="dxa"/>
          <w:bottom w:w="0" w:type="dxa"/>
          <w:right w:w="0" w:type="dxa"/>
        </w:tblCellMar>
      </w:tblPr>
      <w:tblGrid>
        <w:gridCol w:w="170"/>
        <w:gridCol w:w="9845"/>
      </w:tblGrid>
      <w:tr>
        <w:trPr/>
        <w:tc>
          <w:tcPr>
            <w:tcW w:w="170"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loss of any of our major vendors adversely affecting the number or type of products we may offer;</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virtualization of information technology resources and applications, including networks, servers, applications, and data storage disrupting or altering our traditional distribution models;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service interruptions at third party shippers negatively impacting our ability to deliver the products we offer to our customers;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increases in shipping and postage costs reducing our margins and adversely affecting our results of operations;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loss of key persons or the inability to attract, train and retain qualified personnel adversely affecting our ability to operate our business; and</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cyberattacks or the failure to safeguard personal information and our IT systems resulting in liability and harm to our reputation.</w:t>
            </w:r>
          </w:p>
        </w:tc>
      </w:tr>
    </w:tbl>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 xml:space="preserve">Additional factors include those described in our Annual Report on Form 10-K for the year ended December 31, 2025, including under the captions “Risk Factors,” “Management’s Discussion and Analysis of Financial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Arial;Helvetica;sans-serif" w:hAnsi="Arial;Helvetica;sans-serif"/>
          <w:sz w:val="22"/>
        </w:rPr>
      </w:pPr>
      <w:r>
        <w:rPr>
          <w:rFonts w:ascii="Arial;Helvetica;sans-serif" w:hAnsi="Arial;Helvetica;sans-serif"/>
          <w:sz w:val="22"/>
        </w:rPr>
        <w:t>Condition and Results of Operations,” and “Business,” in our subsequent Quarterly Reports on Form 10-Q, including under the captions “Risk Factors” and “Management’s Discussion and Analysis of Financial Condition and Results of Operations,” and in the other subsequent filings we make with the Securities and Exchange Commission from time to time.</w:t>
      </w:r>
    </w:p>
    <w:p>
      <w:pPr>
        <w:pStyle w:val="TextBody"/>
        <w:bidi w:val="0"/>
        <w:spacing w:before="0" w:after="240"/>
        <w:ind w:left="0" w:right="0" w:hanging="0"/>
        <w:jc w:val="left"/>
        <w:rPr>
          <w:rFonts w:ascii="Arial;Helvetica;sans-serif" w:hAnsi="Arial;Helvetica;sans-serif"/>
          <w:sz w:val="22"/>
        </w:rPr>
      </w:pPr>
      <w:r>
        <w:rPr>
          <w:rFonts w:ascii="Arial;Helvetica;sans-serif" w:hAnsi="Arial;Helvetica;sans-serif"/>
          <w:sz w:val="22"/>
        </w:rPr>
        <w:t>A forward-looking statement is neither a prediction nor a guarantee of future events or circumstances. You should not place undue reliance on the forward-looking statements included in this release. We assume no obligation to update any of these forward-looking statements, or to update the reasons actual results could differ materially from those anticipated, to reflect circumstances or events that occur after the statements are made except as required by law.</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Arial;Helvetica;sans-serif" w:hAnsi="Arial;Helvetica;sans-serif"/>
          <w:b/>
          <w:sz w:val="24"/>
        </w:rPr>
      </w:pPr>
      <w:r>
        <w:rPr>
          <w:rFonts w:ascii="Arial;Helvetica;sans-serif" w:hAnsi="Arial;Helvetica;sans-serif"/>
          <w:b/>
          <w:sz w:val="24"/>
        </w:rPr>
        <w:t>CONSOLIDATED SELECTED FINANCIAL INFORMATION</w:t>
      </w:r>
    </w:p>
    <w:p>
      <w:pPr>
        <w:pStyle w:val="TextBody"/>
        <w:bidi w:val="0"/>
        <w:spacing w:before="0" w:after="0"/>
        <w:ind w:left="0" w:right="0" w:hanging="0"/>
        <w:jc w:val="left"/>
        <w:rPr/>
      </w:pPr>
      <w:r>
        <w:rPr/>
        <w:t>​</w:t>
      </w:r>
    </w:p>
    <w:tbl>
      <w:tblPr>
        <w:tblW w:w="8327" w:type="dxa"/>
        <w:jc w:val="left"/>
        <w:tblInd w:w="0" w:type="dxa"/>
        <w:tblLayout w:type="fixed"/>
        <w:tblCellMar>
          <w:top w:w="0" w:type="dxa"/>
          <w:left w:w="0" w:type="dxa"/>
          <w:bottom w:w="0" w:type="dxa"/>
          <w:right w:w="0" w:type="dxa"/>
        </w:tblCellMar>
      </w:tblPr>
      <w:tblGrid>
        <w:gridCol w:w="3676"/>
        <w:gridCol w:w="109"/>
        <w:gridCol w:w="230"/>
        <w:gridCol w:w="1064"/>
        <w:gridCol w:w="311"/>
        <w:gridCol w:w="118"/>
        <w:gridCol w:w="230"/>
        <w:gridCol w:w="1064"/>
        <w:gridCol w:w="311"/>
        <w:gridCol w:w="118"/>
        <w:gridCol w:w="535"/>
        <w:gridCol w:w="561"/>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334260" cy="175260"/>
                      <wp:effectExtent l="0" t="0" r="0" b="0"/>
                      <wp:wrapNone/>
                      <wp:docPr id="3" name="Frame2"/>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9215" cy="175260"/>
                      <wp:effectExtent l="0" t="0" r="0" b="0"/>
                      <wp:wrapNone/>
                      <wp:docPr id="4" name="Frame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46050" cy="175260"/>
                      <wp:effectExtent l="0" t="0" r="0" b="0"/>
                      <wp:wrapNone/>
                      <wp:docPr id="5" name="Frame4"/>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75640" cy="175260"/>
                      <wp:effectExtent l="0" t="0" r="0" b="0"/>
                      <wp:wrapNone/>
                      <wp:docPr id="6" name="Frame5"/>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97485" cy="175260"/>
                      <wp:effectExtent l="0" t="0" r="0" b="0"/>
                      <wp:wrapNone/>
                      <wp:docPr id="7" name="Frame6"/>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74930" cy="175260"/>
                      <wp:effectExtent l="0" t="0" r="0" b="0"/>
                      <wp:wrapNone/>
                      <wp:docPr id="8" name="Frame7"/>
                      <a:graphic xmlns:a="http://schemas.openxmlformats.org/drawingml/2006/main">
                        <a:graphicData uri="http://schemas.microsoft.com/office/word/2010/wordprocessingShape">
                          <wps:wsp>
                            <wps:cNvSpPr txBox="1"/>
                            <wps:spPr>
                              <a:xfrm>
                                <a:off x="0" y="0"/>
                                <a:ext cx="74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46050" cy="175260"/>
                      <wp:effectExtent l="0" t="0" r="0" b="0"/>
                      <wp:wrapNone/>
                      <wp:docPr id="9" name="Frame8"/>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75640" cy="175260"/>
                      <wp:effectExtent l="0" t="0" r="0" b="0"/>
                      <wp:wrapNone/>
                      <wp:docPr id="10" name="Frame9"/>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97485" cy="175260"/>
                      <wp:effectExtent l="0" t="0" r="0" b="0"/>
                      <wp:wrapNone/>
                      <wp:docPr id="11" name="Frame10"/>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74930" cy="175260"/>
                      <wp:effectExtent l="0" t="0" r="0" b="0"/>
                      <wp:wrapNone/>
                      <wp:docPr id="12" name="Frame11"/>
                      <a:graphic xmlns:a="http://schemas.openxmlformats.org/drawingml/2006/main">
                        <a:graphicData uri="http://schemas.microsoft.com/office/word/2010/wordprocessingShape">
                          <wps:wsp>
                            <wps:cNvSpPr txBox="1"/>
                            <wps:spPr>
                              <a:xfrm>
                                <a:off x="0" y="0"/>
                                <a:ext cx="74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339725" cy="175260"/>
                      <wp:effectExtent l="0" t="0" r="0" b="0"/>
                      <wp:wrapNone/>
                      <wp:docPr id="13" name="Frame12"/>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356235" cy="175260"/>
                      <wp:effectExtent l="0" t="0" r="0" b="0"/>
                      <wp:wrapNone/>
                      <wp:docPr id="14" name="Frame13"/>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4542"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At or for the Three Months Ended June 30, </w:t>
            </w:r>
          </w:p>
        </w:tc>
      </w:tr>
      <w:tr>
        <w:trPr/>
        <w:tc>
          <w:tcPr>
            <w:tcW w:w="367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60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118" w:type="dxa"/>
            <w:tcBorders/>
            <w:vAlign w:val="center"/>
          </w:tcPr>
          <w:p>
            <w:pPr>
              <w:pStyle w:val="TableContents"/>
              <w:bidi w:val="0"/>
              <w:spacing w:before="0" w:after="0"/>
              <w:ind w:left="0" w:right="0" w:hanging="0"/>
              <w:jc w:val="left"/>
              <w:rPr/>
            </w:pPr>
            <w:r>
              <w:rPr/>
              <w:t>​</w:t>
            </w:r>
          </w:p>
        </w:tc>
        <w:tc>
          <w:tcPr>
            <w:tcW w:w="160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18" w:type="dxa"/>
            <w:tcBorders/>
            <w:vAlign w:val="center"/>
          </w:tcPr>
          <w:p>
            <w:pPr>
              <w:pStyle w:val="TableContents"/>
              <w:bidi w:val="0"/>
              <w:spacing w:before="0" w:after="0"/>
              <w:ind w:left="0" w:right="0" w:hanging="0"/>
              <w:jc w:val="left"/>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Change</w:t>
            </w:r>
          </w:p>
        </w:tc>
      </w:tr>
      <w:tr>
        <w:trPr/>
        <w:tc>
          <w:tcPr>
            <w:tcW w:w="3676" w:type="dxa"/>
            <w:tcBorders/>
            <w:vAlign w:val="center"/>
          </w:tcPr>
          <w:p>
            <w:pPr>
              <w:pStyle w:val="TableContents"/>
              <w:bidi w:val="0"/>
              <w:spacing w:before="0" w:after="0"/>
              <w:ind w:left="0" w:right="0" w:hanging="0"/>
              <w:jc w:val="both"/>
              <w:rPr>
                <w:rFonts w:ascii="Arial;Helvetica;sans-serif" w:hAnsi="Arial;Helvetica;sans-serif"/>
                <w:b/>
                <w:sz w:val="20"/>
              </w:rPr>
            </w:pPr>
            <w:r>
              <w:rPr>
                <w:rFonts w:ascii="Arial;Helvetica;sans-serif" w:hAnsi="Arial;Helvetica;sans-serif"/>
                <w:b/>
                <w:sz w:val="20"/>
              </w:rPr>
              <w:t>Operating Data:</w:t>
            </w:r>
          </w:p>
        </w:tc>
        <w:tc>
          <w:tcPr>
            <w:tcW w:w="109" w:type="dxa"/>
            <w:tcBorders/>
            <w:vAlign w:val="center"/>
          </w:tcPr>
          <w:p>
            <w:pPr>
              <w:pStyle w:val="TableContents"/>
              <w:bidi w:val="0"/>
              <w:spacing w:before="0" w:after="0"/>
              <w:ind w:left="0" w:right="0" w:hanging="0"/>
              <w:jc w:val="both"/>
              <w:rPr/>
            </w:pPr>
            <w:r>
              <w:rPr/>
              <w:t>​</w:t>
            </w:r>
          </w:p>
        </w:tc>
        <w:tc>
          <w:tcPr>
            <w:tcW w:w="230" w:type="dxa"/>
            <w:tcBorders/>
            <w:vAlign w:val="center"/>
          </w:tcPr>
          <w:p>
            <w:pPr>
              <w:pStyle w:val="TableContents"/>
              <w:bidi w:val="0"/>
              <w:spacing w:before="0" w:after="0"/>
              <w:ind w:left="0" w:right="0" w:hanging="0"/>
              <w:jc w:val="both"/>
              <w:rPr/>
            </w:pPr>
            <w:r>
              <w:rPr/>
              <w:t>​</w:t>
            </w:r>
          </w:p>
        </w:tc>
        <w:tc>
          <w:tcPr>
            <w:tcW w:w="1064" w:type="dxa"/>
            <w:tcBorders/>
            <w:vAlign w:val="center"/>
          </w:tcPr>
          <w:p>
            <w:pPr>
              <w:pStyle w:val="TableContents"/>
              <w:bidi w:val="0"/>
              <w:spacing w:before="0" w:after="0"/>
              <w:ind w:left="0" w:right="0" w:hanging="0"/>
              <w:jc w:val="center"/>
              <w:rPr/>
            </w:pPr>
            <w:r>
              <w:rPr/>
              <w:t>​</w:t>
            </w:r>
          </w:p>
        </w:tc>
        <w:tc>
          <w:tcPr>
            <w:tcW w:w="311" w:type="dxa"/>
            <w:tcBorders/>
            <w:vAlign w:val="center"/>
          </w:tcPr>
          <w:p>
            <w:pPr>
              <w:pStyle w:val="TableContents"/>
              <w:bidi w:val="0"/>
              <w:spacing w:before="0" w:after="0"/>
              <w:ind w:left="0" w:right="0" w:hanging="0"/>
              <w:jc w:val="center"/>
              <w:rPr/>
            </w:pPr>
            <w:r>
              <w:rPr/>
              <w:t>​</w:t>
            </w:r>
          </w:p>
        </w:tc>
        <w:tc>
          <w:tcPr>
            <w:tcW w:w="11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both"/>
              <w:rPr/>
            </w:pPr>
            <w:r>
              <w:rPr/>
              <w:t>​</w:t>
            </w:r>
          </w:p>
        </w:tc>
        <w:tc>
          <w:tcPr>
            <w:tcW w:w="1064" w:type="dxa"/>
            <w:tcBorders/>
            <w:vAlign w:val="center"/>
          </w:tcPr>
          <w:p>
            <w:pPr>
              <w:pStyle w:val="TableContents"/>
              <w:bidi w:val="0"/>
              <w:spacing w:before="0" w:after="0"/>
              <w:ind w:left="0" w:right="0" w:hanging="0"/>
              <w:jc w:val="center"/>
              <w:rPr/>
            </w:pPr>
            <w:r>
              <w:rPr/>
              <w:t>​</w:t>
            </w:r>
          </w:p>
        </w:tc>
        <w:tc>
          <w:tcPr>
            <w:tcW w:w="311" w:type="dxa"/>
            <w:tcBorders/>
            <w:vAlign w:val="center"/>
          </w:tcPr>
          <w:p>
            <w:pPr>
              <w:pStyle w:val="TableContents"/>
              <w:bidi w:val="0"/>
              <w:spacing w:before="0" w:after="0"/>
              <w:ind w:left="0" w:right="0" w:hanging="0"/>
              <w:jc w:val="center"/>
              <w:rPr/>
            </w:pPr>
            <w:r>
              <w:rPr/>
              <w:t>​</w:t>
            </w:r>
          </w:p>
        </w:tc>
        <w:tc>
          <w:tcPr>
            <w:tcW w:w="118"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center"/>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sales (in thousands)</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853,996</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759,693</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w:t>
            </w:r>
          </w:p>
        </w:tc>
        <w:tc>
          <w:tcPr>
            <w:tcW w:w="5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Diluted earnings per share</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0.97</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w:t>
            </w:r>
          </w:p>
        </w:tc>
        <w:tc>
          <w:tcPr>
            <w:tcW w:w="5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pPr>
            <w:r>
              <w:rPr/>
              <w:t>​</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pPr>
            <w:r>
              <w:rPr/>
              <w:t>​</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margin</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18.4</w:t>
            </w:r>
          </w:p>
        </w:tc>
        <w:tc>
          <w:tcPr>
            <w:tcW w:w="3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18.1</w:t>
            </w:r>
          </w:p>
        </w:tc>
        <w:tc>
          <w:tcPr>
            <w:tcW w:w="3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margin</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w:t>
            </w:r>
          </w:p>
        </w:tc>
        <w:tc>
          <w:tcPr>
            <w:tcW w:w="3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w:t>
            </w:r>
          </w:p>
        </w:tc>
        <w:tc>
          <w:tcPr>
            <w:tcW w:w="3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pPr>
            <w:r>
              <w:rPr/>
              <w:t>​</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pPr>
            <w:r>
              <w:rPr/>
              <w:t>​</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Inventory turns </w:t>
            </w:r>
            <w:r>
              <w:rPr>
                <w:rFonts w:ascii="Arial;Helvetica;sans-serif" w:hAnsi="Arial;Helvetica;sans-serif"/>
                <w:sz w:val="15"/>
              </w:rPr>
              <w:t>(1)</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w:t>
            </w:r>
          </w:p>
        </w:tc>
        <w:tc>
          <w:tcPr>
            <w:tcW w:w="311" w:type="dxa"/>
            <w:tcBorders/>
            <w:vAlign w:val="center"/>
          </w:tcPr>
          <w:p>
            <w:pPr>
              <w:pStyle w:val="TableContents"/>
              <w:bidi w:val="0"/>
              <w:spacing w:before="0" w:after="0"/>
              <w:ind w:left="0" w:right="0" w:hanging="0"/>
              <w:jc w:val="left"/>
              <w:rPr/>
            </w:pPr>
            <w:r>
              <w:rPr/>
              <w:t>​</w:t>
            </w:r>
          </w:p>
        </w:tc>
        <w:tc>
          <w:tcPr>
            <w:tcW w:w="11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w:t>
            </w:r>
          </w:p>
        </w:tc>
        <w:tc>
          <w:tcPr>
            <w:tcW w:w="311" w:type="dxa"/>
            <w:tcBorders/>
            <w:vAlign w:val="center"/>
          </w:tcPr>
          <w:p>
            <w:pPr>
              <w:pStyle w:val="TableContents"/>
              <w:bidi w:val="0"/>
              <w:spacing w:before="0" w:after="0"/>
              <w:ind w:left="0" w:right="0" w:hanging="0"/>
              <w:jc w:val="left"/>
              <w:rPr/>
            </w:pPr>
            <w:r>
              <w:rPr/>
              <w:t>​</w:t>
            </w:r>
          </w:p>
        </w:tc>
        <w:tc>
          <w:tcPr>
            <w:tcW w:w="118"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Days sales outstanding </w:t>
            </w:r>
            <w:r>
              <w:rPr>
                <w:rFonts w:ascii="Arial;Helvetica;sans-serif" w:hAnsi="Arial;Helvetica;sans-serif"/>
                <w:sz w:val="15"/>
              </w:rPr>
              <w:t>(2)</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w:t>
            </w:r>
          </w:p>
        </w:tc>
        <w:tc>
          <w:tcPr>
            <w:tcW w:w="311" w:type="dxa"/>
            <w:tcBorders/>
            <w:vAlign w:val="center"/>
          </w:tcPr>
          <w:p>
            <w:pPr>
              <w:pStyle w:val="TableContents"/>
              <w:bidi w:val="0"/>
              <w:spacing w:before="0" w:after="0"/>
              <w:ind w:left="0" w:right="0" w:hanging="0"/>
              <w:jc w:val="left"/>
              <w:rPr/>
            </w:pPr>
            <w:r>
              <w:rPr/>
              <w:t>​</w:t>
            </w:r>
          </w:p>
        </w:tc>
        <w:tc>
          <w:tcPr>
            <w:tcW w:w="11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w:t>
            </w:r>
          </w:p>
        </w:tc>
        <w:tc>
          <w:tcPr>
            <w:tcW w:w="311" w:type="dxa"/>
            <w:tcBorders/>
            <w:vAlign w:val="center"/>
          </w:tcPr>
          <w:p>
            <w:pPr>
              <w:pStyle w:val="TableContents"/>
              <w:bidi w:val="0"/>
              <w:spacing w:before="0" w:after="0"/>
              <w:ind w:left="0" w:right="0" w:hanging="0"/>
              <w:jc w:val="left"/>
              <w:rPr/>
            </w:pPr>
            <w:r>
              <w:rPr/>
              <w:t>​</w:t>
            </w:r>
          </w:p>
        </w:tc>
        <w:tc>
          <w:tcPr>
            <w:tcW w:w="118"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w:t>
            </w:r>
          </w:p>
        </w:tc>
        <w:tc>
          <w:tcPr>
            <w:tcW w:w="11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w:t>
            </w:r>
          </w:p>
        </w:tc>
        <w:tc>
          <w:tcPr>
            <w:tcW w:w="118"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 of </w:t>
            </w:r>
          </w:p>
        </w:tc>
        <w:tc>
          <w:tcPr>
            <w:tcW w:w="311" w:type="dxa"/>
            <w:tcBorders/>
            <w:vAlign w:val="center"/>
          </w:tcPr>
          <w:p>
            <w:pPr>
              <w:pStyle w:val="TableContents"/>
              <w:bidi w:val="0"/>
              <w:spacing w:before="0" w:after="0"/>
              <w:ind w:left="0" w:right="0" w:hanging="0"/>
              <w:jc w:val="left"/>
              <w:rPr/>
            </w:pPr>
            <w:r>
              <w:rPr/>
              <w:t>​</w:t>
            </w:r>
          </w:p>
        </w:tc>
        <w:tc>
          <w:tcPr>
            <w:tcW w:w="11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 of </w:t>
            </w:r>
          </w:p>
        </w:tc>
        <w:tc>
          <w:tcPr>
            <w:tcW w:w="311" w:type="dxa"/>
            <w:tcBorders/>
            <w:vAlign w:val="center"/>
          </w:tcPr>
          <w:p>
            <w:pPr>
              <w:pStyle w:val="TableContents"/>
              <w:bidi w:val="0"/>
              <w:spacing w:before="0" w:after="0"/>
              <w:ind w:left="0" w:right="0" w:hanging="0"/>
              <w:jc w:val="left"/>
              <w:rPr/>
            </w:pPr>
            <w:r>
              <w:rPr/>
              <w:t>​</w:t>
            </w:r>
          </w:p>
        </w:tc>
        <w:tc>
          <w:tcPr>
            <w:tcW w:w="118"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Product Mix:</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Net Sales</w:t>
            </w:r>
          </w:p>
        </w:tc>
        <w:tc>
          <w:tcPr>
            <w:tcW w:w="311" w:type="dxa"/>
            <w:tcBorders/>
            <w:vAlign w:val="center"/>
          </w:tcPr>
          <w:p>
            <w:pPr>
              <w:pStyle w:val="TableContents"/>
              <w:bidi w:val="0"/>
              <w:spacing w:before="0" w:after="0"/>
              <w:ind w:left="0" w:right="0" w:hanging="0"/>
              <w:jc w:val="left"/>
              <w:rPr/>
            </w:pPr>
            <w:r>
              <w:rPr/>
              <w:t>​</w:t>
            </w:r>
          </w:p>
        </w:tc>
        <w:tc>
          <w:tcPr>
            <w:tcW w:w="11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Net Sales</w:t>
            </w:r>
          </w:p>
        </w:tc>
        <w:tc>
          <w:tcPr>
            <w:tcW w:w="311" w:type="dxa"/>
            <w:tcBorders/>
            <w:vAlign w:val="center"/>
          </w:tcPr>
          <w:p>
            <w:pPr>
              <w:pStyle w:val="TableContents"/>
              <w:bidi w:val="0"/>
              <w:spacing w:before="0" w:after="0"/>
              <w:ind w:left="0" w:right="0" w:hanging="0"/>
              <w:jc w:val="left"/>
              <w:rPr/>
            </w:pPr>
            <w:r>
              <w:rPr/>
              <w:t>​</w:t>
            </w:r>
          </w:p>
        </w:tc>
        <w:tc>
          <w:tcPr>
            <w:tcW w:w="118"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Notebooks/Mobility</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w:t>
            </w:r>
          </w:p>
        </w:tc>
        <w:tc>
          <w:tcPr>
            <w:tcW w:w="3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w:t>
            </w:r>
          </w:p>
        </w:tc>
        <w:tc>
          <w:tcPr>
            <w:tcW w:w="3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Desktops</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pPr>
            <w:r>
              <w:rPr/>
              <w:t>​</w:t>
            </w:r>
          </w:p>
        </w:tc>
        <w:tc>
          <w:tcPr>
            <w:tcW w:w="561" w:type="dxa"/>
            <w:tcBorders/>
            <w:vAlign w:val="center"/>
          </w:tcPr>
          <w:p>
            <w:pPr>
              <w:pStyle w:val="TableContents"/>
              <w:bidi w:val="0"/>
              <w:spacing w:before="0" w:after="0"/>
              <w:ind w:left="0" w:right="0" w:hanging="0"/>
              <w:jc w:val="righ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Accessories</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pPr>
            <w:r>
              <w:rPr/>
              <w:t>​</w:t>
            </w:r>
          </w:p>
        </w:tc>
        <w:tc>
          <w:tcPr>
            <w:tcW w:w="561" w:type="dxa"/>
            <w:tcBorders/>
            <w:vAlign w:val="center"/>
          </w:tcPr>
          <w:p>
            <w:pPr>
              <w:pStyle w:val="TableContents"/>
              <w:bidi w:val="0"/>
              <w:spacing w:before="0" w:after="0"/>
              <w:ind w:left="0" w:right="0" w:hanging="0"/>
              <w:jc w:val="righ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Software</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pPr>
            <w:r>
              <w:rPr/>
              <w:t>​</w:t>
            </w:r>
          </w:p>
        </w:tc>
        <w:tc>
          <w:tcPr>
            <w:tcW w:w="561" w:type="dxa"/>
            <w:tcBorders/>
            <w:vAlign w:val="center"/>
          </w:tcPr>
          <w:p>
            <w:pPr>
              <w:pStyle w:val="TableContents"/>
              <w:bidi w:val="0"/>
              <w:spacing w:before="0" w:after="0"/>
              <w:ind w:left="0" w:right="0" w:hanging="0"/>
              <w:jc w:val="righ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Displays and Sound</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pPr>
            <w:r>
              <w:rPr/>
              <w:t>​</w:t>
            </w:r>
          </w:p>
        </w:tc>
        <w:tc>
          <w:tcPr>
            <w:tcW w:w="561" w:type="dxa"/>
            <w:tcBorders/>
            <w:vAlign w:val="center"/>
          </w:tcPr>
          <w:p>
            <w:pPr>
              <w:pStyle w:val="TableContents"/>
              <w:bidi w:val="0"/>
              <w:spacing w:before="0" w:after="0"/>
              <w:ind w:left="0" w:right="0" w:hanging="0"/>
              <w:jc w:val="righ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Servers/Storage</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pPr>
            <w:r>
              <w:rPr/>
              <w:t>​</w:t>
            </w:r>
          </w:p>
        </w:tc>
        <w:tc>
          <w:tcPr>
            <w:tcW w:w="561" w:type="dxa"/>
            <w:tcBorders/>
            <w:vAlign w:val="center"/>
          </w:tcPr>
          <w:p>
            <w:pPr>
              <w:pStyle w:val="TableContents"/>
              <w:bidi w:val="0"/>
              <w:spacing w:before="0" w:after="0"/>
              <w:ind w:left="0" w:right="0" w:hanging="0"/>
              <w:jc w:val="righ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Net/Com Products</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pPr>
            <w:r>
              <w:rPr/>
              <w:t>​</w:t>
            </w:r>
          </w:p>
        </w:tc>
        <w:tc>
          <w:tcPr>
            <w:tcW w:w="561" w:type="dxa"/>
            <w:tcBorders/>
            <w:vAlign w:val="center"/>
          </w:tcPr>
          <w:p>
            <w:pPr>
              <w:pStyle w:val="TableContents"/>
              <w:bidi w:val="0"/>
              <w:spacing w:before="0" w:after="0"/>
              <w:ind w:left="0" w:right="0" w:hanging="0"/>
              <w:jc w:val="righ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Hardware/Services</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 Net Sales</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pPr>
            <w:r>
              <w:rPr/>
              <w:t>​</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pPr>
            <w:r>
              <w:rPr/>
              <w:t>​</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Stock Performance Indicators:</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w:t>
            </w:r>
          </w:p>
        </w:tc>
        <w:tc>
          <w:tcPr>
            <w:tcW w:w="11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w:t>
            </w:r>
          </w:p>
        </w:tc>
        <w:tc>
          <w:tcPr>
            <w:tcW w:w="118"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Actual shares outstanding (in thousands)</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25,238</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25,396</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Closing price</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72.99</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65.78</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Market capitalization (in thousands)</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1,842,122</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1,670,549</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Trailing price/earnings ratio </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19.3</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20.1</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LTM Net Income (in thousands)</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95,843</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86,050</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LTM Adjusted EBITDA </w:t>
            </w:r>
            <w:r>
              <w:rPr>
                <w:rFonts w:ascii="Arial;Helvetica;sans-serif" w:hAnsi="Arial;Helvetica;sans-serif"/>
                <w:sz w:val="15"/>
              </w:rPr>
              <w:t>(3)</w:t>
            </w:r>
            <w:r>
              <w:rPr>
                <w:rFonts w:ascii="Times New Roman;Times;serif" w:hAnsi="Times New Roman;Times;serif"/>
                <w:sz w:val="20"/>
              </w:rPr>
              <w:t xml:space="preserve"> </w:t>
            </w:r>
            <w:r>
              <w:rPr>
                <w:rFonts w:ascii="Arial;Helvetica;sans-serif" w:hAnsi="Arial;Helvetica;sans-serif"/>
                <w:sz w:val="20"/>
              </w:rPr>
              <w:t>(in thousands)</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144,480</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122,461</w:t>
            </w:r>
          </w:p>
        </w:tc>
        <w:tc>
          <w:tcPr>
            <w:tcW w:w="311"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annualized cost of goods sold for the period divided by the average inventory for the prior four-month period.</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trade receivable at the end of the period divided by average daily net sales for the same three-month period.</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998"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LTM Adjusted EBITDA is a non-GAAP measure defined as EBITDA (earnings before interest, taxes, depreciation and amortization) adjusted for stock-based compensation, severance expenses and non-routine legal settlements for the last twelve months. See page 9</w:t>
            </w:r>
            <w:r>
              <w:rPr>
                <w:caps w:val="false"/>
                <w:smallCaps w:val="false"/>
              </w:rPr>
              <w:t xml:space="preserve"> </w:t>
            </w:r>
            <w:r>
              <w:rPr>
                <w:rFonts w:ascii="Arial;Helvetica;sans-serif" w:hAnsi="Arial;Helvetica;sans-serif"/>
                <w:b w:val="false"/>
                <w:i w:val="false"/>
                <w:caps w:val="false"/>
                <w:smallCaps w:val="false"/>
                <w:sz w:val="20"/>
              </w:rPr>
              <w:t>for a reconciliation.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4"/>
        </w:rPr>
      </w:pPr>
      <w:r>
        <w:rPr>
          <w:rFonts w:ascii="Arial;Helvetica;sans-serif" w:hAnsi="Arial;Helvetica;sans-serif"/>
          <w:b/>
          <w:sz w:val="24"/>
        </w:rPr>
        <w:t>REVENUE AND MARGIN INFORMATION</w:t>
      </w:r>
    </w:p>
    <w:p>
      <w:pPr>
        <w:pStyle w:val="TextBody"/>
        <w:bidi w:val="0"/>
        <w:spacing w:before="0" w:after="0"/>
        <w:ind w:left="0" w:right="0" w:hanging="0"/>
        <w:jc w:val="left"/>
        <w:rPr/>
      </w:pPr>
      <w:r>
        <w:rPr/>
        <w:t>​</w:t>
      </w:r>
    </w:p>
    <w:tbl>
      <w:tblPr>
        <w:tblW w:w="6190" w:type="dxa"/>
        <w:jc w:val="left"/>
        <w:tblInd w:w="0" w:type="dxa"/>
        <w:tblLayout w:type="fixed"/>
        <w:tblCellMar>
          <w:top w:w="0" w:type="dxa"/>
          <w:left w:w="0" w:type="dxa"/>
          <w:bottom w:w="0" w:type="dxa"/>
          <w:right w:w="0" w:type="dxa"/>
        </w:tblCellMar>
      </w:tblPr>
      <w:tblGrid>
        <w:gridCol w:w="2161"/>
        <w:gridCol w:w="109"/>
        <w:gridCol w:w="211"/>
        <w:gridCol w:w="796"/>
        <w:gridCol w:w="109"/>
        <w:gridCol w:w="481"/>
        <w:gridCol w:w="286"/>
        <w:gridCol w:w="109"/>
        <w:gridCol w:w="211"/>
        <w:gridCol w:w="796"/>
        <w:gridCol w:w="109"/>
        <w:gridCol w:w="481"/>
        <w:gridCol w:w="331"/>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72235" cy="175260"/>
                      <wp:effectExtent l="0" t="0" r="0" b="0"/>
                      <wp:wrapNone/>
                      <wp:docPr id="15" name="Frame14"/>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9215" cy="175260"/>
                      <wp:effectExtent l="0" t="0" r="0" b="0"/>
                      <wp:wrapNone/>
                      <wp:docPr id="16" name="Frame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05460" cy="175260"/>
                      <wp:effectExtent l="0" t="0" r="0" b="0"/>
                      <wp:wrapNone/>
                      <wp:docPr id="18" name="Frame1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9215" cy="175260"/>
                      <wp:effectExtent l="0" t="0" r="0" b="0"/>
                      <wp:wrapNone/>
                      <wp:docPr id="19" name="Frame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305435" cy="175260"/>
                      <wp:effectExtent l="0" t="0" r="0" b="0"/>
                      <wp:wrapNone/>
                      <wp:docPr id="20" name="Frame19"/>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81610" cy="175260"/>
                      <wp:effectExtent l="0" t="0" r="0" b="0"/>
                      <wp:wrapNone/>
                      <wp:docPr id="21" name="Frame2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9215" cy="175260"/>
                      <wp:effectExtent l="0" t="0" r="0" b="0"/>
                      <wp:wrapNone/>
                      <wp:docPr id="22" name="Frame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05460" cy="175260"/>
                      <wp:effectExtent l="0" t="0" r="0" b="0"/>
                      <wp:wrapNone/>
                      <wp:docPr id="24" name="Frame2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175260"/>
                      <wp:effectExtent l="0" t="0" r="0" b="0"/>
                      <wp:wrapNone/>
                      <wp:docPr id="25"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05435" cy="175260"/>
                      <wp:effectExtent l="0" t="0" r="0" b="0"/>
                      <wp:wrapNone/>
                      <wp:docPr id="26" name="Frame25"/>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0185" cy="175260"/>
                      <wp:effectExtent l="0" t="0" r="0" b="0"/>
                      <wp:wrapNone/>
                      <wp:docPr id="27" name="Frame26"/>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2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For the Three Months Ended June 30, </w:t>
            </w:r>
          </w:p>
        </w:tc>
      </w:tr>
      <w:tr>
        <w:trPr/>
        <w:tc>
          <w:tcPr>
            <w:tcW w:w="21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109" w:type="dxa"/>
            <w:tcBorders/>
            <w:vAlign w:val="center"/>
          </w:tcPr>
          <w:p>
            <w:pPr>
              <w:pStyle w:val="TableContents"/>
              <w:bidi w:val="0"/>
              <w:spacing w:before="0" w:after="0"/>
              <w:ind w:left="0" w:right="0" w:hanging="0"/>
              <w:jc w:val="center"/>
              <w:rPr/>
            </w:pPr>
            <w:r>
              <w:rPr/>
              <w:t>​</w:t>
            </w:r>
          </w:p>
        </w:tc>
        <w:tc>
          <w:tcPr>
            <w:tcW w:w="19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21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Net</w:t>
            </w:r>
          </w:p>
        </w:tc>
        <w:tc>
          <w:tcPr>
            <w:tcW w:w="109" w:type="dxa"/>
            <w:tcBorders/>
            <w:vAlign w:val="center"/>
          </w:tcPr>
          <w:p>
            <w:pPr>
              <w:pStyle w:val="TableContents"/>
              <w:bidi w:val="0"/>
              <w:spacing w:before="0" w:after="0"/>
              <w:ind w:left="0" w:right="0" w:hanging="0"/>
              <w:jc w:val="center"/>
              <w:rPr/>
            </w:pPr>
            <w:r>
              <w:rPr/>
              <w:t>​</w:t>
            </w:r>
          </w:p>
        </w:tc>
        <w:tc>
          <w:tcPr>
            <w:tcW w:w="767"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Gross </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Net</w:t>
            </w:r>
          </w:p>
        </w:tc>
        <w:tc>
          <w:tcPr>
            <w:tcW w:w="109" w:type="dxa"/>
            <w:tcBorders/>
            <w:vAlign w:val="center"/>
          </w:tcPr>
          <w:p>
            <w:pPr>
              <w:pStyle w:val="TableContents"/>
              <w:bidi w:val="0"/>
              <w:spacing w:before="0" w:after="0"/>
              <w:ind w:left="0" w:right="0" w:hanging="0"/>
              <w:jc w:val="center"/>
              <w:rPr/>
            </w:pPr>
            <w:r>
              <w:rPr/>
              <w:t>​</w:t>
            </w:r>
          </w:p>
        </w:tc>
        <w:tc>
          <w:tcPr>
            <w:tcW w:w="812"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Gross </w:t>
            </w:r>
          </w:p>
        </w:tc>
      </w:tr>
      <w:tr>
        <w:trPr/>
        <w:tc>
          <w:tcPr>
            <w:tcW w:w="2161" w:type="dxa"/>
            <w:tcBorders/>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(amounts in thousands)</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Sales</w:t>
            </w:r>
          </w:p>
        </w:tc>
        <w:tc>
          <w:tcPr>
            <w:tcW w:w="109" w:type="dxa"/>
            <w:tcBorders/>
            <w:vAlign w:val="center"/>
          </w:tcPr>
          <w:p>
            <w:pPr>
              <w:pStyle w:val="TableContents"/>
              <w:bidi w:val="0"/>
              <w:spacing w:before="0" w:after="0"/>
              <w:ind w:left="0" w:right="0" w:hanging="0"/>
              <w:jc w:val="center"/>
              <w:rPr/>
            </w:pPr>
            <w:r>
              <w:rPr/>
              <w:t>​</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Margin</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Sales</w:t>
            </w:r>
          </w:p>
        </w:tc>
        <w:tc>
          <w:tcPr>
            <w:tcW w:w="109" w:type="dxa"/>
            <w:tcBorders/>
            <w:vAlign w:val="center"/>
          </w:tcPr>
          <w:p>
            <w:pPr>
              <w:pStyle w:val="TableContents"/>
              <w:bidi w:val="0"/>
              <w:spacing w:before="0" w:after="0"/>
              <w:ind w:left="0" w:right="0" w:hanging="0"/>
              <w:jc w:val="center"/>
              <w:rPr/>
            </w:pPr>
            <w:r>
              <w:rPr/>
              <w:t>​</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Margin</w:t>
            </w:r>
          </w:p>
        </w:tc>
      </w:tr>
      <w:tr>
        <w:trPr/>
        <w:tc>
          <w:tcPr>
            <w:tcW w:w="21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Enterprise Solutions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369,620</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14.9</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326,011</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14.6</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1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Business Solutions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343,870</w:t>
            </w:r>
          </w:p>
        </w:tc>
        <w:tc>
          <w:tcPr>
            <w:tcW w:w="109" w:type="dxa"/>
            <w:tcBorders/>
            <w:vAlign w:val="center"/>
          </w:tcPr>
          <w:p>
            <w:pPr>
              <w:pStyle w:val="TableContents"/>
              <w:bidi w:val="0"/>
              <w:spacing w:before="0" w:after="0"/>
              <w:ind w:left="0" w:right="0" w:hanging="0"/>
              <w:jc w:val="right"/>
              <w:rPr/>
            </w:pPr>
            <w:r>
              <w:rPr/>
              <w:t>​</w:t>
            </w:r>
          </w:p>
        </w:tc>
        <w:tc>
          <w:tcPr>
            <w:tcW w:w="4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23.0</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293,168</w:t>
            </w:r>
          </w:p>
        </w:tc>
        <w:tc>
          <w:tcPr>
            <w:tcW w:w="109" w:type="dxa"/>
            <w:tcBorders/>
            <w:vAlign w:val="center"/>
          </w:tcPr>
          <w:p>
            <w:pPr>
              <w:pStyle w:val="TableContents"/>
              <w:bidi w:val="0"/>
              <w:spacing w:before="0" w:after="0"/>
              <w:ind w:left="0" w:right="0" w:hanging="0"/>
              <w:jc w:val="right"/>
              <w:rPr/>
            </w:pPr>
            <w:r>
              <w:rPr/>
              <w:t>​</w:t>
            </w:r>
          </w:p>
        </w:tc>
        <w:tc>
          <w:tcPr>
            <w:tcW w:w="4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23.5</w:t>
            </w:r>
          </w:p>
        </w:tc>
        <w:tc>
          <w:tcPr>
            <w:tcW w:w="331" w:type="dxa"/>
            <w:tcBorders/>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Public Sector Solutions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140,506</w:t>
            </w:r>
          </w:p>
        </w:tc>
        <w:tc>
          <w:tcPr>
            <w:tcW w:w="109" w:type="dxa"/>
            <w:tcBorders/>
            <w:vAlign w:val="center"/>
          </w:tcPr>
          <w:p>
            <w:pPr>
              <w:pStyle w:val="TableContents"/>
              <w:bidi w:val="0"/>
              <w:spacing w:before="0" w:after="0"/>
              <w:ind w:left="0" w:right="0" w:hanging="0"/>
              <w:jc w:val="right"/>
              <w:rPr/>
            </w:pPr>
            <w:r>
              <w:rPr/>
              <w:t>​</w:t>
            </w:r>
          </w:p>
        </w:tc>
        <w:tc>
          <w:tcPr>
            <w:tcW w:w="4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16.5</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140,514</w:t>
            </w:r>
          </w:p>
        </w:tc>
        <w:tc>
          <w:tcPr>
            <w:tcW w:w="109" w:type="dxa"/>
            <w:tcBorders/>
            <w:vAlign w:val="center"/>
          </w:tcPr>
          <w:p>
            <w:pPr>
              <w:pStyle w:val="TableContents"/>
              <w:bidi w:val="0"/>
              <w:spacing w:before="0" w:after="0"/>
              <w:ind w:left="0" w:right="0" w:hanging="0"/>
              <w:jc w:val="right"/>
              <w:rPr/>
            </w:pPr>
            <w:r>
              <w:rPr/>
              <w:t>​</w:t>
            </w:r>
          </w:p>
        </w:tc>
        <w:tc>
          <w:tcPr>
            <w:tcW w:w="4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15.2</w:t>
            </w:r>
          </w:p>
        </w:tc>
        <w:tc>
          <w:tcPr>
            <w:tcW w:w="331" w:type="dxa"/>
            <w:tcBorders/>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853,996</w:t>
            </w:r>
          </w:p>
        </w:tc>
        <w:tc>
          <w:tcPr>
            <w:tcW w:w="109" w:type="dxa"/>
            <w:tcBorders/>
            <w:vAlign w:val="center"/>
          </w:tcPr>
          <w:p>
            <w:pPr>
              <w:pStyle w:val="TableContents"/>
              <w:bidi w:val="0"/>
              <w:spacing w:before="0" w:after="0"/>
              <w:ind w:left="0" w:right="0" w:hanging="0"/>
              <w:jc w:val="right"/>
              <w:rPr/>
            </w:pPr>
            <w:r>
              <w:rPr/>
              <w:t>​</w:t>
            </w:r>
          </w:p>
        </w:tc>
        <w:tc>
          <w:tcPr>
            <w:tcW w:w="4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18.4</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759,693</w:t>
            </w:r>
          </w:p>
        </w:tc>
        <w:tc>
          <w:tcPr>
            <w:tcW w:w="109" w:type="dxa"/>
            <w:tcBorders/>
            <w:vAlign w:val="center"/>
          </w:tcPr>
          <w:p>
            <w:pPr>
              <w:pStyle w:val="TableContents"/>
              <w:bidi w:val="0"/>
              <w:spacing w:before="0" w:after="0"/>
              <w:ind w:left="0" w:right="0" w:hanging="0"/>
              <w:jc w:val="right"/>
              <w:rPr/>
            </w:pPr>
            <w:r>
              <w:rPr/>
              <w:t>​</w:t>
            </w:r>
          </w:p>
        </w:tc>
        <w:tc>
          <w:tcPr>
            <w:tcW w:w="4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18.1</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Arial;Helvetica;sans-serif" w:hAnsi="Arial;Helvetica;sans-serif"/>
          <w:b/>
          <w:sz w:val="24"/>
        </w:rPr>
      </w:pPr>
      <w:r>
        <w:rPr>
          <w:rFonts w:ascii="Arial;Helvetica;sans-serif" w:hAnsi="Arial;Helvetica;sans-serif"/>
          <w:b/>
          <w:sz w:val="24"/>
        </w:rPr>
        <w:t>CONDENSED CONSOLIDATED STATEMENTS OF INCOME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466"/>
        <w:gridCol w:w="109"/>
        <w:gridCol w:w="268"/>
        <w:gridCol w:w="1027"/>
        <w:gridCol w:w="138"/>
        <w:gridCol w:w="268"/>
        <w:gridCol w:w="1012"/>
        <w:gridCol w:w="226"/>
        <w:gridCol w:w="226"/>
        <w:gridCol w:w="1034"/>
        <w:gridCol w:w="116"/>
        <w:gridCol w:w="226"/>
        <w:gridCol w:w="1089"/>
      </w:tblGrid>
      <w:tr>
        <w:trPr/>
        <w:tc>
          <w:tcPr>
            <w:tcW w:w="4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835910" cy="175260"/>
                      <wp:effectExtent l="0" t="0" r="0" b="0"/>
                      <wp:wrapNone/>
                      <wp:docPr id="28" name="Frame27"/>
                      <a:graphic xmlns:a="http://schemas.openxmlformats.org/drawingml/2006/main">
                        <a:graphicData uri="http://schemas.microsoft.com/office/word/2010/wordprocessingShape">
                          <wps:wsp>
                            <wps:cNvSpPr txBox="1"/>
                            <wps:spPr>
                              <a:xfrm>
                                <a:off x="0" y="0"/>
                                <a:ext cx="283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9215" cy="175260"/>
                      <wp:effectExtent l="0" t="0" r="0" b="0"/>
                      <wp:wrapNone/>
                      <wp:docPr id="29" name="Frame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70180" cy="175260"/>
                      <wp:effectExtent l="0" t="0" r="0" b="0"/>
                      <wp:wrapNone/>
                      <wp:docPr id="30" name="Frame29"/>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52145" cy="175260"/>
                      <wp:effectExtent l="0" t="0" r="0" b="0"/>
                      <wp:wrapNone/>
                      <wp:docPr id="31" name="Frame30"/>
                      <a:graphic xmlns:a="http://schemas.openxmlformats.org/drawingml/2006/main">
                        <a:graphicData uri="http://schemas.microsoft.com/office/word/2010/wordprocessingShape">
                          <wps:wsp>
                            <wps:cNvSpPr txBox="1"/>
                            <wps:spPr>
                              <a:xfrm>
                                <a:off x="0" y="0"/>
                                <a:ext cx="652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87630" cy="175260"/>
                      <wp:effectExtent l="0" t="0" r="0" b="0"/>
                      <wp:wrapNone/>
                      <wp:docPr id="32" name="Frame31"/>
                      <a:graphic xmlns:a="http://schemas.openxmlformats.org/drawingml/2006/main">
                        <a:graphicData uri="http://schemas.microsoft.com/office/word/2010/wordprocessingShape">
                          <wps:wsp>
                            <wps:cNvSpPr txBox="1"/>
                            <wps:spPr>
                              <a:xfrm>
                                <a:off x="0" y="0"/>
                                <a:ext cx="87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70180" cy="175260"/>
                      <wp:effectExtent l="0" t="0" r="0" b="0"/>
                      <wp:wrapNone/>
                      <wp:docPr id="33" name="Frame32"/>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2620" cy="175260"/>
                      <wp:effectExtent l="0" t="0" r="0" b="0"/>
                      <wp:wrapNone/>
                      <wp:docPr id="34" name="Frame33"/>
                      <a:graphic xmlns:a="http://schemas.openxmlformats.org/drawingml/2006/main">
                        <a:graphicData uri="http://schemas.microsoft.com/office/word/2010/wordprocessingShape">
                          <wps:wsp>
                            <wps:cNvSpPr txBox="1"/>
                            <wps:spPr>
                              <a:xfrm>
                                <a:off x="0" y="0"/>
                                <a:ext cx="642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43510" cy="175260"/>
                      <wp:effectExtent l="0" t="0" r="0" b="0"/>
                      <wp:wrapNone/>
                      <wp:docPr id="35" name="Frame3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43510" cy="175260"/>
                      <wp:effectExtent l="0" t="0" r="0" b="0"/>
                      <wp:wrapNone/>
                      <wp:docPr id="36" name="Frame3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56590" cy="175260"/>
                      <wp:effectExtent l="0" t="0" r="0" b="0"/>
                      <wp:wrapNone/>
                      <wp:docPr id="37" name="Frame36"/>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73660" cy="175260"/>
                      <wp:effectExtent l="0" t="0" r="0" b="0"/>
                      <wp:wrapNone/>
                      <wp:docPr id="38" name="Frame37"/>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43510" cy="175260"/>
                      <wp:effectExtent l="0" t="0" r="0" b="0"/>
                      <wp:wrapNone/>
                      <wp:docPr id="39" name="Frame3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91515" cy="175260"/>
                      <wp:effectExtent l="0" t="0" r="0" b="0"/>
                      <wp:wrapNone/>
                      <wp:docPr id="40" name="Frame39"/>
                      <a:graphic xmlns:a="http://schemas.openxmlformats.org/drawingml/2006/main">
                        <a:graphicData uri="http://schemas.microsoft.com/office/word/2010/wordprocessingShape">
                          <wps:wsp>
                            <wps:cNvSpPr txBox="1"/>
                            <wps:spPr>
                              <a:xfrm>
                                <a:off x="0" y="0"/>
                                <a:ext cx="691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Three Months Ended June 30, </w:t>
            </w:r>
          </w:p>
        </w:tc>
        <w:tc>
          <w:tcPr>
            <w:tcW w:w="226" w:type="dxa"/>
            <w:tcBorders/>
            <w:vAlign w:val="center"/>
          </w:tcPr>
          <w:p>
            <w:pPr>
              <w:pStyle w:val="TableContents"/>
              <w:bidi w:val="0"/>
              <w:spacing w:before="0" w:after="0"/>
              <w:ind w:left="0" w:right="0" w:hanging="0"/>
              <w:jc w:val="left"/>
              <w:rPr/>
            </w:pPr>
            <w:r>
              <w:rPr/>
              <w:t>  ​</w:t>
            </w:r>
          </w:p>
        </w:tc>
        <w:tc>
          <w:tcPr>
            <w:tcW w:w="269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Six Months Ended June 30, </w:t>
            </w:r>
          </w:p>
        </w:tc>
      </w:tr>
      <w:tr>
        <w:trPr/>
        <w:tc>
          <w:tcPr>
            <w:tcW w:w="4466" w:type="dxa"/>
            <w:tcBorders/>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(amounts in thousands, except per share data)</w:t>
            </w:r>
          </w:p>
        </w:tc>
        <w:tc>
          <w:tcPr>
            <w:tcW w:w="109" w:type="dxa"/>
            <w:tcBorders/>
            <w:vAlign w:val="center"/>
          </w:tcPr>
          <w:p>
            <w:pPr>
              <w:pStyle w:val="TableContents"/>
              <w:bidi w:val="0"/>
              <w:spacing w:before="0" w:after="0"/>
              <w:ind w:left="0" w:right="0" w:hanging="0"/>
              <w:jc w:val="left"/>
              <w:rPr/>
            </w:pPr>
            <w:r>
              <w:rPr/>
              <w:t>​</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138" w:type="dxa"/>
            <w:tcBorders/>
            <w:vAlign w:val="center"/>
          </w:tcPr>
          <w:p>
            <w:pPr>
              <w:pStyle w:val="TableContents"/>
              <w:bidi w:val="0"/>
              <w:spacing w:before="0" w:after="0"/>
              <w:ind w:left="0" w:right="0" w:hanging="0"/>
              <w:jc w:val="center"/>
              <w:rPr/>
            </w:pPr>
            <w:r>
              <w:rPr/>
              <w:t>​</w:t>
            </w:r>
          </w:p>
        </w:tc>
        <w:tc>
          <w:tcPr>
            <w:tcW w:w="12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226" w:type="dxa"/>
            <w:tcBorders/>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116" w:type="dxa"/>
            <w:tcBorders/>
            <w:vAlign w:val="center"/>
          </w:tcPr>
          <w:p>
            <w:pPr>
              <w:pStyle w:val="TableContents"/>
              <w:bidi w:val="0"/>
              <w:spacing w:before="0" w:after="0"/>
              <w:ind w:left="0" w:right="0" w:hanging="0"/>
              <w:jc w:val="center"/>
              <w:rPr/>
            </w:pPr>
            <w:r>
              <w:rPr/>
              <w:t>​</w:t>
            </w:r>
          </w:p>
        </w:tc>
        <w:tc>
          <w:tcPr>
            <w:tcW w:w="13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44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sales</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853,996</w:t>
            </w:r>
          </w:p>
        </w:tc>
        <w:tc>
          <w:tcPr>
            <w:tcW w:w="138" w:type="dxa"/>
            <w:tcBorders/>
            <w:vAlign w:val="center"/>
          </w:tcPr>
          <w:p>
            <w:pPr>
              <w:pStyle w:val="TableContents"/>
              <w:bidi w:val="0"/>
              <w:spacing w:before="0" w:after="0"/>
              <w:ind w:left="0" w:right="0" w:hanging="0"/>
              <w:jc w:val="right"/>
              <w:rPr/>
            </w:pPr>
            <w:r>
              <w:rPr/>
              <w:t>​</w:t>
            </w:r>
          </w:p>
        </w:tc>
        <w:tc>
          <w:tcPr>
            <w:tcW w:w="26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1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759,693</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1,575,862</w:t>
            </w:r>
          </w:p>
        </w:tc>
        <w:tc>
          <w:tcPr>
            <w:tcW w:w="11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8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1,460,739</w:t>
            </w:r>
          </w:p>
        </w:tc>
      </w:tr>
      <w:tr>
        <w:trPr/>
        <w:tc>
          <w:tcPr>
            <w:tcW w:w="44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Cost of sales</w:t>
            </w:r>
          </w:p>
        </w:tc>
        <w:tc>
          <w:tcPr>
            <w:tcW w:w="109"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696,523</w:t>
            </w:r>
          </w:p>
        </w:tc>
        <w:tc>
          <w:tcPr>
            <w:tcW w:w="138"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621,927</w:t>
            </w:r>
          </w:p>
        </w:tc>
        <w:tc>
          <w:tcPr>
            <w:tcW w:w="2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1,285,652</w:t>
            </w:r>
          </w:p>
        </w:tc>
        <w:tc>
          <w:tcPr>
            <w:tcW w:w="11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1,195,662</w:t>
            </w:r>
          </w:p>
        </w:tc>
      </w:tr>
      <w:tr>
        <w:trPr/>
        <w:tc>
          <w:tcPr>
            <w:tcW w:w="446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Gross profit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157,473</w:t>
            </w:r>
          </w:p>
        </w:tc>
        <w:tc>
          <w:tcPr>
            <w:tcW w:w="138"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137,766</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290,210</w:t>
            </w:r>
          </w:p>
        </w:tc>
        <w:tc>
          <w:tcPr>
            <w:tcW w:w="1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8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265,077</w:t>
            </w:r>
          </w:p>
        </w:tc>
      </w:tr>
      <w:tr>
        <w:trPr/>
        <w:tc>
          <w:tcPr>
            <w:tcW w:w="44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Selling, general and administrative expenses</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114,461</w:t>
            </w:r>
          </w:p>
        </w:tc>
        <w:tc>
          <w:tcPr>
            <w:tcW w:w="138"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106,869</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223,913</w:t>
            </w:r>
          </w:p>
        </w:tc>
        <w:tc>
          <w:tcPr>
            <w:tcW w:w="1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8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216,728</w:t>
            </w:r>
          </w:p>
        </w:tc>
      </w:tr>
      <w:tr>
        <w:trPr/>
        <w:tc>
          <w:tcPr>
            <w:tcW w:w="44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Severance expenses</w:t>
            </w:r>
          </w:p>
        </w:tc>
        <w:tc>
          <w:tcPr>
            <w:tcW w:w="109"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38"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3,060</w:t>
            </w:r>
          </w:p>
        </w:tc>
        <w:tc>
          <w:tcPr>
            <w:tcW w:w="11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2,930</w:t>
            </w:r>
          </w:p>
        </w:tc>
      </w:tr>
      <w:tr>
        <w:trPr/>
        <w:tc>
          <w:tcPr>
            <w:tcW w:w="446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Income from operations</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43,012</w:t>
            </w:r>
          </w:p>
        </w:tc>
        <w:tc>
          <w:tcPr>
            <w:tcW w:w="138"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30,897</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63,237</w:t>
            </w:r>
          </w:p>
        </w:tc>
        <w:tc>
          <w:tcPr>
            <w:tcW w:w="1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8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45,419</w:t>
            </w:r>
          </w:p>
        </w:tc>
      </w:tr>
      <w:tr>
        <w:trPr/>
        <w:tc>
          <w:tcPr>
            <w:tcW w:w="44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income, net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2,525</w:t>
            </w:r>
          </w:p>
        </w:tc>
        <w:tc>
          <w:tcPr>
            <w:tcW w:w="138"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3,216</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5,888</w:t>
            </w:r>
          </w:p>
        </w:tc>
        <w:tc>
          <w:tcPr>
            <w:tcW w:w="1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8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7,116</w:t>
            </w:r>
          </w:p>
        </w:tc>
      </w:tr>
      <w:tr>
        <w:trPr/>
        <w:tc>
          <w:tcPr>
            <w:tcW w:w="44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income</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pPr>
            <w:r>
              <w:rPr/>
              <w:t>—</w:t>
            </w:r>
          </w:p>
        </w:tc>
        <w:tc>
          <w:tcPr>
            <w:tcW w:w="138"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right"/>
              <w:rPr/>
            </w:pPr>
            <w:r>
              <w:rPr/>
              <w:t>—</w:t>
            </w:r>
          </w:p>
        </w:tc>
        <w:tc>
          <w:tcPr>
            <w:tcW w:w="1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8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w:t>
            </w:r>
          </w:p>
        </w:tc>
      </w:tr>
      <w:tr>
        <w:trPr/>
        <w:tc>
          <w:tcPr>
            <w:tcW w:w="44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tax provision</w:t>
            </w:r>
          </w:p>
        </w:tc>
        <w:tc>
          <w:tcPr>
            <w:tcW w:w="109"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(12,369)</w:t>
            </w:r>
          </w:p>
        </w:tc>
        <w:tc>
          <w:tcPr>
            <w:tcW w:w="138"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(9,324)</w:t>
            </w:r>
          </w:p>
        </w:tc>
        <w:tc>
          <w:tcPr>
            <w:tcW w:w="2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(18,734)</w:t>
            </w:r>
          </w:p>
        </w:tc>
        <w:tc>
          <w:tcPr>
            <w:tcW w:w="11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(14,341)</w:t>
            </w:r>
          </w:p>
        </w:tc>
      </w:tr>
      <w:tr>
        <w:trPr/>
        <w:tc>
          <w:tcPr>
            <w:tcW w:w="446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Net income</w:t>
            </w:r>
          </w:p>
        </w:tc>
        <w:tc>
          <w:tcPr>
            <w:tcW w:w="109" w:type="dxa"/>
            <w:tcBorders/>
            <w:vAlign w:val="center"/>
          </w:tcPr>
          <w:p>
            <w:pPr>
              <w:pStyle w:val="TableContents"/>
              <w:bidi w:val="0"/>
              <w:spacing w:before="0" w:after="0"/>
              <w:ind w:left="0" w:right="0" w:hanging="0"/>
              <w:jc w:val="left"/>
              <w:rPr/>
            </w:pPr>
            <w:r>
              <w:rPr/>
              <w:t>​</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33,168</w:t>
            </w:r>
          </w:p>
        </w:tc>
        <w:tc>
          <w:tcPr>
            <w:tcW w:w="138" w:type="dxa"/>
            <w:tcBorders/>
            <w:vAlign w:val="center"/>
          </w:tcPr>
          <w:p>
            <w:pPr>
              <w:pStyle w:val="TableContents"/>
              <w:bidi w:val="0"/>
              <w:spacing w:before="0" w:after="0"/>
              <w:ind w:left="0" w:right="0" w:hanging="0"/>
              <w:jc w:val="right"/>
              <w:rPr/>
            </w:pPr>
            <w:r>
              <w:rPr/>
              <w:t>​</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1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24,789</w:t>
            </w:r>
          </w:p>
        </w:tc>
        <w:tc>
          <w:tcPr>
            <w:tcW w:w="2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50,391</w:t>
            </w:r>
          </w:p>
        </w:tc>
        <w:tc>
          <w:tcPr>
            <w:tcW w:w="116" w:type="dxa"/>
            <w:tcBorders/>
            <w:vAlign w:val="center"/>
          </w:tcPr>
          <w:p>
            <w:pPr>
              <w:pStyle w:val="TableContents"/>
              <w:bidi w:val="0"/>
              <w:spacing w:before="0" w:after="0"/>
              <w:ind w:left="0" w:right="0" w:hanging="0"/>
              <w:jc w:val="righ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8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38,270</w:t>
            </w:r>
          </w:p>
        </w:tc>
      </w:tr>
      <w:tr>
        <w:trPr/>
        <w:tc>
          <w:tcPr>
            <w:tcW w:w="44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left"/>
              <w:rPr/>
            </w:pPr>
            <w:r>
              <w:rPr/>
              <w:t>​</w:t>
            </w:r>
          </w:p>
        </w:tc>
        <w:tc>
          <w:tcPr>
            <w:tcW w:w="138"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left"/>
              <w:rPr/>
            </w:pPr>
            <w:r>
              <w:rPr/>
              <w:t>​</w:t>
            </w:r>
          </w:p>
        </w:tc>
        <w:tc>
          <w:tcPr>
            <w:tcW w:w="1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89" w:type="dxa"/>
            <w:tcBorders/>
            <w:vAlign w:val="center"/>
          </w:tcPr>
          <w:p>
            <w:pPr>
              <w:pStyle w:val="TableContents"/>
              <w:bidi w:val="0"/>
              <w:spacing w:before="0" w:after="0"/>
              <w:ind w:left="0" w:right="0" w:hanging="0"/>
              <w:jc w:val="left"/>
              <w:rPr/>
            </w:pPr>
            <w:r>
              <w:rPr/>
              <w:t>​</w:t>
            </w:r>
          </w:p>
        </w:tc>
      </w:tr>
      <w:tr>
        <w:trPr/>
        <w:tc>
          <w:tcPr>
            <w:tcW w:w="44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Earnings per common share:</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left"/>
              <w:rPr/>
            </w:pPr>
            <w:r>
              <w:rPr/>
              <w:t>​</w:t>
            </w:r>
          </w:p>
        </w:tc>
        <w:tc>
          <w:tcPr>
            <w:tcW w:w="138"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left"/>
              <w:rPr/>
            </w:pPr>
            <w:r>
              <w:rPr/>
              <w:t>​</w:t>
            </w:r>
          </w:p>
        </w:tc>
        <w:tc>
          <w:tcPr>
            <w:tcW w:w="1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89" w:type="dxa"/>
            <w:tcBorders/>
            <w:vAlign w:val="center"/>
          </w:tcPr>
          <w:p>
            <w:pPr>
              <w:pStyle w:val="TableContents"/>
              <w:bidi w:val="0"/>
              <w:spacing w:before="0" w:after="0"/>
              <w:ind w:left="0" w:right="0" w:hanging="0"/>
              <w:jc w:val="left"/>
              <w:rPr/>
            </w:pPr>
            <w:r>
              <w:rPr/>
              <w:t>​</w:t>
            </w:r>
          </w:p>
        </w:tc>
      </w:tr>
      <w:tr>
        <w:trPr/>
        <w:tc>
          <w:tcPr>
            <w:tcW w:w="44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Basic</w:t>
            </w:r>
          </w:p>
        </w:tc>
        <w:tc>
          <w:tcPr>
            <w:tcW w:w="109" w:type="dxa"/>
            <w:tcBorders/>
            <w:vAlign w:val="center"/>
          </w:tcPr>
          <w:p>
            <w:pPr>
              <w:pStyle w:val="TableContents"/>
              <w:bidi w:val="0"/>
              <w:spacing w:before="0" w:after="0"/>
              <w:ind w:left="0" w:right="0" w:hanging="0"/>
              <w:jc w:val="left"/>
              <w:rPr/>
            </w:pPr>
            <w:r>
              <w:rPr/>
              <w:t>​</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w:t>
            </w:r>
          </w:p>
        </w:tc>
        <w:tc>
          <w:tcPr>
            <w:tcW w:w="138" w:type="dxa"/>
            <w:tcBorders/>
            <w:vAlign w:val="center"/>
          </w:tcPr>
          <w:p>
            <w:pPr>
              <w:pStyle w:val="TableContents"/>
              <w:bidi w:val="0"/>
              <w:spacing w:before="0" w:after="0"/>
              <w:ind w:left="0" w:right="0" w:hanging="0"/>
              <w:jc w:val="right"/>
              <w:rPr/>
            </w:pPr>
            <w:r>
              <w:rPr/>
              <w:t>​</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1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0.98</w:t>
            </w:r>
          </w:p>
        </w:tc>
        <w:tc>
          <w:tcPr>
            <w:tcW w:w="2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2.00</w:t>
            </w:r>
          </w:p>
        </w:tc>
        <w:tc>
          <w:tcPr>
            <w:tcW w:w="116" w:type="dxa"/>
            <w:tcBorders/>
            <w:vAlign w:val="center"/>
          </w:tcPr>
          <w:p>
            <w:pPr>
              <w:pStyle w:val="TableContents"/>
              <w:bidi w:val="0"/>
              <w:spacing w:before="0" w:after="0"/>
              <w:ind w:left="0" w:right="0" w:hanging="0"/>
              <w:jc w:val="righ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108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1.49</w:t>
            </w:r>
          </w:p>
        </w:tc>
      </w:tr>
      <w:tr>
        <w:trPr/>
        <w:tc>
          <w:tcPr>
            <w:tcW w:w="44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Diluted</w:t>
            </w:r>
          </w:p>
        </w:tc>
        <w:tc>
          <w:tcPr>
            <w:tcW w:w="109" w:type="dxa"/>
            <w:tcBorders/>
            <w:vAlign w:val="center"/>
          </w:tcPr>
          <w:p>
            <w:pPr>
              <w:pStyle w:val="TableContents"/>
              <w:bidi w:val="0"/>
              <w:spacing w:before="0" w:after="0"/>
              <w:ind w:left="0" w:right="0" w:hanging="0"/>
              <w:jc w:val="left"/>
              <w:rPr/>
            </w:pPr>
            <w:r>
              <w:rPr/>
              <w:t>​</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2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w:t>
            </w:r>
          </w:p>
        </w:tc>
        <w:tc>
          <w:tcPr>
            <w:tcW w:w="138" w:type="dxa"/>
            <w:tcBorders/>
            <w:vAlign w:val="center"/>
          </w:tcPr>
          <w:p>
            <w:pPr>
              <w:pStyle w:val="TableContents"/>
              <w:bidi w:val="0"/>
              <w:spacing w:before="0" w:after="0"/>
              <w:ind w:left="0" w:right="0" w:hanging="0"/>
              <w:jc w:val="right"/>
              <w:rPr/>
            </w:pPr>
            <w:r>
              <w:rPr/>
              <w:t>​</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1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0.97</w:t>
            </w:r>
          </w:p>
        </w:tc>
        <w:tc>
          <w:tcPr>
            <w:tcW w:w="2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1.99</w:t>
            </w:r>
          </w:p>
        </w:tc>
        <w:tc>
          <w:tcPr>
            <w:tcW w:w="116" w:type="dxa"/>
            <w:tcBorders/>
            <w:vAlign w:val="center"/>
          </w:tcPr>
          <w:p>
            <w:pPr>
              <w:pStyle w:val="TableContents"/>
              <w:bidi w:val="0"/>
              <w:spacing w:before="0" w:after="0"/>
              <w:ind w:left="0" w:right="0" w:hanging="0"/>
              <w:jc w:val="righ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108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w:t>
            </w:r>
          </w:p>
        </w:tc>
      </w:tr>
      <w:tr>
        <w:trPr/>
        <w:tc>
          <w:tcPr>
            <w:tcW w:w="44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left"/>
              <w:rPr/>
            </w:pPr>
            <w:r>
              <w:rPr/>
              <w:t>​</w:t>
            </w:r>
          </w:p>
        </w:tc>
        <w:tc>
          <w:tcPr>
            <w:tcW w:w="138"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left"/>
              <w:rPr/>
            </w:pPr>
            <w:r>
              <w:rPr/>
              <w:t>​</w:t>
            </w:r>
          </w:p>
        </w:tc>
        <w:tc>
          <w:tcPr>
            <w:tcW w:w="1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89" w:type="dxa"/>
            <w:tcBorders/>
            <w:vAlign w:val="center"/>
          </w:tcPr>
          <w:p>
            <w:pPr>
              <w:pStyle w:val="TableContents"/>
              <w:bidi w:val="0"/>
              <w:spacing w:before="0" w:after="0"/>
              <w:ind w:left="0" w:right="0" w:hanging="0"/>
              <w:jc w:val="left"/>
              <w:rPr/>
            </w:pPr>
            <w:r>
              <w:rPr/>
              <w:t>​</w:t>
            </w:r>
          </w:p>
        </w:tc>
      </w:tr>
      <w:tr>
        <w:trPr/>
        <w:tc>
          <w:tcPr>
            <w:tcW w:w="44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Shares used in the computation of earnings per common share:</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pPr>
            <w:r>
              <w:rPr/>
              <w:t>​</w:t>
            </w:r>
          </w:p>
        </w:tc>
        <w:tc>
          <w:tcPr>
            <w:tcW w:w="138" w:type="dxa"/>
            <w:tcBorders/>
            <w:vAlign w:val="center"/>
          </w:tcPr>
          <w:p>
            <w:pPr>
              <w:pStyle w:val="TableContents"/>
              <w:bidi w:val="0"/>
              <w:spacing w:before="0" w:after="0"/>
              <w:ind w:left="0" w:right="0" w:hanging="0"/>
              <w:jc w:val="right"/>
              <w:rPr/>
            </w:pPr>
            <w:r>
              <w:rPr/>
              <w:t>​</w:t>
            </w:r>
          </w:p>
        </w:tc>
        <w:tc>
          <w:tcPr>
            <w:tcW w:w="268"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right"/>
              <w:rPr/>
            </w:pPr>
            <w:r>
              <w:rPr/>
              <w:t>​</w:t>
            </w:r>
          </w:p>
        </w:tc>
        <w:tc>
          <w:tcPr>
            <w:tcW w:w="11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89" w:type="dxa"/>
            <w:tcBorders/>
            <w:vAlign w:val="center"/>
          </w:tcPr>
          <w:p>
            <w:pPr>
              <w:pStyle w:val="TableContents"/>
              <w:bidi w:val="0"/>
              <w:spacing w:before="0" w:after="0"/>
              <w:ind w:left="0" w:right="0" w:hanging="0"/>
              <w:jc w:val="right"/>
              <w:rPr/>
            </w:pPr>
            <w:r>
              <w:rPr/>
              <w:t>​</w:t>
            </w:r>
          </w:p>
        </w:tc>
      </w:tr>
      <w:tr>
        <w:trPr/>
        <w:tc>
          <w:tcPr>
            <w:tcW w:w="44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Basic</w:t>
            </w:r>
          </w:p>
        </w:tc>
        <w:tc>
          <w:tcPr>
            <w:tcW w:w="109" w:type="dxa"/>
            <w:tcBorders/>
            <w:vAlign w:val="center"/>
          </w:tcPr>
          <w:p>
            <w:pPr>
              <w:pStyle w:val="TableContents"/>
              <w:bidi w:val="0"/>
              <w:spacing w:before="0" w:after="0"/>
              <w:ind w:left="0" w:right="0" w:hanging="0"/>
              <w:jc w:val="left"/>
              <w:rPr/>
            </w:pPr>
            <w:r>
              <w:rPr/>
              <w:t>​</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2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25,226</w:t>
            </w:r>
          </w:p>
        </w:tc>
        <w:tc>
          <w:tcPr>
            <w:tcW w:w="138" w:type="dxa"/>
            <w:tcBorders/>
            <w:vAlign w:val="center"/>
          </w:tcPr>
          <w:p>
            <w:pPr>
              <w:pStyle w:val="TableContents"/>
              <w:bidi w:val="0"/>
              <w:spacing w:before="0" w:after="0"/>
              <w:ind w:left="0" w:right="0" w:hanging="0"/>
              <w:jc w:val="right"/>
              <w:rPr/>
            </w:pPr>
            <w:r>
              <w:rPr/>
              <w:t>​</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1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25,405</w:t>
            </w:r>
          </w:p>
        </w:tc>
        <w:tc>
          <w:tcPr>
            <w:tcW w:w="2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25,214</w:t>
            </w:r>
          </w:p>
        </w:tc>
        <w:tc>
          <w:tcPr>
            <w:tcW w:w="116" w:type="dxa"/>
            <w:tcBorders/>
            <w:vAlign w:val="center"/>
          </w:tcPr>
          <w:p>
            <w:pPr>
              <w:pStyle w:val="TableContents"/>
              <w:bidi w:val="0"/>
              <w:spacing w:before="0" w:after="0"/>
              <w:ind w:left="0" w:right="0" w:hanging="0"/>
              <w:jc w:val="righ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8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25,739</w:t>
            </w:r>
          </w:p>
        </w:tc>
      </w:tr>
      <w:tr>
        <w:trPr/>
        <w:tc>
          <w:tcPr>
            <w:tcW w:w="44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Diluted</w:t>
            </w:r>
          </w:p>
        </w:tc>
        <w:tc>
          <w:tcPr>
            <w:tcW w:w="109" w:type="dxa"/>
            <w:tcBorders/>
            <w:vAlign w:val="center"/>
          </w:tcPr>
          <w:p>
            <w:pPr>
              <w:pStyle w:val="TableContents"/>
              <w:bidi w:val="0"/>
              <w:spacing w:before="0" w:after="0"/>
              <w:ind w:left="0" w:right="0" w:hanging="0"/>
              <w:jc w:val="left"/>
              <w:rPr/>
            </w:pPr>
            <w:r>
              <w:rPr/>
              <w:t>​</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2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25,339</w:t>
            </w:r>
          </w:p>
        </w:tc>
        <w:tc>
          <w:tcPr>
            <w:tcW w:w="138" w:type="dxa"/>
            <w:tcBorders/>
            <w:vAlign w:val="center"/>
          </w:tcPr>
          <w:p>
            <w:pPr>
              <w:pStyle w:val="TableContents"/>
              <w:bidi w:val="0"/>
              <w:spacing w:before="0" w:after="0"/>
              <w:ind w:left="0" w:right="0" w:hanging="0"/>
              <w:jc w:val="right"/>
              <w:rPr/>
            </w:pPr>
            <w:r>
              <w:rPr/>
              <w:t>​</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1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25,520</w:t>
            </w:r>
          </w:p>
        </w:tc>
        <w:tc>
          <w:tcPr>
            <w:tcW w:w="2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25,309</w:t>
            </w:r>
          </w:p>
        </w:tc>
        <w:tc>
          <w:tcPr>
            <w:tcW w:w="116" w:type="dxa"/>
            <w:tcBorders/>
            <w:vAlign w:val="center"/>
          </w:tcPr>
          <w:p>
            <w:pPr>
              <w:pStyle w:val="TableContents"/>
              <w:bidi w:val="0"/>
              <w:spacing w:before="0" w:after="0"/>
              <w:ind w:left="0" w:right="0" w:hanging="0"/>
              <w:jc w:val="righ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89"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25,860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Arial;Helvetica;sans-serif" w:hAnsi="Arial;Helvetica;sans-serif"/>
          <w:b/>
          <w:sz w:val="24"/>
        </w:rPr>
      </w:pPr>
      <w:r>
        <w:rPr>
          <w:rFonts w:ascii="Arial;Helvetica;sans-serif" w:hAnsi="Arial;Helvetica;sans-serif"/>
          <w:b/>
          <w:sz w:val="24"/>
        </w:rPr>
        <w:t>CONDENSED CONSOLIDATED BALANCE SHEETS</w:t>
      </w:r>
    </w:p>
    <w:p>
      <w:pPr>
        <w:pStyle w:val="TextBody"/>
        <w:bidi w:val="0"/>
        <w:spacing w:before="0" w:after="0"/>
        <w:ind w:left="0" w:right="0" w:hanging="0"/>
        <w:jc w:val="left"/>
        <w:rPr/>
      </w:pPr>
      <w:r>
        <w:rPr/>
        <w:t>​</w:t>
      </w:r>
    </w:p>
    <w:tbl>
      <w:tblPr>
        <w:tblW w:w="7226" w:type="dxa"/>
        <w:jc w:val="left"/>
        <w:tblInd w:w="0" w:type="dxa"/>
        <w:tblLayout w:type="fixed"/>
        <w:tblCellMar>
          <w:top w:w="0" w:type="dxa"/>
          <w:left w:w="0" w:type="dxa"/>
          <w:bottom w:w="0" w:type="dxa"/>
          <w:right w:w="0" w:type="dxa"/>
        </w:tblCellMar>
      </w:tblPr>
      <w:tblGrid>
        <w:gridCol w:w="4366"/>
        <w:gridCol w:w="109"/>
        <w:gridCol w:w="211"/>
        <w:gridCol w:w="961"/>
        <w:gridCol w:w="109"/>
        <w:gridCol w:w="240"/>
        <w:gridCol w:w="1230"/>
      </w:tblGrid>
      <w:tr>
        <w:trPr/>
        <w:tc>
          <w:tcPr>
            <w:tcW w:w="4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772410" cy="175260"/>
                      <wp:effectExtent l="0" t="0" r="0" b="0"/>
                      <wp:wrapNone/>
                      <wp:docPr id="41" name="Frame40"/>
                      <a:graphic xmlns:a="http://schemas.openxmlformats.org/drawingml/2006/main">
                        <a:graphicData uri="http://schemas.microsoft.com/office/word/2010/wordprocessingShape">
                          <wps:wsp>
                            <wps:cNvSpPr txBox="1"/>
                            <wps:spPr>
                              <a:xfrm>
                                <a:off x="0" y="0"/>
                                <a:ext cx="277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9215" cy="175260"/>
                      <wp:effectExtent l="0" t="0" r="0" b="0"/>
                      <wp:wrapNone/>
                      <wp:docPr id="42" name="Frame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43" name="Frame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10235" cy="175260"/>
                      <wp:effectExtent l="0" t="0" r="0" b="0"/>
                      <wp:wrapNone/>
                      <wp:docPr id="44" name="Frame43"/>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9215" cy="175260"/>
                      <wp:effectExtent l="0" t="0" r="0" b="0"/>
                      <wp:wrapNone/>
                      <wp:docPr id="45" name="Frame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52400" cy="175260"/>
                      <wp:effectExtent l="0" t="0" r="0" b="0"/>
                      <wp:wrapNone/>
                      <wp:docPr id="46" name="Frame45"/>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781050" cy="175260"/>
                      <wp:effectExtent l="0" t="0" r="0" b="0"/>
                      <wp:wrapNone/>
                      <wp:docPr id="47" name="Frame46"/>
                      <a:graphic xmlns:a="http://schemas.openxmlformats.org/drawingml/2006/main">
                        <a:graphicData uri="http://schemas.microsoft.com/office/word/2010/wordprocessingShape">
                          <wps:wsp>
                            <wps:cNvSpPr txBox="1"/>
                            <wps:spPr>
                              <a:xfrm>
                                <a:off x="0" y="0"/>
                                <a:ext cx="781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172"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June 30, </w:t>
            </w:r>
          </w:p>
        </w:tc>
        <w:tc>
          <w:tcPr>
            <w:tcW w:w="109" w:type="dxa"/>
            <w:tcBorders/>
            <w:vAlign w:val="center"/>
          </w:tcPr>
          <w:p>
            <w:pPr>
              <w:pStyle w:val="TableContents"/>
              <w:bidi w:val="0"/>
              <w:spacing w:before="0" w:after="0"/>
              <w:ind w:left="0" w:right="0" w:hanging="0"/>
              <w:jc w:val="left"/>
              <w:rPr/>
            </w:pPr>
            <w:r>
              <w:rPr/>
              <w:t>​</w:t>
            </w:r>
          </w:p>
        </w:tc>
        <w:tc>
          <w:tcPr>
            <w:tcW w:w="147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(amounts in thousands)</w:t>
            </w:r>
          </w:p>
        </w:tc>
        <w:tc>
          <w:tcPr>
            <w:tcW w:w="109" w:type="dxa"/>
            <w:tcBorders/>
            <w:vAlign w:val="center"/>
          </w:tcPr>
          <w:p>
            <w:pPr>
              <w:pStyle w:val="TableContents"/>
              <w:bidi w:val="0"/>
              <w:spacing w:before="0" w:after="0"/>
              <w:ind w:left="0" w:right="0" w:hanging="0"/>
              <w:jc w:val="center"/>
              <w:rPr/>
            </w:pPr>
            <w:r>
              <w:rPr/>
              <w:t>​</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109" w:type="dxa"/>
            <w:tcBorders/>
            <w:vAlign w:val="center"/>
          </w:tcPr>
          <w:p>
            <w:pPr>
              <w:pStyle w:val="TableContents"/>
              <w:bidi w:val="0"/>
              <w:spacing w:before="0" w:after="0"/>
              <w:ind w:left="0" w:right="0" w:hanging="0"/>
              <w:jc w:val="center"/>
              <w:rPr/>
            </w:pPr>
            <w:r>
              <w:rPr/>
              <w:t>​</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ASSETS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1230" w:type="dxa"/>
            <w:tcBorders/>
            <w:vAlign w:val="center"/>
          </w:tcPr>
          <w:p>
            <w:pPr>
              <w:pStyle w:val="TableContents"/>
              <w:bidi w:val="0"/>
              <w:spacing w:before="0" w:after="0"/>
              <w:ind w:left="0" w:right="0" w:hanging="0"/>
              <w:jc w:val="left"/>
              <w:rPr/>
            </w:pPr>
            <w:r>
              <w:rPr/>
              <w:t>​</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Assets: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1230" w:type="dxa"/>
            <w:tcBorders/>
            <w:vAlign w:val="center"/>
          </w:tcPr>
          <w:p>
            <w:pPr>
              <w:pStyle w:val="TableContents"/>
              <w:bidi w:val="0"/>
              <w:spacing w:before="0" w:after="0"/>
              <w:ind w:left="0" w:right="0" w:hanging="0"/>
              <w:jc w:val="left"/>
              <w:rPr/>
            </w:pPr>
            <w:r>
              <w:rPr/>
              <w:t>​</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Cash and cash equivalents </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123,717</w:t>
            </w:r>
          </w:p>
        </w:tc>
        <w:tc>
          <w:tcPr>
            <w:tcW w:w="109"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3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193,221</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Short-term investments</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216,973</w:t>
            </w:r>
          </w:p>
        </w:tc>
        <w:tc>
          <w:tcPr>
            <w:tcW w:w="109"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pPr>
            <w:r>
              <w:rPr/>
              <w:t>​</w:t>
            </w:r>
          </w:p>
        </w:tc>
        <w:tc>
          <w:tcPr>
            <w:tcW w:w="123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213,457</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receivable,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726,823</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123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648,020</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Inventories,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205,095</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123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143,567</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Prepaid expenses and other current assets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21,533</w:t>
            </w:r>
          </w:p>
        </w:tc>
        <w:tc>
          <w:tcPr>
            <w:tcW w:w="109"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22,607</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 current assets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1,294,141</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123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1,220,872</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Property and equipment,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45,762</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123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46,912</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Right-of-use assets,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7,315</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123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1,569</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Goodwill</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73,602</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123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73,602</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Intangibles,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473</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123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989</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assets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6,341</w:t>
            </w:r>
          </w:p>
        </w:tc>
        <w:tc>
          <w:tcPr>
            <w:tcW w:w="109"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6,981</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 Assets</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1,427,634</w:t>
            </w:r>
          </w:p>
        </w:tc>
        <w:tc>
          <w:tcPr>
            <w:tcW w:w="109" w:type="dxa"/>
            <w:tcBorders/>
            <w:vAlign w:val="center"/>
          </w:tcPr>
          <w:p>
            <w:pPr>
              <w:pStyle w:val="TableContents"/>
              <w:bidi w:val="0"/>
              <w:spacing w:before="0" w:after="0"/>
              <w:ind w:left="0" w:right="0" w:hanging="0"/>
              <w:jc w:val="righ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3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1,350,925</w:t>
            </w:r>
          </w:p>
        </w:tc>
      </w:tr>
      <w:tr>
        <w:trPr/>
        <w:tc>
          <w:tcPr>
            <w:tcW w:w="43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1230" w:type="dxa"/>
            <w:tcBorders/>
            <w:vAlign w:val="center"/>
          </w:tcPr>
          <w:p>
            <w:pPr>
              <w:pStyle w:val="TableContents"/>
              <w:bidi w:val="0"/>
              <w:spacing w:before="0" w:after="0"/>
              <w:ind w:left="0" w:right="0" w:hanging="0"/>
              <w:jc w:val="left"/>
              <w:rPr/>
            </w:pPr>
            <w:r>
              <w:rPr/>
              <w:t>​</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LIABILITIES AND STOCKHOLDERS’ EQUITY</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1230" w:type="dxa"/>
            <w:tcBorders/>
            <w:vAlign w:val="center"/>
          </w:tcPr>
          <w:p>
            <w:pPr>
              <w:pStyle w:val="TableContents"/>
              <w:bidi w:val="0"/>
              <w:spacing w:before="0" w:after="0"/>
              <w:ind w:left="0" w:right="0" w:hanging="0"/>
              <w:jc w:val="left"/>
              <w:rPr/>
            </w:pPr>
            <w:r>
              <w:rPr/>
              <w:t>​</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1230" w:type="dxa"/>
            <w:tcBorders/>
            <w:vAlign w:val="center"/>
          </w:tcPr>
          <w:p>
            <w:pPr>
              <w:pStyle w:val="TableContents"/>
              <w:bidi w:val="0"/>
              <w:spacing w:before="0" w:after="0"/>
              <w:ind w:left="0" w:right="0" w:hanging="0"/>
              <w:jc w:val="left"/>
              <w:rPr/>
            </w:pPr>
            <w:r>
              <w:rPr/>
              <w:t>​</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payable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377,556</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3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338,202</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payroll</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24,978</w:t>
            </w:r>
          </w:p>
        </w:tc>
        <w:tc>
          <w:tcPr>
            <w:tcW w:w="109"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pPr>
            <w:r>
              <w:rPr/>
              <w:t>​</w:t>
            </w:r>
          </w:p>
        </w:tc>
        <w:tc>
          <w:tcPr>
            <w:tcW w:w="123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30,939</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expenses and other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46,792</w:t>
            </w:r>
          </w:p>
        </w:tc>
        <w:tc>
          <w:tcPr>
            <w:tcW w:w="109"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51,251</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 current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449,326</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123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420,392</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income taxes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18,981</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123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19,905</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liability</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6,677</w:t>
            </w:r>
          </w:p>
        </w:tc>
        <w:tc>
          <w:tcPr>
            <w:tcW w:w="109"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498</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474,984</w:t>
            </w:r>
          </w:p>
        </w:tc>
        <w:tc>
          <w:tcPr>
            <w:tcW w:w="109"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440,795</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Stockholders’ Equity:</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1230" w:type="dxa"/>
            <w:tcBorders/>
            <w:vAlign w:val="center"/>
          </w:tcPr>
          <w:p>
            <w:pPr>
              <w:pStyle w:val="TableContents"/>
              <w:bidi w:val="0"/>
              <w:spacing w:before="0" w:after="0"/>
              <w:ind w:left="0" w:right="0" w:hanging="0"/>
              <w:jc w:val="left"/>
              <w:rPr/>
            </w:pPr>
            <w:r>
              <w:rPr/>
              <w:t>​</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Common stock</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296</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123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295</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Additional paid-in capital</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149,530</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123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144,608</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Retained earnings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946,196</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123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905,890</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Accumulated other comprehensive (loss)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(208)</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123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78</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Treasury stock at cost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(143,164)</w:t>
            </w:r>
          </w:p>
        </w:tc>
        <w:tc>
          <w:tcPr>
            <w:tcW w:w="109"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(140,741)</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 Stockholders’ Equity</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952,650</w:t>
            </w:r>
          </w:p>
        </w:tc>
        <w:tc>
          <w:tcPr>
            <w:tcW w:w="109"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910,130</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 Liabilities and Stockholders’ Equity</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1,427,634</w:t>
            </w:r>
          </w:p>
        </w:tc>
        <w:tc>
          <w:tcPr>
            <w:tcW w:w="109" w:type="dxa"/>
            <w:tcBorders/>
            <w:vAlign w:val="center"/>
          </w:tcPr>
          <w:p>
            <w:pPr>
              <w:pStyle w:val="TableContents"/>
              <w:bidi w:val="0"/>
              <w:spacing w:before="0" w:after="0"/>
              <w:ind w:left="0" w:right="0" w:hanging="0"/>
              <w:jc w:val="righ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30" w:type="dxa"/>
            <w:tcBorders>
              <w:bottom w:val="double" w:sz="6" w:space="0" w:color="000000"/>
            </w:tcBorders>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1,350,925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Arial;Helvetica;sans-serif" w:hAnsi="Arial;Helvetica;sans-serif"/>
          <w:b/>
          <w:sz w:val="24"/>
        </w:rPr>
      </w:pPr>
      <w:r>
        <w:rPr>
          <w:rFonts w:ascii="Arial;Helvetica;sans-serif" w:hAnsi="Arial;Helvetica;sans-serif"/>
          <w:b/>
          <w:sz w:val="24"/>
        </w:rPr>
        <w:t>CONDENSED CONSOLIDATED STATEMENTS OF CASH FLOWS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813"/>
        <w:gridCol w:w="109"/>
        <w:gridCol w:w="251"/>
        <w:gridCol w:w="959"/>
        <w:gridCol w:w="129"/>
        <w:gridCol w:w="251"/>
        <w:gridCol w:w="959"/>
        <w:gridCol w:w="226"/>
        <w:gridCol w:w="232"/>
        <w:gridCol w:w="982"/>
        <w:gridCol w:w="120"/>
        <w:gridCol w:w="232"/>
        <w:gridCol w:w="942"/>
      </w:tblGrid>
      <w:tr>
        <w:trPr/>
        <w:tc>
          <w:tcPr>
            <w:tcW w:w="4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3056255" cy="175260"/>
                      <wp:effectExtent l="0" t="0" r="0" b="0"/>
                      <wp:wrapNone/>
                      <wp:docPr id="48" name="Frame47"/>
                      <a:graphic xmlns:a="http://schemas.openxmlformats.org/drawingml/2006/main">
                        <a:graphicData uri="http://schemas.microsoft.com/office/word/2010/wordprocessingShape">
                          <wps:wsp>
                            <wps:cNvSpPr txBox="1"/>
                            <wps:spPr>
                              <a:xfrm>
                                <a:off x="0" y="0"/>
                                <a:ext cx="305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9215" cy="175260"/>
                      <wp:effectExtent l="0" t="0" r="0" b="0"/>
                      <wp:wrapNone/>
                      <wp:docPr id="49" name="Frame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59385" cy="175260"/>
                      <wp:effectExtent l="0" t="0" r="0" b="0"/>
                      <wp:wrapNone/>
                      <wp:docPr id="50" name="Frame49"/>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08965" cy="175260"/>
                      <wp:effectExtent l="0" t="0" r="0" b="0"/>
                      <wp:wrapNone/>
                      <wp:docPr id="51" name="Frame50"/>
                      <a:graphic xmlns:a="http://schemas.openxmlformats.org/drawingml/2006/main">
                        <a:graphicData uri="http://schemas.microsoft.com/office/word/2010/wordprocessingShape">
                          <wps:wsp>
                            <wps:cNvSpPr txBox="1"/>
                            <wps:spPr>
                              <a:xfrm>
                                <a:off x="0" y="0"/>
                                <a:ext cx="608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81915" cy="175260"/>
                      <wp:effectExtent l="0" t="0" r="0" b="0"/>
                      <wp:wrapNone/>
                      <wp:docPr id="52" name="Frame51"/>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59385" cy="175260"/>
                      <wp:effectExtent l="0" t="0" r="0" b="0"/>
                      <wp:wrapNone/>
                      <wp:docPr id="53" name="Frame52"/>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08965" cy="175260"/>
                      <wp:effectExtent l="0" t="0" r="0" b="0"/>
                      <wp:wrapNone/>
                      <wp:docPr id="54" name="Frame53"/>
                      <a:graphic xmlns:a="http://schemas.openxmlformats.org/drawingml/2006/main">
                        <a:graphicData uri="http://schemas.microsoft.com/office/word/2010/wordprocessingShape">
                          <wps:wsp>
                            <wps:cNvSpPr txBox="1"/>
                            <wps:spPr>
                              <a:xfrm>
                                <a:off x="0" y="0"/>
                                <a:ext cx="608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43510" cy="175260"/>
                      <wp:effectExtent l="0" t="0" r="0" b="0"/>
                      <wp:wrapNone/>
                      <wp:docPr id="55" name="Frame5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47320" cy="175260"/>
                      <wp:effectExtent l="0" t="0" r="0" b="0"/>
                      <wp:wrapNone/>
                      <wp:docPr id="56" name="Frame55"/>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23570" cy="175260"/>
                      <wp:effectExtent l="0" t="0" r="0" b="0"/>
                      <wp:wrapNone/>
                      <wp:docPr id="57" name="Frame56"/>
                      <a:graphic xmlns:a="http://schemas.openxmlformats.org/drawingml/2006/main">
                        <a:graphicData uri="http://schemas.microsoft.com/office/word/2010/wordprocessingShape">
                          <wps:wsp>
                            <wps:cNvSpPr txBox="1"/>
                            <wps:spPr>
                              <a:xfrm>
                                <a:off x="0" y="0"/>
                                <a:ext cx="623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76200" cy="175260"/>
                      <wp:effectExtent l="0" t="0" r="0" b="0"/>
                      <wp:wrapNone/>
                      <wp:docPr id="58" name="Frame57"/>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47320" cy="175260"/>
                      <wp:effectExtent l="0" t="0" r="0" b="0"/>
                      <wp:wrapNone/>
                      <wp:docPr id="59" name="Frame58"/>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98170" cy="175260"/>
                      <wp:effectExtent l="0" t="0" r="0" b="0"/>
                      <wp:wrapNone/>
                      <wp:docPr id="60" name="Frame59"/>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Three Months Ended June 30, </w:t>
            </w:r>
          </w:p>
        </w:tc>
        <w:tc>
          <w:tcPr>
            <w:tcW w:w="226" w:type="dxa"/>
            <w:tcBorders/>
            <w:vAlign w:val="center"/>
          </w:tcPr>
          <w:p>
            <w:pPr>
              <w:pStyle w:val="TableContents"/>
              <w:bidi w:val="0"/>
              <w:spacing w:before="0" w:after="0"/>
              <w:ind w:left="0" w:right="0" w:hanging="0"/>
              <w:jc w:val="left"/>
              <w:rPr/>
            </w:pPr>
            <w:r>
              <w:rPr/>
              <w:t>  ​</w:t>
            </w:r>
          </w:p>
        </w:tc>
        <w:tc>
          <w:tcPr>
            <w:tcW w:w="25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Six Months Ended June 30, </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(amounts in thousands)</w:t>
            </w:r>
          </w:p>
        </w:tc>
        <w:tc>
          <w:tcPr>
            <w:tcW w:w="109" w:type="dxa"/>
            <w:tcBorders/>
            <w:vAlign w:val="center"/>
          </w:tcPr>
          <w:p>
            <w:pPr>
              <w:pStyle w:val="TableContents"/>
              <w:bidi w:val="0"/>
              <w:spacing w:before="0" w:after="0"/>
              <w:ind w:left="0" w:right="0" w:hanging="0"/>
              <w:jc w:val="left"/>
              <w:rPr/>
            </w:pPr>
            <w:r>
              <w:rPr/>
              <w:t>​</w:t>
            </w:r>
          </w:p>
        </w:tc>
        <w:tc>
          <w:tcPr>
            <w:tcW w:w="12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129" w:type="dxa"/>
            <w:tcBorders/>
            <w:vAlign w:val="center"/>
          </w:tcPr>
          <w:p>
            <w:pPr>
              <w:pStyle w:val="TableContents"/>
              <w:bidi w:val="0"/>
              <w:spacing w:before="0" w:after="0"/>
              <w:ind w:left="0" w:right="0" w:hanging="0"/>
              <w:jc w:val="center"/>
              <w:rPr/>
            </w:pPr>
            <w:r>
              <w:rPr/>
              <w:t>​</w:t>
            </w:r>
          </w:p>
        </w:tc>
        <w:tc>
          <w:tcPr>
            <w:tcW w:w="12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226" w:type="dxa"/>
            <w:tcBorders/>
            <w:vAlign w:val="center"/>
          </w:tcPr>
          <w:p>
            <w:pPr>
              <w:pStyle w:val="TableContents"/>
              <w:bidi w:val="0"/>
              <w:spacing w:before="0" w:after="0"/>
              <w:ind w:left="0" w:right="0" w:hanging="0"/>
              <w:jc w:val="left"/>
              <w:rPr/>
            </w:pPr>
            <w:r>
              <w:rPr/>
              <w:t>​</w:t>
            </w:r>
          </w:p>
        </w:tc>
        <w:tc>
          <w:tcPr>
            <w:tcW w:w="12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120" w:type="dxa"/>
            <w:tcBorders/>
            <w:vAlign w:val="center"/>
          </w:tcPr>
          <w:p>
            <w:pPr>
              <w:pStyle w:val="TableContents"/>
              <w:bidi w:val="0"/>
              <w:spacing w:before="0" w:after="0"/>
              <w:ind w:left="0" w:right="0" w:hanging="0"/>
              <w:jc w:val="center"/>
              <w:rPr/>
            </w:pPr>
            <w:r>
              <w:rPr/>
              <w:t>​</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Cash Flows (used in) provided by Operating Activities:</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w:t>
            </w:r>
          </w:p>
        </w:tc>
        <w:tc>
          <w:tcPr>
            <w:tcW w:w="959" w:type="dxa"/>
            <w:tcBorders/>
            <w:vAlign w:val="center"/>
          </w:tcPr>
          <w:p>
            <w:pPr>
              <w:pStyle w:val="TableContents"/>
              <w:bidi w:val="0"/>
              <w:spacing w:before="0" w:after="0"/>
              <w:ind w:left="0" w:right="0" w:hanging="0"/>
              <w:jc w:val="left"/>
              <w:rPr/>
            </w:pPr>
            <w:r>
              <w:rPr/>
              <w:t>​</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w:t>
            </w:r>
          </w:p>
        </w:tc>
        <w:tc>
          <w:tcPr>
            <w:tcW w:w="95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center"/>
              <w:rPr/>
            </w:pPr>
            <w:r>
              <w:rPr/>
              <w:t>​</w:t>
            </w:r>
          </w:p>
        </w:tc>
        <w:tc>
          <w:tcPr>
            <w:tcW w:w="982" w:type="dxa"/>
            <w:tcBorders/>
            <w:vAlign w:val="center"/>
          </w:tcPr>
          <w:p>
            <w:pPr>
              <w:pStyle w:val="TableContents"/>
              <w:bidi w:val="0"/>
              <w:spacing w:before="0" w:after="0"/>
              <w:ind w:left="0" w:right="0" w:hanging="0"/>
              <w:jc w:val="left"/>
              <w:rPr/>
            </w:pPr>
            <w:r>
              <w:rPr/>
              <w:t>​</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center"/>
              <w:rPr/>
            </w:pPr>
            <w:r>
              <w:rPr/>
              <w:t>​</w:t>
            </w:r>
          </w:p>
        </w:tc>
        <w:tc>
          <w:tcPr>
            <w:tcW w:w="942" w:type="dxa"/>
            <w:tcBorders/>
            <w:vAlign w:val="center"/>
          </w:tcPr>
          <w:p>
            <w:pPr>
              <w:pStyle w:val="TableContents"/>
              <w:bidi w:val="0"/>
              <w:spacing w:before="0" w:after="0"/>
              <w:ind w:left="0" w:right="0" w:hanging="0"/>
              <w:jc w:val="left"/>
              <w:rPr/>
            </w:pPr>
            <w:r>
              <w:rPr/>
              <w:t>​</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income</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33,168</w:t>
            </w:r>
          </w:p>
        </w:tc>
        <w:tc>
          <w:tcPr>
            <w:tcW w:w="129" w:type="dxa"/>
            <w:tcBorders/>
            <w:vAlign w:val="center"/>
          </w:tcPr>
          <w:p>
            <w:pPr>
              <w:pStyle w:val="TableContents"/>
              <w:bidi w:val="0"/>
              <w:spacing w:before="0" w:after="0"/>
              <w:ind w:left="0" w:right="0" w:hanging="0"/>
              <w:jc w:val="right"/>
              <w:rPr/>
            </w:pPr>
            <w:r>
              <w:rPr/>
              <w:t>​</w:t>
            </w:r>
          </w:p>
        </w:tc>
        <w:tc>
          <w:tcPr>
            <w:tcW w:w="25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24,789</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50,391</w:t>
            </w:r>
          </w:p>
        </w:tc>
        <w:tc>
          <w:tcPr>
            <w:tcW w:w="120"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4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38,270</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Adjustments to reconcile net income to net cash (used in) provided by operating activities:</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left"/>
              <w:rPr/>
            </w:pPr>
            <w:r>
              <w:rPr/>
              <w:t>​</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left"/>
              <w:rPr/>
            </w:pPr>
            <w:r>
              <w:rPr/>
              <w:t>​</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left"/>
              <w:rPr/>
            </w:pPr>
            <w:r>
              <w:rPr/>
              <w:t>​</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2,736</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2,866</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5,533</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5,965</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Adjustments to credit losses reserve</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1,557</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663</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1,796</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1,058</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Stock-based compensation expense</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2,653</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2,461</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5,292</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4,669</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income taxes</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(682)</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(848)</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pPr>
            <w:r>
              <w:rPr/>
              <w:t>—</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Amortization of discount on short-term investments, net</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(555)</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(1,627)</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(1,444)</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(1,672)</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Gain on sale of short-term investments</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pPr>
            <w:r>
              <w:rPr/>
              <w:t>—</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on disposal of fixed assets</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Changes in assets and liabilities:</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left"/>
              <w:rPr/>
            </w:pPr>
            <w:r>
              <w:rPr/>
              <w:t>​</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left"/>
              <w:rPr/>
            </w:pPr>
            <w:r>
              <w:rPr/>
              <w:t>​</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left"/>
              <w:rPr/>
            </w:pPr>
            <w:r>
              <w:rPr/>
              <w:t>​</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receivable</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(66,899)</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(33,716)</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(80,599)</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(26,662)</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Inventories</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(10,801)</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18,305</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(61,528)</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(38,433)</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Prepaid expenses and other current assets</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1,849</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(1,474)</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1,074</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(4,142)</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non-current assets</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(1,713)</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640</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(1,629)</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payable</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(18,758)</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30,326</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39,328</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3,368</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expenses and other liabilities</w:t>
            </w:r>
          </w:p>
        </w:tc>
        <w:tc>
          <w:tcPr>
            <w:tcW w:w="109"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(8,167)</w:t>
            </w:r>
          </w:p>
        </w:tc>
        <w:tc>
          <w:tcPr>
            <w:tcW w:w="129"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(14,626)</w:t>
            </w:r>
          </w:p>
        </w:tc>
        <w:tc>
          <w:tcPr>
            <w:tcW w:w="22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(9,251)</w:t>
            </w:r>
          </w:p>
        </w:tc>
        <w:tc>
          <w:tcPr>
            <w:tcW w:w="120"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(6,865)</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(used in) provided by operating activities</w:t>
            </w:r>
          </w:p>
        </w:tc>
        <w:tc>
          <w:tcPr>
            <w:tcW w:w="109"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(63,809)</w:t>
            </w:r>
          </w:p>
        </w:tc>
        <w:tc>
          <w:tcPr>
            <w:tcW w:w="129"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26,258</w:t>
            </w:r>
          </w:p>
        </w:tc>
        <w:tc>
          <w:tcPr>
            <w:tcW w:w="22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(49,542)</w:t>
            </w:r>
          </w:p>
        </w:tc>
        <w:tc>
          <w:tcPr>
            <w:tcW w:w="120"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(26,129)</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Cash Flows (used in) provided by Investing Activities:</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left"/>
              <w:rPr/>
            </w:pPr>
            <w:r>
              <w:rPr/>
              <w:t>​</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left"/>
              <w:rPr/>
            </w:pPr>
            <w:r>
              <w:rPr/>
              <w:t>​</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left"/>
              <w:rPr/>
            </w:pPr>
            <w:r>
              <w:rPr/>
              <w:t>​</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Purchases of short-term investments</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(51,380)</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(105,650)</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(52,358)</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Proceeds from sale of short-term investments</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pPr>
            <w:r>
              <w:rPr/>
              <w:t>—</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108,763</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Maturities of short-term investments</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49,999</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103,216</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50,000</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Purchases of property and equipment</w:t>
            </w:r>
          </w:p>
        </w:tc>
        <w:tc>
          <w:tcPr>
            <w:tcW w:w="109"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(1,931)</w:t>
            </w:r>
          </w:p>
        </w:tc>
        <w:tc>
          <w:tcPr>
            <w:tcW w:w="129"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(1,620)</w:t>
            </w:r>
          </w:p>
        </w:tc>
        <w:tc>
          <w:tcPr>
            <w:tcW w:w="22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(3,915)</w:t>
            </w:r>
          </w:p>
        </w:tc>
        <w:tc>
          <w:tcPr>
            <w:tcW w:w="120"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(3,331)</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(used in) provided by investing activities</w:t>
            </w:r>
          </w:p>
        </w:tc>
        <w:tc>
          <w:tcPr>
            <w:tcW w:w="109"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(3,312)</w:t>
            </w:r>
          </w:p>
        </w:tc>
        <w:tc>
          <w:tcPr>
            <w:tcW w:w="129"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(1,620)</w:t>
            </w:r>
          </w:p>
        </w:tc>
        <w:tc>
          <w:tcPr>
            <w:tcW w:w="22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(6,349)</w:t>
            </w:r>
          </w:p>
        </w:tc>
        <w:tc>
          <w:tcPr>
            <w:tcW w:w="120"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103,074</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Cash Flows used in Financing Activities:</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left"/>
              <w:rPr/>
            </w:pPr>
            <w:r>
              <w:rPr/>
              <w:t>​</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left"/>
              <w:rPr/>
            </w:pPr>
            <w:r>
              <w:rPr/>
              <w:t>​</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left"/>
              <w:rPr/>
            </w:pPr>
            <w:r>
              <w:rPr/>
              <w:t>​</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Proceeds from short-term borrowings</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pPr>
            <w:r>
              <w:rPr/>
              <w:t>—</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732</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Repayment of short-term borrowings</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pPr>
            <w:r>
              <w:rPr/>
              <w:t>—</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(732)</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Purchase of common stock for treasury shares</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(16,725)</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(2,481)</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(60,464)</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Payments for excise tax on purchase of common stock for treasury shares</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(678)</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(678)</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Dividend payments</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(5,045)</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(3,810)</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(10,085)</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(7,720)</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Issuance of common stock under Employee Stock Purchase Plan</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602</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619</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602</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619</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Payment of payroll taxes on stock-based compensation through shares withheld</w:t>
            </w:r>
          </w:p>
        </w:tc>
        <w:tc>
          <w:tcPr>
            <w:tcW w:w="109"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(300)</w:t>
            </w:r>
          </w:p>
        </w:tc>
        <w:tc>
          <w:tcPr>
            <w:tcW w:w="129"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(399)</w:t>
            </w:r>
          </w:p>
        </w:tc>
        <w:tc>
          <w:tcPr>
            <w:tcW w:w="22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(971)</w:t>
            </w:r>
          </w:p>
        </w:tc>
        <w:tc>
          <w:tcPr>
            <w:tcW w:w="120"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(918)</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used in financing activities</w:t>
            </w:r>
          </w:p>
        </w:tc>
        <w:tc>
          <w:tcPr>
            <w:tcW w:w="109"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(5,421)</w:t>
            </w:r>
          </w:p>
        </w:tc>
        <w:tc>
          <w:tcPr>
            <w:tcW w:w="129"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(20,351)</w:t>
            </w:r>
          </w:p>
        </w:tc>
        <w:tc>
          <w:tcPr>
            <w:tcW w:w="22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(13,613)</w:t>
            </w:r>
          </w:p>
        </w:tc>
        <w:tc>
          <w:tcPr>
            <w:tcW w:w="120"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(68,519)</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(Decrease) increase in cash and cash equivalents</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(72,542)</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4,287</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(69,504)</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8,426</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and cash equivalents, beginning of period</w:t>
            </w:r>
          </w:p>
        </w:tc>
        <w:tc>
          <w:tcPr>
            <w:tcW w:w="109"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196,259</w:t>
            </w:r>
          </w:p>
        </w:tc>
        <w:tc>
          <w:tcPr>
            <w:tcW w:w="129"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182,457</w:t>
            </w:r>
          </w:p>
        </w:tc>
        <w:tc>
          <w:tcPr>
            <w:tcW w:w="22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193,221</w:t>
            </w:r>
          </w:p>
        </w:tc>
        <w:tc>
          <w:tcPr>
            <w:tcW w:w="120"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178,318</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and cash equivalents, end of period</w:t>
            </w:r>
          </w:p>
        </w:tc>
        <w:tc>
          <w:tcPr>
            <w:tcW w:w="109" w:type="dxa"/>
            <w:tcBorders/>
            <w:vAlign w:val="center"/>
          </w:tcPr>
          <w:p>
            <w:pPr>
              <w:pStyle w:val="TableContents"/>
              <w:bidi w:val="0"/>
              <w:spacing w:before="0" w:after="0"/>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5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123,717</w:t>
            </w:r>
          </w:p>
        </w:tc>
        <w:tc>
          <w:tcPr>
            <w:tcW w:w="129" w:type="dxa"/>
            <w:tcBorders/>
            <w:vAlign w:val="center"/>
          </w:tcPr>
          <w:p>
            <w:pPr>
              <w:pStyle w:val="TableContents"/>
              <w:bidi w:val="0"/>
              <w:spacing w:before="0" w:after="0"/>
              <w:ind w:left="0" w:right="0" w:hanging="0"/>
              <w:jc w:val="right"/>
              <w:rPr/>
            </w:pPr>
            <w:r>
              <w:rPr/>
              <w:t>​</w:t>
            </w:r>
          </w:p>
        </w:tc>
        <w:tc>
          <w:tcPr>
            <w:tcW w:w="25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5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186,744</w:t>
            </w:r>
          </w:p>
        </w:tc>
        <w:tc>
          <w:tcPr>
            <w:tcW w:w="226"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123,717</w:t>
            </w:r>
          </w:p>
        </w:tc>
        <w:tc>
          <w:tcPr>
            <w:tcW w:w="120" w:type="dxa"/>
            <w:tcBorders/>
            <w:vAlign w:val="center"/>
          </w:tcPr>
          <w:p>
            <w:pPr>
              <w:pStyle w:val="TableContents"/>
              <w:bidi w:val="0"/>
              <w:spacing w:before="0" w:after="0"/>
              <w:ind w:left="0" w:right="0" w:hanging="0"/>
              <w:jc w:val="righ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4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186,744</w:t>
            </w:r>
          </w:p>
        </w:tc>
      </w:tr>
      <w:tr>
        <w:trPr/>
        <w:tc>
          <w:tcPr>
            <w:tcW w:w="481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left"/>
              <w:rPr/>
            </w:pPr>
            <w:r>
              <w:rPr/>
              <w:t>​</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left"/>
              <w:rPr/>
            </w:pPr>
            <w:r>
              <w:rPr/>
              <w:t>​</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left"/>
              <w:rPr/>
            </w:pPr>
            <w:r>
              <w:rPr/>
              <w:t>​</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Non-cash Investing and Financing Activities:</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left"/>
              <w:rPr/>
            </w:pPr>
            <w:r>
              <w:rPr/>
              <w:t>​</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left"/>
              <w:rPr/>
            </w:pPr>
            <w:r>
              <w:rPr/>
              <w:t>​</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left"/>
              <w:rPr/>
            </w:pPr>
            <w:r>
              <w:rPr/>
              <w:t>​</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purchases of property and equipment</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346</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4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346</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purchase of treasury shares</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59"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2" w:type="dxa"/>
            <w:tcBorders/>
            <w:vAlign w:val="center"/>
          </w:tcPr>
          <w:p>
            <w:pPr>
              <w:pStyle w:val="TableContents"/>
              <w:bidi w:val="0"/>
              <w:spacing w:before="0" w:after="0"/>
              <w:ind w:left="0" w:right="0" w:hanging="0"/>
              <w:jc w:val="right"/>
              <w:rPr/>
            </w:pPr>
            <w:r>
              <w:rPr/>
              <w:t>—</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4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w:t>
            </w:r>
          </w:p>
        </w:tc>
      </w:tr>
      <w:tr>
        <w:trPr/>
        <w:tc>
          <w:tcPr>
            <w:tcW w:w="481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excise tax on treasury purchases</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59"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572</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2" w:type="dxa"/>
            <w:tcBorders/>
            <w:vAlign w:val="center"/>
          </w:tcPr>
          <w:p>
            <w:pPr>
              <w:pStyle w:val="TableContents"/>
              <w:bidi w:val="0"/>
              <w:spacing w:before="0" w:after="0"/>
              <w:ind w:left="0" w:right="0" w:hanging="0"/>
              <w:jc w:val="right"/>
              <w:rPr/>
            </w:pPr>
            <w:r>
              <w:rPr/>
              <w:t>—</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42" w:type="dxa"/>
            <w:tcBorders/>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572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bookmarkStart w:id="40" w:name="AdjustedEBITDA"/>
      <w:bookmarkEnd w:id="40"/>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Arial;Helvetica;sans-serif" w:hAnsi="Arial;Helvetica;sans-serif"/>
          <w:b/>
          <w:sz w:val="24"/>
        </w:rPr>
      </w:pPr>
      <w:r>
        <w:rPr>
          <w:rFonts w:ascii="Arial;Helvetica;sans-serif" w:hAnsi="Arial;Helvetica;sans-serif"/>
          <w:b/>
          <w:sz w:val="24"/>
        </w:rPr>
        <w:t>EBITDA AND ADJUSTED EBITDA</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 reconciliation of EBITDA and Adjusted EBITDA to Net Income is detailed below. Adjusted EBITDA is defined as EBITDA (defined as earnings before interest, taxes, depreciation and amortization) adjusted for stock-based compensation, severance expenses and non-routine legal settlements. Both EBITDA and Adjusted EBITDA are considered non-GAAP financial measures. Generally, a non-GAAP financial measure is a numerical measure of a company’s performance, financial position, or cash flows that either includes or excludes amounts that are not normally included or excluded in the most directly comparable measure calculated and presented in accordance with GAAP. We believe that EBITDA and Adjusted EBITDA provide helpful information with respect to our operating performance including our ability to fund our future capital expenditures and working capital requirements. Adjusted EBITDA also provides helpful information as it is the primary measure used in certain financial covenants contained in our credit agreement. When analyzing our operating performance, investors should use EBITDA and Adjusted EBITDA in addition to, and not as alternatives for Net income or any other performance measure presented in accordance with GAAP. Our non-GAAP financial measures may not be comparable to other similarly titled measures of other companies.</w:t>
      </w:r>
    </w:p>
    <w:p>
      <w:pPr>
        <w:pStyle w:val="TextBody"/>
        <w:bidi w:val="0"/>
        <w:spacing w:before="0" w:after="0"/>
        <w:ind w:left="0" w:right="0" w:hanging="0"/>
        <w:jc w:val="left"/>
        <w:rPr/>
      </w:pPr>
      <w:r>
        <w:rPr/>
        <w:t>​</w:t>
      </w:r>
    </w:p>
    <w:tbl>
      <w:tblPr>
        <w:tblW w:w="9500" w:type="dxa"/>
        <w:jc w:val="left"/>
        <w:tblInd w:w="0" w:type="dxa"/>
        <w:tblLayout w:type="fixed"/>
        <w:tblCellMar>
          <w:top w:w="0" w:type="dxa"/>
          <w:left w:w="0" w:type="dxa"/>
          <w:bottom w:w="0" w:type="dxa"/>
          <w:right w:w="0" w:type="dxa"/>
        </w:tblCellMar>
      </w:tblPr>
      <w:tblGrid>
        <w:gridCol w:w="2701"/>
        <w:gridCol w:w="109"/>
        <w:gridCol w:w="223"/>
        <w:gridCol w:w="748"/>
        <w:gridCol w:w="115"/>
        <w:gridCol w:w="223"/>
        <w:gridCol w:w="748"/>
        <w:gridCol w:w="115"/>
        <w:gridCol w:w="625"/>
        <w:gridCol w:w="426"/>
        <w:gridCol w:w="109"/>
        <w:gridCol w:w="211"/>
        <w:gridCol w:w="811"/>
        <w:gridCol w:w="109"/>
        <w:gridCol w:w="211"/>
        <w:gridCol w:w="811"/>
        <w:gridCol w:w="109"/>
        <w:gridCol w:w="649"/>
        <w:gridCol w:w="447"/>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715135" cy="175260"/>
                      <wp:effectExtent l="0" t="0" r="0" b="0"/>
                      <wp:wrapNone/>
                      <wp:docPr id="61" name="Frame60"/>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9215" cy="175260"/>
                      <wp:effectExtent l="0" t="0" r="0" b="0"/>
                      <wp:wrapNone/>
                      <wp:docPr id="62"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41605" cy="175260"/>
                      <wp:effectExtent l="0" t="0" r="0" b="0"/>
                      <wp:wrapNone/>
                      <wp:docPr id="63" name="Frame62"/>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74980" cy="175260"/>
                      <wp:effectExtent l="0" t="0" r="0" b="0"/>
                      <wp:wrapNone/>
                      <wp:docPr id="64" name="Frame63"/>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73025" cy="175260"/>
                      <wp:effectExtent l="0" t="0" r="0" b="0"/>
                      <wp:wrapNone/>
                      <wp:docPr id="65" name="Frame64"/>
                      <a:graphic xmlns:a="http://schemas.openxmlformats.org/drawingml/2006/main">
                        <a:graphicData uri="http://schemas.microsoft.com/office/word/2010/wordprocessingShape">
                          <wps:wsp>
                            <wps:cNvSpPr txBox="1"/>
                            <wps:spPr>
                              <a:xfrm>
                                <a:off x="0" y="0"/>
                                <a:ext cx="73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41605" cy="175260"/>
                      <wp:effectExtent l="0" t="0" r="0" b="0"/>
                      <wp:wrapNone/>
                      <wp:docPr id="66" name="Frame65"/>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74980" cy="175260"/>
                      <wp:effectExtent l="0" t="0" r="0" b="0"/>
                      <wp:wrapNone/>
                      <wp:docPr id="67" name="Frame66"/>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73025" cy="175260"/>
                      <wp:effectExtent l="0" t="0" r="0" b="0"/>
                      <wp:wrapNone/>
                      <wp:docPr id="68" name="Frame67"/>
                      <a:graphic xmlns:a="http://schemas.openxmlformats.org/drawingml/2006/main">
                        <a:graphicData uri="http://schemas.microsoft.com/office/word/2010/wordprocessingShape">
                          <wps:wsp>
                            <wps:cNvSpPr txBox="1"/>
                            <wps:spPr>
                              <a:xfrm>
                                <a:off x="0" y="0"/>
                                <a:ext cx="73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396875" cy="175260"/>
                      <wp:effectExtent l="0" t="0" r="0" b="0"/>
                      <wp:wrapNone/>
                      <wp:docPr id="69" name="Frame68"/>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70510" cy="175260"/>
                      <wp:effectExtent l="0" t="0" r="0" b="0"/>
                      <wp:wrapNone/>
                      <wp:docPr id="70" name="Frame69"/>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9215" cy="175260"/>
                      <wp:effectExtent l="0" t="0" r="0" b="0"/>
                      <wp:wrapNone/>
                      <wp:docPr id="71"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14985" cy="175260"/>
                      <wp:effectExtent l="0" t="0" r="0" b="0"/>
                      <wp:wrapNone/>
                      <wp:docPr id="73" name="Frame72"/>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9215" cy="175260"/>
                      <wp:effectExtent l="0" t="0" r="0" b="0"/>
                      <wp:wrapNone/>
                      <wp:docPr id="74" name="Frame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14985" cy="175260"/>
                      <wp:effectExtent l="0" t="0" r="0" b="0"/>
                      <wp:wrapNone/>
                      <wp:docPr id="76" name="Frame7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215" cy="175260"/>
                      <wp:effectExtent l="0" t="0" r="0" b="0"/>
                      <wp:wrapNone/>
                      <wp:docPr id="77" name="Frame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12115" cy="175260"/>
                      <wp:effectExtent l="0" t="0" r="0" b="0"/>
                      <wp:wrapNone/>
                      <wp:docPr id="78" name="Frame77"/>
                      <a:graphic xmlns:a="http://schemas.openxmlformats.org/drawingml/2006/main">
                        <a:graphicData uri="http://schemas.microsoft.com/office/word/2010/wordprocessingShape">
                          <wps:wsp>
                            <wps:cNvSpPr txBox="1"/>
                            <wps:spPr>
                              <a:xfrm>
                                <a:off x="0" y="0"/>
                                <a:ext cx="412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83845" cy="175260"/>
                      <wp:effectExtent l="0" t="0" r="0" b="0"/>
                      <wp:wrapNone/>
                      <wp:docPr id="79" name="Frame78"/>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2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Three Months Ended June 30, </w:t>
            </w:r>
          </w:p>
        </w:tc>
        <w:tc>
          <w:tcPr>
            <w:tcW w:w="109" w:type="dxa"/>
            <w:tcBorders/>
            <w:vAlign w:val="center"/>
          </w:tcPr>
          <w:p>
            <w:pPr>
              <w:pStyle w:val="TableContents"/>
              <w:bidi w:val="0"/>
              <w:spacing w:before="0" w:after="0"/>
              <w:ind w:left="0" w:right="0" w:hanging="0"/>
              <w:jc w:val="left"/>
              <w:rPr/>
            </w:pPr>
            <w:r>
              <w:rPr/>
              <w:t>​</w:t>
            </w:r>
          </w:p>
        </w:tc>
        <w:tc>
          <w:tcPr>
            <w:tcW w:w="335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Arial;Helvetica;sans-serif" w:hAnsi="Arial;Helvetica;sans-serif"/>
                <w:b/>
                <w:sz w:val="20"/>
              </w:rPr>
              <w:t>LTM Ended June 30, </w:t>
            </w:r>
            <w:r>
              <w:rPr>
                <w:rFonts w:ascii="Arial;Helvetica;sans-serif" w:hAnsi="Arial;Helvetica;sans-serif"/>
                <w:b/>
                <w:sz w:val="15"/>
              </w:rPr>
              <w:t>(1)</w:t>
            </w:r>
          </w:p>
        </w:tc>
      </w:tr>
      <w:tr>
        <w:trPr/>
        <w:tc>
          <w:tcPr>
            <w:tcW w:w="2701" w:type="dxa"/>
            <w:tcBorders/>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(amounts in thousands)</w:t>
            </w:r>
          </w:p>
        </w:tc>
        <w:tc>
          <w:tcPr>
            <w:tcW w:w="109" w:type="dxa"/>
            <w:tcBorders/>
            <w:vAlign w:val="center"/>
          </w:tcPr>
          <w:p>
            <w:pPr>
              <w:pStyle w:val="TableContents"/>
              <w:bidi w:val="0"/>
              <w:spacing w:before="0" w:after="0"/>
              <w:ind w:left="0" w:right="0" w:hanging="0"/>
              <w:jc w:val="left"/>
              <w:rPr/>
            </w:pPr>
            <w:r>
              <w:rPr/>
              <w:t>​</w:t>
            </w:r>
          </w:p>
        </w:tc>
        <w:tc>
          <w:tcPr>
            <w:tcW w:w="9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115" w:type="dxa"/>
            <w:tcBorders/>
            <w:vAlign w:val="center"/>
          </w:tcPr>
          <w:p>
            <w:pPr>
              <w:pStyle w:val="TableContents"/>
              <w:bidi w:val="0"/>
              <w:spacing w:before="0" w:after="0"/>
              <w:ind w:left="0" w:right="0" w:hanging="0"/>
              <w:jc w:val="center"/>
              <w:rPr/>
            </w:pPr>
            <w:r>
              <w:rPr/>
              <w:t>​</w:t>
            </w:r>
          </w:p>
        </w:tc>
        <w:tc>
          <w:tcPr>
            <w:tcW w:w="9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15" w:type="dxa"/>
            <w:tcBorders/>
            <w:vAlign w:val="center"/>
          </w:tcPr>
          <w:p>
            <w:pPr>
              <w:pStyle w:val="TableContents"/>
              <w:bidi w:val="0"/>
              <w:spacing w:before="0" w:after="0"/>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Change</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109"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09" w:type="dxa"/>
            <w:tcBorders/>
            <w:vAlign w:val="center"/>
          </w:tcPr>
          <w:p>
            <w:pPr>
              <w:pStyle w:val="TableContents"/>
              <w:bidi w:val="0"/>
              <w:spacing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Change</w:t>
            </w:r>
          </w:p>
        </w:tc>
      </w:tr>
      <w:tr>
        <w:trPr/>
        <w:tc>
          <w:tcPr>
            <w:tcW w:w="270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Net income</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4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33,168</w:t>
            </w:r>
          </w:p>
        </w:tc>
        <w:tc>
          <w:tcPr>
            <w:tcW w:w="115"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4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24,789</w:t>
            </w:r>
          </w:p>
        </w:tc>
        <w:tc>
          <w:tcPr>
            <w:tcW w:w="115"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w:t>
            </w:r>
          </w:p>
        </w:tc>
        <w:tc>
          <w:tcPr>
            <w:tcW w:w="4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95,843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86,050</w:t>
            </w:r>
          </w:p>
        </w:tc>
        <w:tc>
          <w:tcPr>
            <w:tcW w:w="109" w:type="dxa"/>
            <w:tcBorders/>
            <w:vAlign w:val="center"/>
          </w:tcPr>
          <w:p>
            <w:pPr>
              <w:pStyle w:val="TableContents"/>
              <w:bidi w:val="0"/>
              <w:spacing w:before="0" w:after="0"/>
              <w:ind w:left="0" w:right="0" w:hanging="0"/>
              <w:jc w:val="left"/>
              <w:rPr/>
            </w:pPr>
            <w:r>
              <w:rPr/>
              <w:t>​</w:t>
            </w:r>
          </w:p>
        </w:tc>
        <w:tc>
          <w:tcPr>
            <w:tcW w:w="64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w:t>
            </w:r>
          </w:p>
        </w:tc>
        <w:tc>
          <w:tcPr>
            <w:tcW w:w="44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70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2,736</w:t>
            </w:r>
          </w:p>
        </w:tc>
        <w:tc>
          <w:tcPr>
            <w:tcW w:w="115"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2,866</w:t>
            </w:r>
          </w:p>
        </w:tc>
        <w:tc>
          <w:tcPr>
            <w:tcW w:w="115"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c>
          <w:tcPr>
            <w:tcW w:w="4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11,271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12,410</w:t>
            </w:r>
          </w:p>
        </w:tc>
        <w:tc>
          <w:tcPr>
            <w:tcW w:w="109" w:type="dxa"/>
            <w:tcBorders/>
            <w:vAlign w:val="center"/>
          </w:tcPr>
          <w:p>
            <w:pPr>
              <w:pStyle w:val="TableContents"/>
              <w:bidi w:val="0"/>
              <w:spacing w:before="0" w:after="0"/>
              <w:ind w:left="0" w:right="0" w:hanging="0"/>
              <w:jc w:val="left"/>
              <w:rPr/>
            </w:pPr>
            <w:r>
              <w:rPr/>
              <w:t>​</w:t>
            </w:r>
          </w:p>
        </w:tc>
        <w:tc>
          <w:tcPr>
            <w:tcW w:w="64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w:t>
            </w:r>
          </w:p>
        </w:tc>
        <w:tc>
          <w:tcPr>
            <w:tcW w:w="447" w:type="dxa"/>
            <w:tcBorders/>
            <w:vAlign w:val="center"/>
          </w:tcPr>
          <w:p>
            <w:pPr>
              <w:pStyle w:val="TableContents"/>
              <w:bidi w:val="0"/>
              <w:spacing w:before="0" w:after="0"/>
              <w:ind w:left="0" w:right="0" w:hanging="0"/>
              <w:jc w:val="left"/>
              <w:rPr/>
            </w:pPr>
            <w:r>
              <w:rPr/>
              <w:t>​</w:t>
            </w:r>
          </w:p>
        </w:tc>
      </w:tr>
      <w:tr>
        <w:trPr/>
        <w:tc>
          <w:tcPr>
            <w:tcW w:w="270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tax expense</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12,369</w:t>
            </w:r>
          </w:p>
        </w:tc>
        <w:tc>
          <w:tcPr>
            <w:tcW w:w="115"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9,324</w:t>
            </w:r>
          </w:p>
        </w:tc>
        <w:tc>
          <w:tcPr>
            <w:tcW w:w="115"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w:t>
            </w:r>
          </w:p>
        </w:tc>
        <w:tc>
          <w:tcPr>
            <w:tcW w:w="4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34,399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30,449</w:t>
            </w:r>
          </w:p>
        </w:tc>
        <w:tc>
          <w:tcPr>
            <w:tcW w:w="109" w:type="dxa"/>
            <w:tcBorders/>
            <w:vAlign w:val="center"/>
          </w:tcPr>
          <w:p>
            <w:pPr>
              <w:pStyle w:val="TableContents"/>
              <w:bidi w:val="0"/>
              <w:spacing w:before="0" w:after="0"/>
              <w:ind w:left="0" w:right="0" w:hanging="0"/>
              <w:jc w:val="left"/>
              <w:rPr/>
            </w:pPr>
            <w:r>
              <w:rPr/>
              <w:t>​</w:t>
            </w:r>
          </w:p>
        </w:tc>
        <w:tc>
          <w:tcPr>
            <w:tcW w:w="64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w:t>
            </w:r>
          </w:p>
        </w:tc>
        <w:tc>
          <w:tcPr>
            <w:tcW w:w="447" w:type="dxa"/>
            <w:tcBorders/>
            <w:vAlign w:val="center"/>
          </w:tcPr>
          <w:p>
            <w:pPr>
              <w:pStyle w:val="TableContents"/>
              <w:bidi w:val="0"/>
              <w:spacing w:before="0" w:after="0"/>
              <w:ind w:left="0" w:right="0" w:hanging="0"/>
              <w:jc w:val="left"/>
              <w:rPr/>
            </w:pPr>
            <w:r>
              <w:rPr/>
              <w:t>​</w:t>
            </w:r>
          </w:p>
        </w:tc>
      </w:tr>
      <w:tr>
        <w:trPr/>
        <w:tc>
          <w:tcPr>
            <w:tcW w:w="270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income</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(2,532)</w:t>
            </w:r>
          </w:p>
        </w:tc>
        <w:tc>
          <w:tcPr>
            <w:tcW w:w="115"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(3,219)</w:t>
            </w:r>
          </w:p>
        </w:tc>
        <w:tc>
          <w:tcPr>
            <w:tcW w:w="115"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w:t>
            </w:r>
          </w:p>
        </w:tc>
        <w:tc>
          <w:tcPr>
            <w:tcW w:w="4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(13,224)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(16,790)</w:t>
            </w:r>
          </w:p>
        </w:tc>
        <w:tc>
          <w:tcPr>
            <w:tcW w:w="109" w:type="dxa"/>
            <w:tcBorders/>
            <w:vAlign w:val="center"/>
          </w:tcPr>
          <w:p>
            <w:pPr>
              <w:pStyle w:val="TableContents"/>
              <w:bidi w:val="0"/>
              <w:spacing w:before="0" w:after="0"/>
              <w:ind w:left="0" w:right="0" w:hanging="0"/>
              <w:jc w:val="left"/>
              <w:rPr/>
            </w:pPr>
            <w:r>
              <w:rPr/>
              <w:t>​</w:t>
            </w:r>
          </w:p>
        </w:tc>
        <w:tc>
          <w:tcPr>
            <w:tcW w:w="64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w:t>
            </w:r>
          </w:p>
        </w:tc>
        <w:tc>
          <w:tcPr>
            <w:tcW w:w="447" w:type="dxa"/>
            <w:tcBorders/>
            <w:vAlign w:val="center"/>
          </w:tcPr>
          <w:p>
            <w:pPr>
              <w:pStyle w:val="TableContents"/>
              <w:bidi w:val="0"/>
              <w:spacing w:before="0" w:after="0"/>
              <w:ind w:left="0" w:right="0" w:hanging="0"/>
              <w:jc w:val="left"/>
              <w:rPr/>
            </w:pPr>
            <w:r>
              <w:rPr/>
              <w:t>​</w:t>
            </w:r>
          </w:p>
        </w:tc>
      </w:tr>
      <w:tr>
        <w:trPr/>
        <w:tc>
          <w:tcPr>
            <w:tcW w:w="270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expense</w:t>
            </w:r>
          </w:p>
        </w:tc>
        <w:tc>
          <w:tcPr>
            <w:tcW w:w="109"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c>
          <w:tcPr>
            <w:tcW w:w="115"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115"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w:t>
            </w:r>
          </w:p>
        </w:tc>
        <w:tc>
          <w:tcPr>
            <w:tcW w:w="4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165</w:t>
            </w:r>
          </w:p>
        </w:tc>
        <w:tc>
          <w:tcPr>
            <w:tcW w:w="109" w:type="dxa"/>
            <w:tcBorders/>
            <w:vAlign w:val="center"/>
          </w:tcPr>
          <w:p>
            <w:pPr>
              <w:pStyle w:val="TableContents"/>
              <w:bidi w:val="0"/>
              <w:spacing w:before="0" w:after="0"/>
              <w:ind w:left="0" w:right="0" w:hanging="0"/>
              <w:jc w:val="left"/>
              <w:rPr/>
            </w:pPr>
            <w:r>
              <w:rPr/>
              <w:t>​</w:t>
            </w:r>
          </w:p>
        </w:tc>
        <w:tc>
          <w:tcPr>
            <w:tcW w:w="64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w:t>
            </w:r>
          </w:p>
        </w:tc>
        <w:tc>
          <w:tcPr>
            <w:tcW w:w="447" w:type="dxa"/>
            <w:tcBorders/>
            <w:vAlign w:val="center"/>
          </w:tcPr>
          <w:p>
            <w:pPr>
              <w:pStyle w:val="TableContents"/>
              <w:bidi w:val="0"/>
              <w:spacing w:before="0" w:after="0"/>
              <w:ind w:left="0" w:right="0" w:hanging="0"/>
              <w:jc w:val="right"/>
              <w:rPr/>
            </w:pPr>
            <w:r>
              <w:rPr/>
              <w:t>​</w:t>
            </w:r>
          </w:p>
        </w:tc>
      </w:tr>
      <w:tr>
        <w:trPr/>
        <w:tc>
          <w:tcPr>
            <w:tcW w:w="270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EBITDA</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45,748</w:t>
            </w:r>
          </w:p>
        </w:tc>
        <w:tc>
          <w:tcPr>
            <w:tcW w:w="115"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33,763</w:t>
            </w:r>
          </w:p>
        </w:tc>
        <w:tc>
          <w:tcPr>
            <w:tcW w:w="115"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w:t>
            </w:r>
          </w:p>
        </w:tc>
        <w:tc>
          <w:tcPr>
            <w:tcW w:w="4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128,371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112,284</w:t>
            </w:r>
          </w:p>
        </w:tc>
        <w:tc>
          <w:tcPr>
            <w:tcW w:w="109" w:type="dxa"/>
            <w:tcBorders/>
            <w:vAlign w:val="center"/>
          </w:tcPr>
          <w:p>
            <w:pPr>
              <w:pStyle w:val="TableContents"/>
              <w:bidi w:val="0"/>
              <w:spacing w:before="0" w:after="0"/>
              <w:ind w:left="0" w:right="0" w:hanging="0"/>
              <w:jc w:val="left"/>
              <w:rPr/>
            </w:pPr>
            <w:r>
              <w:rPr/>
              <w:t>​</w:t>
            </w:r>
          </w:p>
        </w:tc>
        <w:tc>
          <w:tcPr>
            <w:tcW w:w="64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w:t>
            </w:r>
          </w:p>
        </w:tc>
        <w:tc>
          <w:tcPr>
            <w:tcW w:w="447" w:type="dxa"/>
            <w:tcBorders/>
            <w:vAlign w:val="center"/>
          </w:tcPr>
          <w:p>
            <w:pPr>
              <w:pStyle w:val="TableContents"/>
              <w:bidi w:val="0"/>
              <w:spacing w:before="0" w:after="0"/>
              <w:ind w:left="0" w:right="0" w:hanging="0"/>
              <w:jc w:val="left"/>
              <w:rPr/>
            </w:pPr>
            <w:r>
              <w:rPr/>
              <w:t>​</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Severance expenses </w:t>
            </w:r>
            <w:r>
              <w:rPr>
                <w:rFonts w:ascii="Arial;Helvetica;sans-serif" w:hAnsi="Arial;Helvetica;sans-serif"/>
                <w:sz w:val="15"/>
              </w:rPr>
              <w:t>(2)</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pPr>
            <w:r>
              <w:rPr/>
              <w:t>—</w:t>
            </w:r>
          </w:p>
        </w:tc>
        <w:tc>
          <w:tcPr>
            <w:tcW w:w="115"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pPr>
            <w:r>
              <w:rPr/>
              <w:t>—</w:t>
            </w:r>
          </w:p>
        </w:tc>
        <w:tc>
          <w:tcPr>
            <w:tcW w:w="115"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c>
          <w:tcPr>
            <w:tcW w:w="4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6,143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2,930</w:t>
            </w:r>
          </w:p>
        </w:tc>
        <w:tc>
          <w:tcPr>
            <w:tcW w:w="109" w:type="dxa"/>
            <w:tcBorders/>
            <w:vAlign w:val="center"/>
          </w:tcPr>
          <w:p>
            <w:pPr>
              <w:pStyle w:val="TableContents"/>
              <w:bidi w:val="0"/>
              <w:spacing w:before="0" w:after="0"/>
              <w:ind w:left="0" w:right="0" w:hanging="0"/>
              <w:jc w:val="left"/>
              <w:rPr/>
            </w:pPr>
            <w:r>
              <w:rPr/>
              <w:t>​</w:t>
            </w:r>
          </w:p>
        </w:tc>
        <w:tc>
          <w:tcPr>
            <w:tcW w:w="64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w:t>
            </w:r>
          </w:p>
        </w:tc>
        <w:tc>
          <w:tcPr>
            <w:tcW w:w="447" w:type="dxa"/>
            <w:tcBorders/>
            <w:vAlign w:val="center"/>
          </w:tcPr>
          <w:p>
            <w:pPr>
              <w:pStyle w:val="TableContents"/>
              <w:bidi w:val="0"/>
              <w:spacing w:before="0" w:after="0"/>
              <w:ind w:left="0" w:right="0" w:hanging="0"/>
              <w:jc w:val="left"/>
              <w:rPr/>
            </w:pPr>
            <w:r>
              <w:rPr/>
              <w:t>​</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Legal settlement </w:t>
            </w:r>
            <w:r>
              <w:rPr>
                <w:rFonts w:ascii="Arial;Helvetica;sans-serif" w:hAnsi="Arial;Helvetica;sans-serif"/>
                <w:sz w:val="15"/>
              </w:rPr>
              <w:t>(3)</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pPr>
            <w:r>
              <w:rPr/>
              <w:t>—</w:t>
            </w:r>
          </w:p>
        </w:tc>
        <w:tc>
          <w:tcPr>
            <w:tcW w:w="115"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pPr>
            <w:r>
              <w:rPr/>
              <w:t>—</w:t>
            </w:r>
          </w:p>
        </w:tc>
        <w:tc>
          <w:tcPr>
            <w:tcW w:w="115"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c>
          <w:tcPr>
            <w:tcW w:w="4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(1,700)</w:t>
            </w:r>
          </w:p>
        </w:tc>
        <w:tc>
          <w:tcPr>
            <w:tcW w:w="109" w:type="dxa"/>
            <w:tcBorders/>
            <w:vAlign w:val="center"/>
          </w:tcPr>
          <w:p>
            <w:pPr>
              <w:pStyle w:val="TableContents"/>
              <w:bidi w:val="0"/>
              <w:spacing w:before="0" w:after="0"/>
              <w:ind w:left="0" w:right="0" w:hanging="0"/>
              <w:jc w:val="left"/>
              <w:rPr/>
            </w:pPr>
            <w:r>
              <w:rPr/>
              <w:t>​</w:t>
            </w:r>
          </w:p>
        </w:tc>
        <w:tc>
          <w:tcPr>
            <w:tcW w:w="64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447" w:type="dxa"/>
            <w:tcBorders/>
            <w:vAlign w:val="center"/>
          </w:tcPr>
          <w:p>
            <w:pPr>
              <w:pStyle w:val="TableContents"/>
              <w:bidi w:val="0"/>
              <w:spacing w:before="0" w:after="0"/>
              <w:ind w:left="0" w:right="0" w:hanging="0"/>
              <w:jc w:val="left"/>
              <w:rPr/>
            </w:pPr>
            <w:r>
              <w:rPr/>
              <w:t>​</w:t>
            </w:r>
          </w:p>
        </w:tc>
      </w:tr>
      <w:tr>
        <w:trPr/>
        <w:tc>
          <w:tcPr>
            <w:tcW w:w="270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Stock-based compensation</w:t>
            </w:r>
          </w:p>
        </w:tc>
        <w:tc>
          <w:tcPr>
            <w:tcW w:w="109"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2,653</w:t>
            </w:r>
          </w:p>
        </w:tc>
        <w:tc>
          <w:tcPr>
            <w:tcW w:w="115"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2,461</w:t>
            </w:r>
          </w:p>
        </w:tc>
        <w:tc>
          <w:tcPr>
            <w:tcW w:w="115"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w:t>
            </w:r>
          </w:p>
        </w:tc>
        <w:tc>
          <w:tcPr>
            <w:tcW w:w="4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9,966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8,947</w:t>
            </w:r>
          </w:p>
        </w:tc>
        <w:tc>
          <w:tcPr>
            <w:tcW w:w="109" w:type="dxa"/>
            <w:tcBorders/>
            <w:vAlign w:val="center"/>
          </w:tcPr>
          <w:p>
            <w:pPr>
              <w:pStyle w:val="TableContents"/>
              <w:bidi w:val="0"/>
              <w:spacing w:before="0" w:after="0"/>
              <w:ind w:left="0" w:right="0" w:hanging="0"/>
              <w:jc w:val="left"/>
              <w:rPr/>
            </w:pPr>
            <w:r>
              <w:rPr/>
              <w:t>​</w:t>
            </w:r>
          </w:p>
        </w:tc>
        <w:tc>
          <w:tcPr>
            <w:tcW w:w="64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w:t>
            </w:r>
          </w:p>
        </w:tc>
        <w:tc>
          <w:tcPr>
            <w:tcW w:w="447" w:type="dxa"/>
            <w:tcBorders/>
            <w:vAlign w:val="center"/>
          </w:tcPr>
          <w:p>
            <w:pPr>
              <w:pStyle w:val="TableContents"/>
              <w:bidi w:val="0"/>
              <w:spacing w:before="0" w:after="0"/>
              <w:ind w:left="0" w:right="0" w:hanging="0"/>
              <w:jc w:val="left"/>
              <w:rPr/>
            </w:pPr>
            <w:r>
              <w:rPr/>
              <w:t>​</w:t>
            </w:r>
          </w:p>
        </w:tc>
      </w:tr>
      <w:tr>
        <w:trPr/>
        <w:tc>
          <w:tcPr>
            <w:tcW w:w="270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Adjusted EBITDA</w:t>
            </w:r>
          </w:p>
        </w:tc>
        <w:tc>
          <w:tcPr>
            <w:tcW w:w="109"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4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48,401</w:t>
            </w:r>
          </w:p>
        </w:tc>
        <w:tc>
          <w:tcPr>
            <w:tcW w:w="115"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4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36,224</w:t>
            </w:r>
          </w:p>
        </w:tc>
        <w:tc>
          <w:tcPr>
            <w:tcW w:w="115"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w:t>
            </w:r>
          </w:p>
        </w:tc>
        <w:tc>
          <w:tcPr>
            <w:tcW w:w="4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144,480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122,461</w:t>
            </w:r>
          </w:p>
        </w:tc>
        <w:tc>
          <w:tcPr>
            <w:tcW w:w="109" w:type="dxa"/>
            <w:tcBorders/>
            <w:vAlign w:val="center"/>
          </w:tcPr>
          <w:p>
            <w:pPr>
              <w:pStyle w:val="TableContents"/>
              <w:bidi w:val="0"/>
              <w:spacing w:before="0" w:after="0"/>
              <w:ind w:left="0" w:right="0" w:hanging="0"/>
              <w:jc w:val="left"/>
              <w:rPr/>
            </w:pPr>
            <w:r>
              <w:rPr/>
              <w:t>​</w:t>
            </w:r>
          </w:p>
        </w:tc>
        <w:tc>
          <w:tcPr>
            <w:tcW w:w="64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w:t>
            </w:r>
          </w:p>
        </w:tc>
        <w:tc>
          <w:tcPr>
            <w:tcW w:w="44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tbl>
      <w:tblPr>
        <w:tblW w:w="2470" w:type="dxa"/>
        <w:jc w:val="left"/>
        <w:tblInd w:w="0" w:type="dxa"/>
        <w:tblLayout w:type="fixed"/>
        <w:tblCellMar>
          <w:top w:w="0" w:type="dxa"/>
          <w:left w:w="0" w:type="dxa"/>
          <w:bottom w:w="0" w:type="dxa"/>
          <w:right w:w="0" w:type="dxa"/>
        </w:tblCellMar>
      </w:tblPr>
      <w:tblGrid>
        <w:gridCol w:w="245"/>
        <w:gridCol w:w="2225"/>
      </w:tblGrid>
      <w:tr>
        <w:trPr/>
        <w:tc>
          <w:tcPr>
            <w:tcW w:w="2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22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LTM: Last twelve months</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8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Severance expenses and other charges in 2026 consisted of voluntary retirement offering and internal restructuring activities and in 2025 consisted of internal restructuring activities.</w:t>
            </w:r>
          </w:p>
        </w:tc>
      </w:tr>
    </w:tbl>
    <w:tbl>
      <w:tblPr>
        <w:tblW w:w="8410" w:type="dxa"/>
        <w:jc w:val="left"/>
        <w:tblInd w:w="0" w:type="dxa"/>
        <w:tblLayout w:type="fixed"/>
        <w:tblCellMar>
          <w:top w:w="0" w:type="dxa"/>
          <w:left w:w="0" w:type="dxa"/>
          <w:bottom w:w="0" w:type="dxa"/>
          <w:right w:w="0" w:type="dxa"/>
        </w:tblCellMar>
      </w:tblPr>
      <w:tblGrid>
        <w:gridCol w:w="245"/>
        <w:gridCol w:w="8165"/>
      </w:tblGrid>
      <w:tr>
        <w:trPr/>
        <w:tc>
          <w:tcPr>
            <w:tcW w:w="2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81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recorded $1.7 million of other income as a result of a legal settlement received.</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4"/>
        </w:rPr>
      </w:pPr>
      <w:r>
        <w:rPr>
          <w:rFonts w:ascii="Arial;Helvetica;sans-serif" w:hAnsi="Arial;Helvetica;sans-serif"/>
          <w:b/>
          <w:sz w:val="24"/>
        </w:rPr>
        <w:t>ADJUSTED NET INCOME AND ADJUSTED DILUTED EARNINGS PER SHARE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 reconciliation of Adjusted Net Income to Net Income is detailed below. Adjusted Net Income is defined as Net Income plus severance expenses, net of tax plus or minus loss or income from non-routine legal settlements. A reconciliation of Adjusted Diluted Earnings per Share to Diluted Earnings per Share is detailed below. Adjusted Diluted Earnings per Share is defined as diluted earnings per share adjusted for severance expenses, net of tax. Adjusted Net Income and Adjusted Diluted Earnings Per Share are considered non-GAAP financial measures (see note above in EBITDA and Adjusted EBITDA for a description of non-GAAP financial measures). The Company believes that Adjusted Net Income and Adjusted Diluted Earnings per Share provide helpful information with respect to the Company's operating performance. When analyzing our operating performance, investors should use Adjusted Net Income and Adjusted Diluted Earnings per Share in addition to, and not as alternatives for Net income and Diluted Earnings per Share or any other performance measure presented in accordance with GAAP. Our non-GAAP financial measures may not be comparable to other similarly titled measures of other companies.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550"/>
        <w:gridCol w:w="109"/>
        <w:gridCol w:w="230"/>
        <w:gridCol w:w="755"/>
        <w:gridCol w:w="118"/>
        <w:gridCol w:w="230"/>
        <w:gridCol w:w="755"/>
        <w:gridCol w:w="118"/>
        <w:gridCol w:w="575"/>
        <w:gridCol w:w="476"/>
        <w:gridCol w:w="109"/>
        <w:gridCol w:w="217"/>
        <w:gridCol w:w="711"/>
        <w:gridCol w:w="111"/>
        <w:gridCol w:w="217"/>
        <w:gridCol w:w="711"/>
        <w:gridCol w:w="111"/>
        <w:gridCol w:w="535"/>
        <w:gridCol w:w="567"/>
      </w:tblGrid>
      <w:tr>
        <w:trPr/>
        <w:tc>
          <w:tcPr>
            <w:tcW w:w="35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254250" cy="175260"/>
                      <wp:effectExtent l="0" t="0" r="0" b="0"/>
                      <wp:wrapNone/>
                      <wp:docPr id="80" name="Frame79"/>
                      <a:graphic xmlns:a="http://schemas.openxmlformats.org/drawingml/2006/main">
                        <a:graphicData uri="http://schemas.microsoft.com/office/word/2010/wordprocessingShape">
                          <wps:wsp>
                            <wps:cNvSpPr txBox="1"/>
                            <wps:spPr>
                              <a:xfrm>
                                <a:off x="0" y="0"/>
                                <a:ext cx="2254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9215" cy="175260"/>
                      <wp:effectExtent l="0" t="0" r="0" b="0"/>
                      <wp:wrapNone/>
                      <wp:docPr id="81" name="Frame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46050" cy="175260"/>
                      <wp:effectExtent l="0" t="0" r="0" b="0"/>
                      <wp:wrapNone/>
                      <wp:docPr id="82" name="Frame81"/>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79425" cy="175260"/>
                      <wp:effectExtent l="0" t="0" r="0" b="0"/>
                      <wp:wrapNone/>
                      <wp:docPr id="83" name="Frame82"/>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74930" cy="175260"/>
                      <wp:effectExtent l="0" t="0" r="0" b="0"/>
                      <wp:wrapNone/>
                      <wp:docPr id="84" name="Frame83"/>
                      <a:graphic xmlns:a="http://schemas.openxmlformats.org/drawingml/2006/main">
                        <a:graphicData uri="http://schemas.microsoft.com/office/word/2010/wordprocessingShape">
                          <wps:wsp>
                            <wps:cNvSpPr txBox="1"/>
                            <wps:spPr>
                              <a:xfrm>
                                <a:off x="0" y="0"/>
                                <a:ext cx="74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46050" cy="175260"/>
                      <wp:effectExtent l="0" t="0" r="0" b="0"/>
                      <wp:wrapNone/>
                      <wp:docPr id="85" name="Frame84"/>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79425" cy="175260"/>
                      <wp:effectExtent l="0" t="0" r="0" b="0"/>
                      <wp:wrapNone/>
                      <wp:docPr id="86" name="Frame85"/>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74930" cy="175260"/>
                      <wp:effectExtent l="0" t="0" r="0" b="0"/>
                      <wp:wrapNone/>
                      <wp:docPr id="87" name="Frame86"/>
                      <a:graphic xmlns:a="http://schemas.openxmlformats.org/drawingml/2006/main">
                        <a:graphicData uri="http://schemas.microsoft.com/office/word/2010/wordprocessingShape">
                          <wps:wsp>
                            <wps:cNvSpPr txBox="1"/>
                            <wps:spPr>
                              <a:xfrm>
                                <a:off x="0" y="0"/>
                                <a:ext cx="74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365125" cy="175260"/>
                      <wp:effectExtent l="0" t="0" r="0" b="0"/>
                      <wp:wrapNone/>
                      <wp:docPr id="88" name="Frame87"/>
                      <a:graphic xmlns:a="http://schemas.openxmlformats.org/drawingml/2006/main">
                        <a:graphicData uri="http://schemas.microsoft.com/office/word/2010/wordprocessingShape">
                          <wps:wsp>
                            <wps:cNvSpPr txBox="1"/>
                            <wps:spPr>
                              <a:xfrm>
                                <a:off x="0" y="0"/>
                                <a:ext cx="365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302260" cy="175260"/>
                      <wp:effectExtent l="0" t="0" r="0" b="0"/>
                      <wp:wrapNone/>
                      <wp:docPr id="89" name="Frame88"/>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90"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7795" cy="175260"/>
                      <wp:effectExtent l="0" t="0" r="0" b="0"/>
                      <wp:wrapNone/>
                      <wp:docPr id="91" name="Frame90"/>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51485" cy="175260"/>
                      <wp:effectExtent l="0" t="0" r="0" b="0"/>
                      <wp:wrapNone/>
                      <wp:docPr id="92" name="Frame91"/>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70485" cy="175260"/>
                      <wp:effectExtent l="0" t="0" r="0" b="0"/>
                      <wp:wrapNone/>
                      <wp:docPr id="93" name="Frame92"/>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7795" cy="175260"/>
                      <wp:effectExtent l="0" t="0" r="0" b="0"/>
                      <wp:wrapNone/>
                      <wp:docPr id="94" name="Frame93"/>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51485" cy="175260"/>
                      <wp:effectExtent l="0" t="0" r="0" b="0"/>
                      <wp:wrapNone/>
                      <wp:docPr id="95" name="Frame94"/>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70485" cy="175260"/>
                      <wp:effectExtent l="0" t="0" r="0" b="0"/>
                      <wp:wrapNone/>
                      <wp:docPr id="96" name="Frame95"/>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339725" cy="175260"/>
                      <wp:effectExtent l="0" t="0" r="0" b="0"/>
                      <wp:wrapNone/>
                      <wp:docPr id="97" name="Frame96"/>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60045" cy="175260"/>
                      <wp:effectExtent l="0" t="0" r="0" b="0"/>
                      <wp:wrapNone/>
                      <wp:docPr id="98" name="Frame97"/>
                      <a:graphic xmlns:a="http://schemas.openxmlformats.org/drawingml/2006/main">
                        <a:graphicData uri="http://schemas.microsoft.com/office/word/2010/wordprocessingShape">
                          <wps:wsp>
                            <wps:cNvSpPr txBox="1"/>
                            <wps:spPr>
                              <a:xfrm>
                                <a:off x="0" y="0"/>
                                <a:ext cx="360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5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Three Months Ended June 30, </w:t>
            </w:r>
          </w:p>
        </w:tc>
        <w:tc>
          <w:tcPr>
            <w:tcW w:w="109" w:type="dxa"/>
            <w:tcBorders/>
            <w:vAlign w:val="center"/>
          </w:tcPr>
          <w:p>
            <w:pPr>
              <w:pStyle w:val="TableContents"/>
              <w:bidi w:val="0"/>
              <w:spacing w:before="0" w:after="0"/>
              <w:ind w:left="0" w:right="0" w:hanging="0"/>
              <w:jc w:val="left"/>
              <w:rPr/>
            </w:pPr>
            <w:r>
              <w:rPr/>
              <w:t>​</w:t>
            </w:r>
          </w:p>
        </w:tc>
        <w:tc>
          <w:tcPr>
            <w:tcW w:w="318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Six Months Ended June 30, </w:t>
            </w:r>
          </w:p>
        </w:tc>
      </w:tr>
      <w:tr>
        <w:trPr/>
        <w:tc>
          <w:tcPr>
            <w:tcW w:w="3550" w:type="dxa"/>
            <w:tcBorders/>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(amounts in thousands, except per share data)</w:t>
            </w:r>
          </w:p>
        </w:tc>
        <w:tc>
          <w:tcPr>
            <w:tcW w:w="109" w:type="dxa"/>
            <w:tcBorders/>
            <w:vAlign w:val="center"/>
          </w:tcPr>
          <w:p>
            <w:pPr>
              <w:pStyle w:val="TableContents"/>
              <w:bidi w:val="0"/>
              <w:spacing w:before="0" w:after="0"/>
              <w:ind w:left="0" w:right="0" w:hanging="0"/>
              <w:jc w:val="left"/>
              <w:rPr/>
            </w:pPr>
            <w:r>
              <w:rPr/>
              <w:t>​</w:t>
            </w:r>
          </w:p>
        </w:tc>
        <w:tc>
          <w:tcPr>
            <w:tcW w:w="9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118" w:type="dxa"/>
            <w:tcBorders/>
            <w:vAlign w:val="center"/>
          </w:tcPr>
          <w:p>
            <w:pPr>
              <w:pStyle w:val="TableContents"/>
              <w:bidi w:val="0"/>
              <w:spacing w:before="0" w:after="0"/>
              <w:ind w:left="0" w:right="0" w:hanging="0"/>
              <w:jc w:val="center"/>
              <w:rPr/>
            </w:pPr>
            <w:r>
              <w:rPr/>
              <w:t>​</w:t>
            </w:r>
          </w:p>
        </w:tc>
        <w:tc>
          <w:tcPr>
            <w:tcW w:w="9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18" w:type="dxa"/>
            <w:tcBorders/>
            <w:vAlign w:val="center"/>
          </w:tcPr>
          <w:p>
            <w:pPr>
              <w:pStyle w:val="TableContents"/>
              <w:bidi w:val="0"/>
              <w:spacing w:before="0" w:after="0"/>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Change</w:t>
            </w:r>
          </w:p>
        </w:tc>
        <w:tc>
          <w:tcPr>
            <w:tcW w:w="109" w:type="dxa"/>
            <w:tcBorders/>
            <w:vAlign w:val="center"/>
          </w:tcPr>
          <w:p>
            <w:pPr>
              <w:pStyle w:val="TableContents"/>
              <w:bidi w:val="0"/>
              <w:spacing w:before="0" w:after="0"/>
              <w:ind w:left="0" w:right="0" w:hanging="0"/>
              <w:jc w:val="left"/>
              <w:rPr/>
            </w:pPr>
            <w:r>
              <w:rPr/>
              <w:t>​</w:t>
            </w:r>
          </w:p>
        </w:tc>
        <w:tc>
          <w:tcPr>
            <w:tcW w:w="9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111" w:type="dxa"/>
            <w:tcBorders/>
            <w:vAlign w:val="center"/>
          </w:tcPr>
          <w:p>
            <w:pPr>
              <w:pStyle w:val="TableContents"/>
              <w:bidi w:val="0"/>
              <w:spacing w:before="0" w:after="0"/>
              <w:ind w:left="0" w:right="0" w:hanging="0"/>
              <w:jc w:val="center"/>
              <w:rPr/>
            </w:pPr>
            <w:r>
              <w:rPr/>
              <w:t>​</w:t>
            </w:r>
          </w:p>
        </w:tc>
        <w:tc>
          <w:tcPr>
            <w:tcW w:w="9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11" w:type="dxa"/>
            <w:tcBorders/>
            <w:vAlign w:val="center"/>
          </w:tcPr>
          <w:p>
            <w:pPr>
              <w:pStyle w:val="TableContents"/>
              <w:bidi w:val="0"/>
              <w:spacing w:before="0" w:after="0"/>
              <w:ind w:left="0" w:right="0" w:hanging="0"/>
              <w:jc w:val="center"/>
              <w:rPr/>
            </w:pPr>
            <w:r>
              <w:rPr/>
              <w:t>​</w:t>
            </w:r>
          </w:p>
        </w:tc>
        <w:tc>
          <w:tcPr>
            <w:tcW w:w="11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Change</w:t>
            </w:r>
          </w:p>
        </w:tc>
      </w:tr>
      <w:tr>
        <w:trPr/>
        <w:tc>
          <w:tcPr>
            <w:tcW w:w="3550"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Net income</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33,168</w:t>
            </w:r>
          </w:p>
        </w:tc>
        <w:tc>
          <w:tcPr>
            <w:tcW w:w="11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24,789</w:t>
            </w:r>
          </w:p>
        </w:tc>
        <w:tc>
          <w:tcPr>
            <w:tcW w:w="118" w:type="dxa"/>
            <w:tcBorders/>
            <w:vAlign w:val="center"/>
          </w:tcPr>
          <w:p>
            <w:pPr>
              <w:pStyle w:val="TableContents"/>
              <w:bidi w:val="0"/>
              <w:spacing w:before="0" w:after="0"/>
              <w:ind w:left="0" w:right="0" w:hanging="0"/>
              <w:jc w:val="left"/>
              <w:rPr/>
            </w:pPr>
            <w:r>
              <w:rPr/>
              <w:t>​</w:t>
            </w:r>
          </w:p>
        </w:tc>
        <w:tc>
          <w:tcPr>
            <w:tcW w:w="57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w:t>
            </w:r>
          </w:p>
        </w:tc>
        <w:tc>
          <w:tcPr>
            <w:tcW w:w="4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50,391</w:t>
            </w:r>
          </w:p>
        </w:tc>
        <w:tc>
          <w:tcPr>
            <w:tcW w:w="111"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38,270</w:t>
            </w:r>
          </w:p>
        </w:tc>
        <w:tc>
          <w:tcPr>
            <w:tcW w:w="111"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w:t>
            </w:r>
          </w:p>
        </w:tc>
        <w:tc>
          <w:tcPr>
            <w:tcW w:w="56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5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Severance expenses </w:t>
            </w:r>
            <w:r>
              <w:rPr>
                <w:rFonts w:ascii="Arial;Helvetica;sans-serif" w:hAnsi="Arial;Helvetica;sans-serif"/>
                <w:sz w:val="15"/>
              </w:rPr>
              <w:t>(1)</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left"/>
              <w:rPr/>
            </w:pPr>
            <w:r>
              <w:rPr/>
              <w:t>​</w:t>
            </w:r>
          </w:p>
        </w:tc>
        <w:tc>
          <w:tcPr>
            <w:tcW w:w="575" w:type="dxa"/>
            <w:tcBorders/>
            <w:vAlign w:val="center"/>
          </w:tcPr>
          <w:p>
            <w:pPr>
              <w:pStyle w:val="TableContents"/>
              <w:bidi w:val="0"/>
              <w:spacing w:before="0" w:after="0"/>
              <w:ind w:left="0" w:right="0" w:hanging="0"/>
              <w:jc w:val="right"/>
              <w:rPr/>
            </w:pPr>
            <w:r>
              <w:rPr/>
              <w:t>—</w:t>
            </w:r>
          </w:p>
        </w:tc>
        <w:tc>
          <w:tcPr>
            <w:tcW w:w="4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3,060</w:t>
            </w:r>
          </w:p>
        </w:tc>
        <w:tc>
          <w:tcPr>
            <w:tcW w:w="111"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2,930</w:t>
            </w:r>
          </w:p>
        </w:tc>
        <w:tc>
          <w:tcPr>
            <w:tcW w:w="111"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c>
          <w:tcPr>
            <w:tcW w:w="567" w:type="dxa"/>
            <w:tcBorders/>
            <w:vAlign w:val="center"/>
          </w:tcPr>
          <w:p>
            <w:pPr>
              <w:pStyle w:val="TableContents"/>
              <w:bidi w:val="0"/>
              <w:spacing w:before="0" w:after="0"/>
              <w:ind w:left="0" w:right="0" w:hanging="0"/>
              <w:jc w:val="left"/>
              <w:rPr/>
            </w:pPr>
            <w:r>
              <w:rPr/>
              <w:t>​</w:t>
            </w:r>
          </w:p>
        </w:tc>
      </w:tr>
      <w:tr>
        <w:trPr/>
        <w:tc>
          <w:tcPr>
            <w:tcW w:w="355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Tax benefit</w:t>
            </w:r>
          </w:p>
        </w:tc>
        <w:tc>
          <w:tcPr>
            <w:tcW w:w="109"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left"/>
              <w:rPr/>
            </w:pPr>
            <w:r>
              <w:rPr/>
              <w:t>​</w:t>
            </w:r>
          </w:p>
        </w:tc>
        <w:tc>
          <w:tcPr>
            <w:tcW w:w="575" w:type="dxa"/>
            <w:tcBorders/>
            <w:vAlign w:val="center"/>
          </w:tcPr>
          <w:p>
            <w:pPr>
              <w:pStyle w:val="TableContents"/>
              <w:bidi w:val="0"/>
              <w:spacing w:before="0" w:after="0"/>
              <w:ind w:left="0" w:right="0" w:hanging="0"/>
              <w:jc w:val="right"/>
              <w:rPr/>
            </w:pPr>
            <w:r>
              <w:rPr/>
              <w:t>—</w:t>
            </w:r>
          </w:p>
        </w:tc>
        <w:tc>
          <w:tcPr>
            <w:tcW w:w="4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(829)</w:t>
            </w:r>
          </w:p>
        </w:tc>
        <w:tc>
          <w:tcPr>
            <w:tcW w:w="111"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(799)</w:t>
            </w:r>
          </w:p>
        </w:tc>
        <w:tc>
          <w:tcPr>
            <w:tcW w:w="111"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c>
          <w:tcPr>
            <w:tcW w:w="567" w:type="dxa"/>
            <w:tcBorders/>
            <w:vAlign w:val="center"/>
          </w:tcPr>
          <w:p>
            <w:pPr>
              <w:pStyle w:val="TableContents"/>
              <w:bidi w:val="0"/>
              <w:spacing w:before="0" w:after="0"/>
              <w:ind w:left="0" w:right="0" w:hanging="0"/>
              <w:jc w:val="right"/>
              <w:rPr/>
            </w:pPr>
            <w:r>
              <w:rPr/>
              <w:t>​</w:t>
            </w:r>
          </w:p>
        </w:tc>
      </w:tr>
      <w:tr>
        <w:trPr/>
        <w:tc>
          <w:tcPr>
            <w:tcW w:w="3550"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Adjusted Net Income</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33,168</w:t>
            </w:r>
          </w:p>
        </w:tc>
        <w:tc>
          <w:tcPr>
            <w:tcW w:w="11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24,789</w:t>
            </w:r>
          </w:p>
        </w:tc>
        <w:tc>
          <w:tcPr>
            <w:tcW w:w="118" w:type="dxa"/>
            <w:tcBorders/>
            <w:vAlign w:val="center"/>
          </w:tcPr>
          <w:p>
            <w:pPr>
              <w:pStyle w:val="TableContents"/>
              <w:bidi w:val="0"/>
              <w:spacing w:before="0" w:after="0"/>
              <w:ind w:left="0" w:right="0" w:hanging="0"/>
              <w:jc w:val="left"/>
              <w:rPr/>
            </w:pPr>
            <w:r>
              <w:rPr/>
              <w:t>​</w:t>
            </w:r>
          </w:p>
        </w:tc>
        <w:tc>
          <w:tcPr>
            <w:tcW w:w="57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w:t>
            </w:r>
          </w:p>
        </w:tc>
        <w:tc>
          <w:tcPr>
            <w:tcW w:w="4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52,622</w:t>
            </w:r>
          </w:p>
        </w:tc>
        <w:tc>
          <w:tcPr>
            <w:tcW w:w="111"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40,401</w:t>
            </w:r>
          </w:p>
        </w:tc>
        <w:tc>
          <w:tcPr>
            <w:tcW w:w="111"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w:t>
            </w:r>
          </w:p>
        </w:tc>
        <w:tc>
          <w:tcPr>
            <w:tcW w:w="567" w:type="dxa"/>
            <w:tcBorders/>
            <w:vAlign w:val="center"/>
          </w:tcPr>
          <w:p>
            <w:pPr>
              <w:pStyle w:val="TableContents"/>
              <w:bidi w:val="0"/>
              <w:spacing w:before="0" w:after="0"/>
              <w:ind w:left="0" w:right="0" w:hanging="0"/>
              <w:jc w:val="left"/>
              <w:rPr/>
            </w:pPr>
            <w:r>
              <w:rPr/>
              <w:t>​</w:t>
            </w:r>
          </w:p>
        </w:tc>
      </w:tr>
      <w:tr>
        <w:trPr/>
        <w:tc>
          <w:tcPr>
            <w:tcW w:w="355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Diluted shares</w:t>
            </w:r>
          </w:p>
        </w:tc>
        <w:tc>
          <w:tcPr>
            <w:tcW w:w="109"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25,339</w:t>
            </w:r>
          </w:p>
        </w:tc>
        <w:tc>
          <w:tcPr>
            <w:tcW w:w="118"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25,520</w:t>
            </w:r>
          </w:p>
        </w:tc>
        <w:tc>
          <w:tcPr>
            <w:tcW w:w="118" w:type="dxa"/>
            <w:tcBorders/>
            <w:vAlign w:val="center"/>
          </w:tcPr>
          <w:p>
            <w:pPr>
              <w:pStyle w:val="TableContents"/>
              <w:bidi w:val="0"/>
              <w:spacing w:before="0" w:after="0"/>
              <w:ind w:left="0" w:right="0" w:hanging="0"/>
              <w:jc w:val="left"/>
              <w:rPr/>
            </w:pPr>
            <w:r>
              <w:rPr/>
              <w:t>​</w:t>
            </w:r>
          </w:p>
        </w:tc>
        <w:tc>
          <w:tcPr>
            <w:tcW w:w="575"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25,309</w:t>
            </w:r>
          </w:p>
        </w:tc>
        <w:tc>
          <w:tcPr>
            <w:tcW w:w="111"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25,860</w:t>
            </w:r>
          </w:p>
        </w:tc>
        <w:tc>
          <w:tcPr>
            <w:tcW w:w="111"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567" w:type="dxa"/>
            <w:tcBorders/>
            <w:vAlign w:val="center"/>
          </w:tcPr>
          <w:p>
            <w:pPr>
              <w:pStyle w:val="TableContents"/>
              <w:bidi w:val="0"/>
              <w:spacing w:before="0" w:after="0"/>
              <w:ind w:left="0" w:right="0" w:hanging="0"/>
              <w:jc w:val="left"/>
              <w:rPr/>
            </w:pPr>
            <w:r>
              <w:rPr/>
              <w:t>​</w:t>
            </w:r>
          </w:p>
        </w:tc>
      </w:tr>
      <w:tr>
        <w:trPr/>
        <w:tc>
          <w:tcPr>
            <w:tcW w:w="3550"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Diluted Earnings per Share</w:t>
            </w:r>
          </w:p>
        </w:tc>
        <w:tc>
          <w:tcPr>
            <w:tcW w:w="109"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5"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w:t>
            </w:r>
          </w:p>
        </w:tc>
        <w:tc>
          <w:tcPr>
            <w:tcW w:w="118"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5"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0.97</w:t>
            </w:r>
          </w:p>
        </w:tc>
        <w:tc>
          <w:tcPr>
            <w:tcW w:w="118" w:type="dxa"/>
            <w:tcBorders/>
            <w:vAlign w:val="center"/>
          </w:tcPr>
          <w:p>
            <w:pPr>
              <w:pStyle w:val="TableContents"/>
              <w:bidi w:val="0"/>
              <w:spacing w:before="0" w:after="0"/>
              <w:ind w:left="0" w:right="0" w:hanging="0"/>
              <w:jc w:val="left"/>
              <w:rPr/>
            </w:pPr>
            <w:r>
              <w:rPr/>
              <w:t>​</w:t>
            </w:r>
          </w:p>
        </w:tc>
        <w:tc>
          <w:tcPr>
            <w:tcW w:w="57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w:t>
            </w:r>
          </w:p>
        </w:tc>
        <w:tc>
          <w:tcPr>
            <w:tcW w:w="4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1.99</w:t>
            </w:r>
          </w:p>
        </w:tc>
        <w:tc>
          <w:tcPr>
            <w:tcW w:w="111"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w:t>
            </w:r>
          </w:p>
        </w:tc>
        <w:tc>
          <w:tcPr>
            <w:tcW w:w="111"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w:t>
            </w:r>
          </w:p>
        </w:tc>
        <w:tc>
          <w:tcPr>
            <w:tcW w:w="56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550"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Adjusted Diluted Earnings per Share</w:t>
            </w:r>
          </w:p>
        </w:tc>
        <w:tc>
          <w:tcPr>
            <w:tcW w:w="109"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5"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w:t>
            </w:r>
          </w:p>
        </w:tc>
        <w:tc>
          <w:tcPr>
            <w:tcW w:w="118"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5"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0.97</w:t>
            </w:r>
          </w:p>
        </w:tc>
        <w:tc>
          <w:tcPr>
            <w:tcW w:w="118" w:type="dxa"/>
            <w:tcBorders/>
            <w:vAlign w:val="center"/>
          </w:tcPr>
          <w:p>
            <w:pPr>
              <w:pStyle w:val="TableContents"/>
              <w:bidi w:val="0"/>
              <w:spacing w:before="0" w:after="0"/>
              <w:ind w:left="0" w:right="0" w:hanging="0"/>
              <w:jc w:val="left"/>
              <w:rPr/>
            </w:pPr>
            <w:r>
              <w:rPr/>
              <w:t>​</w:t>
            </w:r>
          </w:p>
        </w:tc>
        <w:tc>
          <w:tcPr>
            <w:tcW w:w="57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w:t>
            </w:r>
          </w:p>
        </w:tc>
        <w:tc>
          <w:tcPr>
            <w:tcW w:w="4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2.08</w:t>
            </w:r>
          </w:p>
        </w:tc>
        <w:tc>
          <w:tcPr>
            <w:tcW w:w="111"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1.56</w:t>
            </w:r>
          </w:p>
        </w:tc>
        <w:tc>
          <w:tcPr>
            <w:tcW w:w="111"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w:t>
            </w:r>
          </w:p>
        </w:tc>
        <w:tc>
          <w:tcPr>
            <w:tcW w:w="56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8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Severance expenses and other charges in 2026 consisted of voluntary retirement offering and internal restructuring activities and in 2025 consisted of internal restructuring activities.</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ahoma">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4613</Words>
  <Characters>25522</Characters>
  <CharactersWithSpaces>30684</CharactersWithSpaces>
  <Paragraphs>2209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