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line="230"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jc w:val="center"/>
        <w:spacing w:after="0" w:line="238" w:lineRule="auto"/>
        <w:rPr>
          <w:sz w:val="20"/>
          <w:szCs w:val="20"/>
          <w:color w:val="auto"/>
        </w:rPr>
      </w:pPr>
      <w:r>
        <w:rPr>
          <w:rFonts w:ascii="Arial" w:cs="Arial" w:eastAsia="Arial" w:hAnsi="Arial"/>
          <w:sz w:val="22"/>
          <w:szCs w:val="22"/>
          <w:color w:val="auto"/>
        </w:rPr>
        <w:t>PURSUANT TO SECTION 13 OR 15(d) OF</w:t>
      </w: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30, 2008</w:t>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PC Connection,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Delaware</w:t>
            </w:r>
          </w:p>
        </w:tc>
        <w:tc>
          <w:tcPr>
            <w:tcW w:w="3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0-23827</w:t>
            </w:r>
          </w:p>
        </w:tc>
        <w:tc>
          <w:tcPr>
            <w:tcW w:w="3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02-0513618</w:t>
            </w:r>
          </w:p>
        </w:tc>
      </w:tr>
      <w:tr>
        <w:trPr>
          <w:trHeight w:val="215"/>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1"/>
              </w:rPr>
              <w:t>(State or other juris-</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5"/>
              </w:rPr>
              <w:t>diction of incorporation)</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jc w:val="center"/>
              <w:ind w:right="410"/>
              <w:spacing w:after="0"/>
              <w:rPr>
                <w:sz w:val="20"/>
                <w:szCs w:val="20"/>
                <w:color w:val="auto"/>
              </w:rPr>
            </w:pPr>
            <w:r>
              <w:rPr>
                <w:rFonts w:ascii="Arial" w:cs="Arial" w:eastAsia="Arial" w:hAnsi="Arial"/>
                <w:sz w:val="18"/>
                <w:szCs w:val="18"/>
                <w:color w:val="auto"/>
                <w:w w:val="93"/>
              </w:rPr>
              <w:t>Rt. 101A, 730 Milford Road</w:t>
            </w:r>
          </w:p>
        </w:tc>
        <w:tc>
          <w:tcPr>
            <w:tcW w:w="5200" w:type="dxa"/>
            <w:vAlign w:val="bottom"/>
          </w:tcPr>
          <w:p>
            <w:pPr>
              <w:jc w:val="right"/>
              <w:ind w:right="2530"/>
              <w:spacing w:after="0"/>
              <w:rPr>
                <w:sz w:val="20"/>
                <w:szCs w:val="20"/>
                <w:color w:val="auto"/>
              </w:rPr>
            </w:pPr>
            <w:r>
              <w:rPr>
                <w:rFonts w:ascii="Arial" w:cs="Arial" w:eastAsia="Arial" w:hAnsi="Arial"/>
                <w:sz w:val="18"/>
                <w:szCs w:val="18"/>
                <w:color w:val="auto"/>
              </w:rPr>
              <w:t>03054</w:t>
            </w:r>
          </w:p>
        </w:tc>
      </w:tr>
      <w:tr>
        <w:trPr>
          <w:trHeight w:val="237"/>
        </w:trPr>
        <w:tc>
          <w:tcPr>
            <w:tcW w:w="62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6"/>
              </w:rPr>
              <w:t>Merrimack, NH</w:t>
            </w:r>
          </w:p>
        </w:tc>
        <w:tc>
          <w:tcPr>
            <w:tcW w:w="5200" w:type="dxa"/>
            <w:vAlign w:val="bottom"/>
            <w:tcBorders>
              <w:bottom w:val="single" w:sz="8" w:color="auto"/>
            </w:tcBorders>
          </w:tcPr>
          <w:p>
            <w:pPr>
              <w:spacing w:after="0"/>
              <w:rPr>
                <w:sz w:val="20"/>
                <w:szCs w:val="20"/>
                <w:color w:val="auto"/>
              </w:rPr>
            </w:pPr>
          </w:p>
        </w:tc>
      </w:tr>
      <w:tr>
        <w:trPr>
          <w:trHeight w:val="230"/>
        </w:trPr>
        <w:tc>
          <w:tcPr>
            <w:tcW w:w="622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color w:val="auto"/>
        </w:rPr>
        <w:t>(603) 683-2000</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ind w:left="7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7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7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7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October 30, 2008, PC Connection, Inc. announced its financial results for the quarter ended September 30, 2008. The full text of the press release issued in connection with the announcement is furnished as Exhibit 99.1 to this Current Report on Form 8-K.</w:t>
      </w:r>
    </w:p>
    <w:p>
      <w:pPr>
        <w:spacing w:after="0" w:line="170"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37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ind w:left="1120" w:hanging="558"/>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1120" w:right="4300"/>
        <w:spacing w:after="0" w:line="309" w:lineRule="auto"/>
        <w:rPr>
          <w:rFonts w:ascii="Arial" w:cs="Arial" w:eastAsia="Arial" w:hAnsi="Arial"/>
          <w:sz w:val="18"/>
          <w:szCs w:val="18"/>
          <w:color w:val="auto"/>
        </w:rPr>
      </w:pPr>
      <w:r>
        <w:rPr>
          <w:rFonts w:ascii="Arial" w:cs="Arial" w:eastAsia="Arial" w:hAnsi="Arial"/>
          <w:sz w:val="18"/>
          <w:szCs w:val="18"/>
          <w:color w:val="auto"/>
        </w:rPr>
        <w:t>The following exhibit relating to Item 2.02 shall be deemed to be furnished, and not filed:</w:t>
      </w:r>
    </w:p>
    <w:p>
      <w:pPr>
        <w:spacing w:after="0" w:line="196"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99.1    Press Release issued by PC Connection, Inc. on October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68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30, 2008</w:t>
      </w:r>
      <w:r>
        <w:rPr>
          <w:sz w:val="20"/>
          <w:szCs w:val="20"/>
          <w:color w:val="auto"/>
        </w:rPr>
        <w:tab/>
      </w:r>
      <w:r>
        <w:rPr>
          <w:rFonts w:ascii="Arial" w:cs="Arial" w:eastAsia="Arial" w:hAnsi="Arial"/>
          <w:sz w:val="17"/>
          <w:szCs w:val="17"/>
          <w:color w:val="auto"/>
        </w:rPr>
        <w:t>PC CONNECTION, INC.</w:t>
      </w:r>
    </w:p>
    <w:p>
      <w:pPr>
        <w:spacing w:after="0" w:line="279"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Jack Ferguson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Treasurer, and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tcPr>
          <w:p>
            <w:pPr>
              <w:ind w:left="2500"/>
              <w:spacing w:after="0"/>
              <w:rPr>
                <w:sz w:val="20"/>
                <w:szCs w:val="20"/>
                <w:color w:val="auto"/>
              </w:rPr>
            </w:pPr>
            <w:r>
              <w:rPr>
                <w:rFonts w:ascii="Arial" w:cs="Arial" w:eastAsia="Arial" w:hAnsi="Arial"/>
                <w:sz w:val="18"/>
                <w:szCs w:val="18"/>
                <w:color w:val="auto"/>
              </w:rPr>
              <w:t>EXHIBIT INDEX</w:t>
            </w:r>
          </w:p>
        </w:tc>
      </w:tr>
      <w:tr>
        <w:trPr>
          <w:trHeight w:val="864"/>
        </w:trPr>
        <w:tc>
          <w:tcPr>
            <w:tcW w:w="12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160" w:type="dxa"/>
            <w:vAlign w:val="bottom"/>
            <w:gridSpan w:val="3"/>
          </w:tcPr>
          <w:p>
            <w:pPr>
              <w:ind w:left="44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88"/>
              </w:rPr>
              <w:t>Press release issued by PC Connection, Inc. on October 30, 2008.</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3320" w:firstLine="3317"/>
        <w:spacing w:after="0" w:line="435" w:lineRule="auto"/>
        <w:rPr>
          <w:sz w:val="20"/>
          <w:szCs w:val="20"/>
          <w:color w:val="auto"/>
        </w:rPr>
      </w:pPr>
      <w:r>
        <w:rPr>
          <w:rFonts w:ascii="Arial" w:cs="Arial" w:eastAsia="Arial" w:hAnsi="Arial"/>
          <w:sz w:val="22"/>
          <w:szCs w:val="22"/>
          <w:b w:val="1"/>
          <w:bCs w:val="1"/>
          <w:color w:val="auto"/>
        </w:rPr>
        <w:t xml:space="preserve">PC Connection, Inc. Reports Third Quarter Results </w:t>
      </w:r>
      <w:r>
        <w:rPr>
          <w:rFonts w:ascii="Arial" w:cs="Arial" w:eastAsia="Arial" w:hAnsi="Arial"/>
          <w:sz w:val="22"/>
          <w:szCs w:val="22"/>
          <w:b w:val="1"/>
          <w:bCs w:val="1"/>
          <w:u w:val="single" w:color="auto"/>
          <w:color w:val="auto"/>
        </w:rPr>
        <w:t>THIRD QUARTER HIGHLIGHTS</w:t>
      </w:r>
      <w:r>
        <w:rPr>
          <w:rFonts w:ascii="Arial" w:cs="Arial" w:eastAsia="Arial" w:hAnsi="Arial"/>
          <w:sz w:val="22"/>
          <w:szCs w:val="22"/>
          <w:b w:val="1"/>
          <w:bCs w:val="1"/>
          <w:color w:val="auto"/>
        </w:rPr>
        <w: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Q3 net sales: $441.4 million, down 3%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Gross margin: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Net income: $3.2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Diluted earnings per share: $.12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00"/>
        <w:spacing w:after="0" w:line="251" w:lineRule="auto"/>
        <w:rPr>
          <w:sz w:val="20"/>
          <w:szCs w:val="20"/>
          <w:color w:val="auto"/>
        </w:rPr>
      </w:pPr>
      <w:r>
        <w:rPr>
          <w:rFonts w:ascii="Arial" w:cs="Arial" w:eastAsia="Arial" w:hAnsi="Arial"/>
          <w:sz w:val="21"/>
          <w:szCs w:val="21"/>
          <w:color w:val="auto"/>
        </w:rPr>
        <w:t xml:space="preserve">MERRIMACK, N.H.--(BUSINESS WIRE)--October 30, 2008--PC Connection, Inc. </w:t>
      </w:r>
      <w:r>
        <w:rPr>
          <w:rFonts w:ascii="Arial" w:cs="Arial" w:eastAsia="Arial" w:hAnsi="Arial"/>
          <w:sz w:val="21"/>
          <w:szCs w:val="21"/>
          <w:b w:val="1"/>
          <w:bCs w:val="1"/>
          <w:color w:val="auto"/>
        </w:rPr>
        <w:t>(NASDAQ: PCCC)</w:t>
      </w:r>
      <w:r>
        <w:rPr>
          <w:rFonts w:ascii="Arial" w:cs="Arial" w:eastAsia="Arial" w:hAnsi="Arial"/>
          <w:sz w:val="21"/>
          <w:szCs w:val="21"/>
          <w:color w:val="auto"/>
        </w:rPr>
        <w:t>, a leading direct marketer of information technology (IT) products and services, today announced results for the quarter ended September 30, 2008. Net sales for the three months ended September 30, 2008 decreased by $15.1 million, or 3.3%, to $441.4 million from $456.5 million for the three months ended September 30, 2007. Net income for the quarter was $3.2 million, or $.12 per share, compared to $7.7 million, or $.28 per share, for the corresponding prior year quarter.</w:t>
      </w:r>
    </w:p>
    <w:p>
      <w:pPr>
        <w:spacing w:after="0" w:line="175"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The quarter ended September 30, 2008 included $1.4 million of special charges related to workforce reduction and management restructuring that reduced earnings and earnings per share. Had these charges not been incurred, pro forma net income for the quarter ended September 30, 2008 would have been $4.1 million, or $.15 per share, compared to $7.7 million, or $.28 per share, for the quarter ended September 30, 2007. We did not record any special charges for the three- and nine-month periods ended September 30, 2007. A reconciliation between net income on a GAAP basis and pro forma net income is provided in a table below immediately following the Consolidated Income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Net sales for the nine months ended September 30, 2008 increased by $18.8 million, or 1.5%, to $1,314.6 million from</w:t>
      </w:r>
    </w:p>
    <w:p>
      <w:pPr>
        <w:spacing w:after="0" w:line="20"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$1,295.8 million for the nine months ended September 30, 2007. Net income for the nine months ended September 30, 2008 was $13.1 million, or $.49 per share, compared to $16.8 million, or $.62 per share, for the nine months ended September 30, 2007. The nine-month period ended September 30, 2008 included special charges that reduced earnings and earnings per share. Had these charges not been recorded, pro forma net income for the nine months ended September 30, 2008 would have been $14.0 million, or $.52 per share, compared to $16.8 million, or $.62 per share, for the nine months ended September 30, 2007.</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Comparisons by Business Segment</w:t>
      </w:r>
      <w:r>
        <w:rPr>
          <w:rFonts w:ascii="Arial" w:cs="Arial" w:eastAsia="Arial" w:hAnsi="Arial"/>
          <w:sz w:val="22"/>
          <w:szCs w:val="22"/>
          <w:i w:val="1"/>
          <w:iCs w:val="1"/>
          <w:color w:val="auto"/>
        </w:rPr>
        <w:t>:</w:t>
      </w:r>
    </w:p>
    <w:p>
      <w:pPr>
        <w:spacing w:after="0" w:line="206" w:lineRule="exact"/>
        <w:rPr>
          <w:sz w:val="20"/>
          <w:szCs w:val="20"/>
          <w:color w:val="auto"/>
        </w:rPr>
      </w:pPr>
    </w:p>
    <w:p>
      <w:pPr>
        <w:ind w:left="540" w:right="340"/>
        <w:spacing w:after="0" w:line="328" w:lineRule="auto"/>
        <w:rPr>
          <w:sz w:val="20"/>
          <w:szCs w:val="20"/>
          <w:color w:val="auto"/>
        </w:rPr>
      </w:pPr>
      <w:r>
        <w:rPr>
          <w:rFonts w:ascii="Arial" w:cs="Arial" w:eastAsia="Arial" w:hAnsi="Arial"/>
          <w:sz w:val="19"/>
          <w:szCs w:val="19"/>
          <w:color w:val="auto"/>
        </w:rPr>
        <w:t>Net sales for the small- and medium-sized business (SMB) segment decreased by 7.4% to $217.5 million compared to the third quarter of 2007. Both corporate and consumer sales within the segment declined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 w:lineRule="exact"/>
        <w:rPr>
          <w:sz w:val="20"/>
          <w:szCs w:val="20"/>
          <w:color w:val="auto"/>
        </w:rPr>
      </w:pPr>
    </w:p>
    <w:p>
      <w:pPr>
        <w:ind w:left="540" w:right="40"/>
        <w:spacing w:after="0"/>
        <w:rPr>
          <w:sz w:val="20"/>
          <w:szCs w:val="20"/>
          <w:color w:val="auto"/>
        </w:rPr>
      </w:pPr>
      <w:r>
        <w:rPr>
          <w:rFonts w:ascii="Arial" w:cs="Arial" w:eastAsia="Arial" w:hAnsi="Arial"/>
          <w:sz w:val="22"/>
          <w:szCs w:val="22"/>
          <w:color w:val="auto"/>
        </w:rPr>
        <w:t>Net sales for MoreDirect, Inc., the Company’s Large Account segment, decreased by 9.8% to $117.3 million compared to the third quarter of 2007. Our MoreDirect segment experienced decreased revenues as economic instability impacted IT purchases from its larger enterprise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jc w:val="both"/>
        <w:ind w:left="540" w:right="280"/>
        <w:spacing w:after="0"/>
        <w:rPr>
          <w:sz w:val="20"/>
          <w:szCs w:val="20"/>
          <w:color w:val="auto"/>
        </w:rPr>
      </w:pPr>
      <w:r>
        <w:rPr>
          <w:rFonts w:ascii="Arial" w:cs="Arial" w:eastAsia="Arial" w:hAnsi="Arial"/>
          <w:sz w:val="22"/>
          <w:szCs w:val="22"/>
          <w:color w:val="auto"/>
        </w:rPr>
        <w:t>Net sales to GovConnection, Inc., the Company’s Public Sector segment, increased by $15.1 million, or 16.5%, to $106.7 million compared to the third quarter of 2007. Strong federal government contract sales accounted for most of this double-digit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Quarterly Sales by Product Mix</w:t>
      </w:r>
      <w:r>
        <w:rPr>
          <w:rFonts w:ascii="Arial" w:cs="Arial" w:eastAsia="Arial" w:hAnsi="Arial"/>
          <w:sz w:val="22"/>
          <w:szCs w:val="22"/>
          <w:i w:val="1"/>
          <w:iCs w:val="1"/>
          <w:color w:val="auto"/>
        </w:rPr>
        <w:t>:</w:t>
      </w:r>
    </w:p>
    <w:p>
      <w:pPr>
        <w:spacing w:after="0" w:line="207" w:lineRule="exact"/>
        <w:rPr>
          <w:sz w:val="20"/>
          <w:szCs w:val="20"/>
          <w:color w:val="auto"/>
        </w:rPr>
      </w:pPr>
    </w:p>
    <w:p>
      <w:pPr>
        <w:ind w:left="540" w:right="40"/>
        <w:spacing w:after="0"/>
        <w:rPr>
          <w:sz w:val="20"/>
          <w:szCs w:val="20"/>
          <w:color w:val="auto"/>
        </w:rPr>
      </w:pPr>
      <w:r>
        <w:rPr>
          <w:rFonts w:ascii="Arial" w:cs="Arial" w:eastAsia="Arial" w:hAnsi="Arial"/>
          <w:sz w:val="22"/>
          <w:szCs w:val="22"/>
          <w:color w:val="auto"/>
        </w:rPr>
        <w:t>Net/Com Products sales increased 22% year over year, accounting for 11% of net sales in the third quarter of 2008 compared to 8% of net sales for the corresponding period a year ago. We experienced year-over-year growth for this category in all business segments, and with several strategic vendor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120"/>
        <w:spacing w:after="0"/>
        <w:rPr>
          <w:sz w:val="20"/>
          <w:szCs w:val="20"/>
          <w:color w:val="auto"/>
        </w:rPr>
      </w:pPr>
      <w:r>
        <w:rPr>
          <w:rFonts w:ascii="Arial" w:cs="Arial" w:eastAsia="Arial" w:hAnsi="Arial"/>
          <w:sz w:val="22"/>
          <w:szCs w:val="22"/>
          <w:color w:val="auto"/>
        </w:rPr>
        <w:t>Video, Imaging and Sound sales increased 1% year over year, accounting for 15% of net sales in the third quarter of 2008 compared to 14% for the corresponding prior year quarter. Strong video product sales continued to drive the majority of this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Sales of Notebooks and PDAs decreased 2% year over year, accounting for 16% of net sales in both third quarters of 2008 and 2007, and sales of Desktops/Servers decreased 10% year over year, accounting for 13% and 14% of net sales in 2008 and 2007,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Gross profit dollars totaled $53.3 million in the third quarter of 2008, a decline from the corresponding period a year ago due to lower rate and volume in 2008. Gross profit margin, as a percentage of net sales, decreased 50 basis-points from the third quarter of 2007 to 12.1% in the third quarter of 2008, primarily due to increased competitive pricing pressure in 2008.</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Overall annualized sales productivity decreased 6% in the third quarter of 2008 compared to the third quarter of 2007. Sales productivity in our Large Account segment decreased 4% in the third quarter of 2008 compared to the third quarter of 2007. Sales productivity in our SMB segment decreased 11% year over year due to the hiring of new sales representatives. Sales productivity in our Public Sector segment increased 10% year over year primarily due to increased Federal contract sales in 2008. On a consolidated basis, the total number of sales representatives was 666 at September 30, 2008, compared to 645 at September 30, 2007.</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Total selling, general and administrative expenses for the quarter increased year over year by $1.3 million, or 2.9%, and increased as a percentage of net sales to 10.6% for the third quarter of 2008 from 10.0% for the third quarter of 2007. The year-over-year dollar and rate increases were primarily attributable to additional IT investment expected to improve sales productivity in 2009, and an increase in sales representative headcount, as well as the weaker demand environment that adversely affected such expenses as a percentage of net sales. Management implemented a number of cost reduction initiatives in the third quarter given the lower sales levels. These cost savings initiatives are expected to result in annualized savings of approximately $6 million.</w:t>
      </w:r>
    </w:p>
    <w:p>
      <w:pPr>
        <w:spacing w:after="0" w:line="151"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“Given the state of the economy, we anticipated the lower sales volume experienced this quarter and began taking steps to decrease our operating costs,” said Patricia Gallup, Chairman and Chief Executive Officer. “We will continue to carefully review and monitor every aspect of our business to ensure we have the right programs, people, and resources in place to operate in the most effective and efficient manner possible.” Gallup concluded, “With our talented and experienced team, along with our healthy balance sheet, we believe we are well positioned to see our way through the challenges of the current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PC Connection, Inc.</w:t>
      </w:r>
    </w:p>
    <w:p>
      <w:pPr>
        <w:spacing w:after="0" w:line="21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PC Connection, Inc., a Fortune 1000 company, has three sales subsidiaries: PC Connection Sales Corporation, MoreDirect, Inc., and GovConnection, Inc., headquartered in Merrimack, NH, Boca Raton, FL, and Rockville, MD, respectively. All three companies can deliver custom-configured computer systems overnight. Investors and media can find more information about PC Connection, Inc. at </w:t>
      </w:r>
      <w:r>
        <w:rPr>
          <w:rFonts w:ascii="Arial" w:cs="Arial" w:eastAsia="Arial" w:hAnsi="Arial"/>
          <w:sz w:val="22"/>
          <w:szCs w:val="22"/>
          <w:u w:val="single" w:color="auto"/>
          <w:color w:val="auto"/>
        </w:rPr>
        <w:t>http://ir.pcconnection.com</w:t>
      </w:r>
      <w:r>
        <w:rPr>
          <w:rFonts w:ascii="Arial" w:cs="Arial" w:eastAsia="Arial" w:hAnsi="Arial"/>
          <w:sz w:val="22"/>
          <w:szCs w:val="22"/>
          <w:color w:val="auto"/>
        </w:rPr>
        <w:t>.</w:t>
      </w:r>
    </w:p>
    <w:p>
      <w:pPr>
        <w:spacing w:after="0" w:line="185"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 xml:space="preserve">PC Connection Sales Corporation (1-800-800-5555), the original business of PC Connection, Inc. serving the small- and medium-sized business sector (SMB), is a rapid-response provider of information technology (IT) products and services. It offers more than 150,000 brand-name products through its staff of technically trained sales account managers and catalog telesales representatives, catalogs, and publications, and its website at </w:t>
      </w:r>
      <w:r>
        <w:rPr>
          <w:rFonts w:ascii="Arial" w:cs="Arial" w:eastAsia="Arial" w:hAnsi="Arial"/>
          <w:sz w:val="22"/>
          <w:szCs w:val="22"/>
          <w:u w:val="single" w:color="auto"/>
          <w:color w:val="auto"/>
        </w:rPr>
        <w:t>www.pcconnection.com</w:t>
      </w:r>
      <w:r>
        <w:rPr>
          <w:rFonts w:ascii="Arial" w:cs="Arial" w:eastAsia="Arial" w:hAnsi="Arial"/>
          <w:sz w:val="22"/>
          <w:szCs w:val="22"/>
          <w:color w:val="auto"/>
        </w:rPr>
        <w:t xml:space="preserve">. The subsidiary serves the Apple/Macintosh community through its MacConnection division (1-800-800-2222), which also publishes specialized catalogs and is online at </w:t>
      </w:r>
      <w:r>
        <w:rPr>
          <w:rFonts w:ascii="Arial" w:cs="Arial" w:eastAsia="Arial" w:hAnsi="Arial"/>
          <w:sz w:val="22"/>
          <w:szCs w:val="22"/>
          <w:u w:val="single" w:color="auto"/>
          <w:color w:val="auto"/>
        </w:rPr>
        <w:t>www.macconnection.com</w:t>
      </w:r>
      <w:r>
        <w:rPr>
          <w:rFonts w:ascii="Arial" w:cs="Arial" w:eastAsia="Arial" w:hAnsi="Arial"/>
          <w:sz w:val="22"/>
          <w:szCs w:val="22"/>
          <w:color w:val="auto"/>
        </w:rPr>
        <w:t>.</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MoreDirect, Inc. (561-237-3300), </w:t>
      </w:r>
      <w:r>
        <w:rPr>
          <w:rFonts w:ascii="Arial" w:cs="Arial" w:eastAsia="Arial" w:hAnsi="Arial"/>
          <w:sz w:val="22"/>
          <w:szCs w:val="22"/>
          <w:u w:val="single" w:color="auto"/>
          <w:color w:val="auto"/>
        </w:rPr>
        <w:t>www.moredirect.com</w:t>
      </w:r>
      <w:r>
        <w:rPr>
          <w:rFonts w:ascii="Arial" w:cs="Arial" w:eastAsia="Arial" w:hAnsi="Arial"/>
          <w:sz w:val="22"/>
          <w:szCs w:val="22"/>
          <w:color w:val="auto"/>
        </w:rPr>
        <w:t>, provides corporate technology buyers with a comprehensive web-based e-procurement solution and in-depth IT supply-chain expertise, serving as a one-stop source by aggregating more than 300,000 products from the inventories of leading IT wholesale distributors and manufacturers. MoreDirect’s TRAXX™ system is a seamless end-to-end interface that empowers clients to electronically source, evaluate, compare prices, and track related technology product purchases in real-time.</w:t>
      </w:r>
    </w:p>
    <w:p>
      <w:pPr>
        <w:spacing w:after="0" w:line="18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 xml:space="preserve">GovConnection, Inc. (1-800-800-0019) is a provider of IT products and services to federal, state, and local government agencies and educational institutions through specialized account managers, catalogs, and publications, and online at </w:t>
      </w:r>
      <w:r>
        <w:rPr>
          <w:rFonts w:ascii="Arial" w:cs="Arial" w:eastAsia="Arial" w:hAnsi="Arial"/>
          <w:sz w:val="22"/>
          <w:szCs w:val="22"/>
          <w:u w:val="single" w:color="auto"/>
          <w:color w:val="auto"/>
        </w:rPr>
        <w:t>www.govconnection.com</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pccc-g</w:t>
      </w:r>
    </w:p>
    <w:p>
      <w:pPr>
        <w:spacing w:after="0" w:line="206"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“Safe Harbor” Statement Under the Private Securities Litigation Reform Act of 1995: This release contains forward-looking statements that are subject to risks and uncertainties, including, but not limited to, the impact of changes in market demand and the overall level of economic activity, or in the level of business investment in information technology products, competitive products and pricing, product availability and market acceptance, new products, fluctuations in operating results, and the ability of the Company to hire and retain essential personnel, and other risks that could cause actual results to differ materially from these detailed under the caption “Risk Factors” in the Company’s Quarterly Report on Form 10-Q filed with the Securities and Exchange Commission for the quarter ended June 30, 2008. More specifically, the statements in this release concerning the Company’s outlook for 2008 and the statements concerning the Company’s gross margin percentage, productivity, and selling and administrative costs and other statements of a non-historical basis (including statements regarding implementing strategies for future growth and the ability of the Company to improve sales productivity) are forward-looking statements that involve certain risks and uncertainties. Such risks and uncertainties include the ability to realize market demand for and competitive pricing pressures on the products and services marketed by the Company, the continued acceptance of the Company's distribution channel by vendors and customers, continuation of key vendor and customer relationships and support programs and the ability of the Company to hire and retain qualified sales representatives and other essential personnel. The Company assumes no obligation to update the information in this press release or revise any forward-looking statements,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CONSOLIDATED SELECTED FINANCIAL HIGHLIGHTS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At or for the Three Months Ended September 30,</w:t>
            </w: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80" w:type="dxa"/>
            <w:vAlign w:val="bottom"/>
            <w:gridSpan w:val="2"/>
          </w:tcPr>
          <w:p>
            <w:pPr>
              <w:spacing w:after="0" w:line="160" w:lineRule="exact"/>
              <w:rPr>
                <w:sz w:val="20"/>
                <w:szCs w:val="20"/>
                <w:color w:val="auto"/>
              </w:rPr>
            </w:pPr>
            <w:r>
              <w:rPr>
                <w:rFonts w:ascii="Arial" w:cs="Arial" w:eastAsia="Arial" w:hAnsi="Arial"/>
                <w:sz w:val="14"/>
                <w:szCs w:val="14"/>
                <w:i w:val="1"/>
                <w:iCs w:val="1"/>
                <w:color w:val="auto"/>
                <w:w w:val="95"/>
              </w:rPr>
              <w:t>(Dollars and shares in thousands, except operating data, price/earnings ratio, and per share data)</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128"/>
              <w:spacing w:after="0" w:line="16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8"/>
              <w:spacing w:after="0" w:line="160"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Net Sales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Net Sales</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39"/>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Operating Data:</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Net sales</w:t>
            </w:r>
          </w:p>
        </w:tc>
        <w:tc>
          <w:tcPr>
            <w:tcW w:w="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441,444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456,470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gridSpan w:val="3"/>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2"/>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Diluted earnings per share</w:t>
            </w:r>
          </w:p>
        </w:tc>
        <w:tc>
          <w:tcPr>
            <w:tcW w:w="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gridSpan w:val="3"/>
          </w:tcPr>
          <w:p>
            <w:pPr>
              <w:jc w:val="right"/>
              <w:ind w:right="18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344"/>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Gross profit margin</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Operating margin</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 xml:space="preserve">Return on equity </w:t>
            </w:r>
            <w:r>
              <w:rPr>
                <w:rFonts w:ascii="Arial" w:cs="Arial" w:eastAsia="Arial" w:hAnsi="Arial"/>
                <w:sz w:val="23"/>
                <w:szCs w:val="23"/>
                <w:color w:val="auto"/>
                <w:vertAlign w:val="superscript"/>
              </w:rPr>
              <w:t>(1)</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Catalogs distributed</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9"/>
              </w:rPr>
              <w:t>2,965,000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3,199,000</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gridSpan w:val="3"/>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9"/>
        </w:trPr>
        <w:tc>
          <w:tcPr>
            <w:tcW w:w="5780" w:type="dxa"/>
            <w:vAlign w:val="bottom"/>
            <w:gridSpan w:val="2"/>
          </w:tcPr>
          <w:p>
            <w:pPr>
              <w:ind w:left="140"/>
              <w:spacing w:after="0" w:line="219" w:lineRule="exact"/>
              <w:rPr>
                <w:sz w:val="20"/>
                <w:szCs w:val="20"/>
                <w:color w:val="auto"/>
              </w:rPr>
            </w:pPr>
            <w:r>
              <w:rPr>
                <w:rFonts w:ascii="Arial" w:cs="Arial" w:eastAsia="Arial" w:hAnsi="Arial"/>
                <w:sz w:val="14"/>
                <w:szCs w:val="14"/>
                <w:color w:val="auto"/>
              </w:rPr>
              <w:t xml:space="preserve">Orders entered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343,000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363,700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gridSpan w:val="3"/>
          </w:tcPr>
          <w:p>
            <w:pPr>
              <w:jc w:val="right"/>
              <w:ind w:right="18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13"/>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 xml:space="preserve">Average order size </w:t>
            </w:r>
            <w:r>
              <w:rPr>
                <w:rFonts w:ascii="Arial" w:cs="Arial" w:eastAsia="Arial" w:hAnsi="Arial"/>
                <w:sz w:val="23"/>
                <w:szCs w:val="23"/>
                <w:color w:val="auto"/>
                <w:vertAlign w:val="superscript"/>
              </w:rPr>
              <w:t>(2)</w:t>
            </w:r>
          </w:p>
        </w:tc>
        <w:tc>
          <w:tcPr>
            <w:tcW w:w="2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1,561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1,543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3"/>
          </w:tcPr>
          <w:p>
            <w:pPr>
              <w:jc w:val="right"/>
              <w:ind w:right="2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85"/>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 xml:space="preserve">Inventory turns </w:t>
            </w:r>
            <w:r>
              <w:rPr>
                <w:rFonts w:ascii="Arial" w:cs="Arial" w:eastAsia="Arial" w:hAnsi="Arial"/>
                <w:sz w:val="23"/>
                <w:szCs w:val="23"/>
                <w:color w:val="auto"/>
                <w:vertAlign w:val="superscript"/>
              </w:rPr>
              <w:t>(1)</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Days sales outstanding</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Product Mix:</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Notebooks &amp; PDAs</w:t>
            </w:r>
          </w:p>
        </w:tc>
        <w:tc>
          <w:tcPr>
            <w:tcW w:w="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70,215</w:t>
            </w:r>
          </w:p>
        </w:tc>
        <w:tc>
          <w:tcPr>
            <w:tcW w:w="760" w:type="dxa"/>
            <w:vAlign w:val="bottom"/>
            <w:gridSpan w:val="4"/>
          </w:tcPr>
          <w:p>
            <w:pPr>
              <w:jc w:val="right"/>
              <w:ind w:right="48"/>
              <w:spacing w:after="0"/>
              <w:rPr>
                <w:sz w:val="20"/>
                <w:szCs w:val="20"/>
                <w:color w:val="auto"/>
              </w:rPr>
            </w:pPr>
            <w:r>
              <w:rPr>
                <w:rFonts w:ascii="Arial" w:cs="Arial" w:eastAsia="Arial" w:hAnsi="Arial"/>
                <w:sz w:val="14"/>
                <w:szCs w:val="14"/>
                <w:color w:val="auto"/>
              </w:rPr>
              <w:t>16%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71,730</w:t>
            </w:r>
          </w:p>
        </w:tc>
        <w:tc>
          <w:tcPr>
            <w:tcW w:w="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780" w:type="dxa"/>
            <w:vAlign w:val="bottom"/>
            <w:gridSpan w:val="3"/>
          </w:tcPr>
          <w:p>
            <w:pPr>
              <w:jc w:val="right"/>
              <w:ind w:right="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Video, Imaging &amp; Sound</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65,776</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65,236</w:t>
            </w:r>
          </w:p>
        </w:tc>
        <w:tc>
          <w:tcPr>
            <w:tcW w:w="80" w:type="dxa"/>
            <w:vAlign w:val="bottom"/>
          </w:tcPr>
          <w:p>
            <w:pPr>
              <w:spacing w:after="0"/>
              <w:rPr>
                <w:sz w:val="15"/>
                <w:szCs w:val="15"/>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780" w:type="dxa"/>
            <w:vAlign w:val="bottom"/>
            <w:gridSpan w:val="3"/>
          </w:tcPr>
          <w:p>
            <w:pPr>
              <w:jc w:val="right"/>
              <w:ind w:right="2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Desktops/Servers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59,169</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65,776</w:t>
            </w:r>
          </w:p>
        </w:tc>
        <w:tc>
          <w:tcPr>
            <w:tcW w:w="80" w:type="dxa"/>
            <w:vAlign w:val="bottom"/>
          </w:tcPr>
          <w:p>
            <w:pPr>
              <w:spacing w:after="0"/>
              <w:rPr>
                <w:sz w:val="15"/>
                <w:szCs w:val="15"/>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780" w:type="dxa"/>
            <w:vAlign w:val="bottom"/>
            <w:gridSpan w:val="3"/>
          </w:tcPr>
          <w:p>
            <w:pPr>
              <w:jc w:val="right"/>
              <w:ind w:right="18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Software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56,039</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58,104</w:t>
            </w:r>
          </w:p>
        </w:tc>
        <w:tc>
          <w:tcPr>
            <w:tcW w:w="80" w:type="dxa"/>
            <w:vAlign w:val="bottom"/>
          </w:tcPr>
          <w:p>
            <w:pPr>
              <w:spacing w:after="0"/>
              <w:rPr>
                <w:sz w:val="15"/>
                <w:szCs w:val="15"/>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780" w:type="dxa"/>
            <w:vAlign w:val="bottom"/>
            <w:gridSpan w:val="3"/>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Net/Com Products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46,140</w:t>
            </w:r>
          </w:p>
        </w:tc>
        <w:tc>
          <w:tcPr>
            <w:tcW w:w="760" w:type="dxa"/>
            <w:vAlign w:val="bottom"/>
            <w:gridSpan w:val="4"/>
          </w:tcPr>
          <w:p>
            <w:pPr>
              <w:jc w:val="right"/>
              <w:ind w:right="16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37,924</w:t>
            </w:r>
          </w:p>
        </w:tc>
        <w:tc>
          <w:tcPr>
            <w:tcW w:w="80" w:type="dxa"/>
            <w:vAlign w:val="bottom"/>
          </w:tcPr>
          <w:p>
            <w:pPr>
              <w:spacing w:after="0"/>
              <w:rPr>
                <w:sz w:val="15"/>
                <w:szCs w:val="15"/>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780" w:type="dxa"/>
            <w:vAlign w:val="bottom"/>
            <w:gridSpan w:val="3"/>
          </w:tcPr>
          <w:p>
            <w:pPr>
              <w:jc w:val="right"/>
              <w:ind w:right="2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Printers &amp; Printer Supplies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41,557</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43,449</w:t>
            </w:r>
          </w:p>
        </w:tc>
        <w:tc>
          <w:tcPr>
            <w:tcW w:w="80" w:type="dxa"/>
            <w:vAlign w:val="bottom"/>
          </w:tcPr>
          <w:p>
            <w:pPr>
              <w:spacing w:after="0"/>
              <w:rPr>
                <w:sz w:val="15"/>
                <w:szCs w:val="15"/>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780" w:type="dxa"/>
            <w:vAlign w:val="bottom"/>
            <w:gridSpan w:val="3"/>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Storage Devices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35,565</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41,233</w:t>
            </w:r>
          </w:p>
        </w:tc>
        <w:tc>
          <w:tcPr>
            <w:tcW w:w="80" w:type="dxa"/>
            <w:vAlign w:val="bottom"/>
          </w:tcPr>
          <w:p>
            <w:pPr>
              <w:spacing w:after="0"/>
              <w:rPr>
                <w:sz w:val="15"/>
                <w:szCs w:val="15"/>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780" w:type="dxa"/>
            <w:vAlign w:val="bottom"/>
            <w:gridSpan w:val="3"/>
          </w:tcPr>
          <w:p>
            <w:pPr>
              <w:jc w:val="right"/>
              <w:ind w:right="18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Memory &amp; System Enhancements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13,716</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20,460</w:t>
            </w:r>
          </w:p>
        </w:tc>
        <w:tc>
          <w:tcPr>
            <w:tcW w:w="80" w:type="dxa"/>
            <w:vAlign w:val="bottom"/>
          </w:tcPr>
          <w:p>
            <w:pPr>
              <w:spacing w:after="0"/>
              <w:rPr>
                <w:sz w:val="15"/>
                <w:szCs w:val="15"/>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780" w:type="dxa"/>
            <w:vAlign w:val="bottom"/>
            <w:gridSpan w:val="3"/>
          </w:tcPr>
          <w:p>
            <w:pPr>
              <w:jc w:val="right"/>
              <w:ind w:right="18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1"/>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Accessories/Other</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53,267</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52,558</w:t>
            </w:r>
          </w:p>
        </w:tc>
        <w:tc>
          <w:tcPr>
            <w:tcW w:w="80" w:type="dxa"/>
            <w:vAlign w:val="bottom"/>
          </w:tcPr>
          <w:p>
            <w:pPr>
              <w:spacing w:after="0"/>
              <w:rPr>
                <w:sz w:val="15"/>
                <w:szCs w:val="15"/>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780" w:type="dxa"/>
            <w:vAlign w:val="bottom"/>
            <w:gridSpan w:val="3"/>
          </w:tcPr>
          <w:p>
            <w:pPr>
              <w:jc w:val="right"/>
              <w:ind w:right="2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441,444</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456,470</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100%</w:t>
            </w:r>
          </w:p>
        </w:tc>
        <w:tc>
          <w:tcPr>
            <w:tcW w:w="60" w:type="dxa"/>
            <w:vAlign w:val="bottom"/>
            <w:tcBorders>
              <w:top w:val="single" w:sz="8" w:color="auto"/>
              <w:bottom w:val="single" w:sz="8" w:color="auto"/>
            </w:tcBorders>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Net Sales of Enterprise Server and Networking Products (included in the above Product Mix):</w:t>
            </w: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5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149,615</w:t>
            </w:r>
          </w:p>
        </w:tc>
        <w:tc>
          <w:tcPr>
            <w:tcW w:w="760" w:type="dxa"/>
            <w:vAlign w:val="bottom"/>
            <w:gridSpan w:val="4"/>
          </w:tcPr>
          <w:p>
            <w:pPr>
              <w:jc w:val="right"/>
              <w:ind w:right="48"/>
              <w:spacing w:after="0"/>
              <w:rPr>
                <w:sz w:val="20"/>
                <w:szCs w:val="20"/>
                <w:color w:val="auto"/>
              </w:rPr>
            </w:pPr>
            <w:r>
              <w:rPr>
                <w:rFonts w:ascii="Arial" w:cs="Arial" w:eastAsia="Arial" w:hAnsi="Arial"/>
                <w:sz w:val="14"/>
                <w:szCs w:val="14"/>
                <w:color w:val="auto"/>
              </w:rPr>
              <w:t>34%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146,913</w:t>
            </w:r>
          </w:p>
        </w:tc>
        <w:tc>
          <w:tcPr>
            <w:tcW w:w="8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780" w:type="dxa"/>
            <w:vAlign w:val="bottom"/>
            <w:gridSpan w:val="3"/>
          </w:tcPr>
          <w:p>
            <w:pPr>
              <w:jc w:val="right"/>
              <w:ind w:right="1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Performance Indicators:</w:t>
            </w: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Actual shares outstanding</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26,838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26,815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Total book value per share</w:t>
            </w:r>
          </w:p>
        </w:tc>
        <w:tc>
          <w:tcPr>
            <w:tcW w:w="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8.85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8.10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Tangible book value per share</w:t>
            </w:r>
          </w:p>
        </w:tc>
        <w:tc>
          <w:tcPr>
            <w:tcW w:w="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6.64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5.84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Closing price</w:t>
            </w:r>
          </w:p>
        </w:tc>
        <w:tc>
          <w:tcPr>
            <w:tcW w:w="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6.69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12.50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Market capitalization</w:t>
            </w:r>
          </w:p>
        </w:tc>
        <w:tc>
          <w:tcPr>
            <w:tcW w:w="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179,546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335,188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 xml:space="preserve">Trailing price/earnings ratio </w:t>
            </w:r>
            <w:r>
              <w:rPr>
                <w:rFonts w:ascii="Arial" w:cs="Arial" w:eastAsia="Arial" w:hAnsi="Arial"/>
                <w:sz w:val="23"/>
                <w:szCs w:val="23"/>
                <w:color w:val="auto"/>
                <w:vertAlign w:val="superscript"/>
              </w:rPr>
              <w:t>(3)</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780" w:type="dxa"/>
            <w:vAlign w:val="bottom"/>
            <w:gridSpan w:val="2"/>
          </w:tcPr>
          <w:p>
            <w:pPr>
              <w:spacing w:after="0"/>
              <w:rPr>
                <w:sz w:val="20"/>
                <w:szCs w:val="20"/>
                <w:color w:val="auto"/>
              </w:rPr>
            </w:pPr>
            <w:r>
              <w:rPr>
                <w:rFonts w:ascii="Arial" w:cs="Arial" w:eastAsia="Arial" w:hAnsi="Arial"/>
                <w:sz w:val="14"/>
                <w:szCs w:val="14"/>
                <w:color w:val="auto"/>
              </w:rPr>
              <w:t>(1) Annualized</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780" w:type="dxa"/>
            <w:vAlign w:val="bottom"/>
            <w:gridSpan w:val="2"/>
          </w:tcPr>
          <w:p>
            <w:pPr>
              <w:spacing w:after="0"/>
              <w:rPr>
                <w:sz w:val="20"/>
                <w:szCs w:val="20"/>
                <w:color w:val="auto"/>
              </w:rPr>
            </w:pPr>
            <w:r>
              <w:rPr>
                <w:rFonts w:ascii="Arial" w:cs="Arial" w:eastAsia="Arial" w:hAnsi="Arial"/>
                <w:sz w:val="14"/>
                <w:szCs w:val="14"/>
                <w:color w:val="auto"/>
              </w:rPr>
              <w:t>(2) Does not reflect cancellations or returns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(3) Earnings is based on the last four quarters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SELECTED SEGMENT INFORMATION</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jc w:val="right"/>
              <w:ind w:right="868"/>
              <w:spacing w:after="0" w:line="160" w:lineRule="exact"/>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128"/>
              <w:spacing w:after="0" w:line="160"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center"/>
              <w:ind w:right="720"/>
              <w:spacing w:after="0" w:line="160" w:lineRule="exact"/>
              <w:rPr>
                <w:sz w:val="20"/>
                <w:szCs w:val="20"/>
                <w:color w:val="auto"/>
              </w:rPr>
            </w:pPr>
            <w:r>
              <w:rPr>
                <w:rFonts w:ascii="Arial" w:cs="Arial" w:eastAsia="Arial" w:hAnsi="Arial"/>
                <w:sz w:val="14"/>
                <w:szCs w:val="14"/>
                <w:b w:val="1"/>
                <w:bCs w:val="1"/>
                <w:color w:val="auto"/>
                <w:w w:val="97"/>
              </w:rPr>
              <w:t>Net</w:t>
            </w:r>
          </w:p>
        </w:tc>
        <w:tc>
          <w:tcPr>
            <w:tcW w:w="1420" w:type="dxa"/>
            <w:vAlign w:val="bottom"/>
            <w:gridSpan w:val="4"/>
          </w:tcPr>
          <w:p>
            <w:pPr>
              <w:jc w:val="right"/>
              <w:ind w:right="528"/>
              <w:spacing w:after="0" w:line="160"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85"/>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Sales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Margin (%)</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4"/>
                <w:szCs w:val="14"/>
                <w:b w:val="1"/>
                <w:bCs w:val="1"/>
                <w:color w:val="auto"/>
                <w:w w:val="81"/>
              </w:rPr>
              <w:t>Sales</w:t>
            </w:r>
          </w:p>
        </w:tc>
        <w:tc>
          <w:tcPr>
            <w:tcW w:w="14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339"/>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PC Connection Sales Corporation (SMB)</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217,463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760" w:type="dxa"/>
            <w:vAlign w:val="bottom"/>
            <w:gridSpan w:val="4"/>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234,850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3"/>
          </w:tcPr>
          <w:p>
            <w:pPr>
              <w:jc w:val="right"/>
              <w:ind w:right="328"/>
              <w:spacing w:after="0"/>
              <w:rPr>
                <w:sz w:val="20"/>
                <w:szCs w:val="20"/>
                <w:color w:val="auto"/>
              </w:rPr>
            </w:pPr>
            <w:r>
              <w:rPr>
                <w:rFonts w:ascii="Arial" w:cs="Arial" w:eastAsia="Arial" w:hAnsi="Arial"/>
                <w:sz w:val="14"/>
                <w:szCs w:val="14"/>
                <w:color w:val="auto"/>
                <w:w w:val="90"/>
              </w:rPr>
              <w:t>14.3%</w:t>
            </w:r>
          </w:p>
        </w:tc>
        <w:tc>
          <w:tcPr>
            <w:tcW w:w="0" w:type="dxa"/>
            <w:vAlign w:val="bottom"/>
          </w:tcPr>
          <w:p>
            <w:pPr>
              <w:spacing w:after="0"/>
              <w:rPr>
                <w:sz w:val="1"/>
                <w:szCs w:val="1"/>
                <w:color w:val="auto"/>
              </w:rPr>
            </w:pPr>
          </w:p>
        </w:tc>
      </w:tr>
      <w:tr>
        <w:trPr>
          <w:trHeight w:val="176"/>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MoreDirect (Large Account)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117,300</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130,027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gridSpan w:val="3"/>
          </w:tcPr>
          <w:p>
            <w:pPr>
              <w:jc w:val="right"/>
              <w:ind w:right="448"/>
              <w:spacing w:after="0"/>
              <w:rPr>
                <w:sz w:val="20"/>
                <w:szCs w:val="20"/>
                <w:color w:val="auto"/>
              </w:rPr>
            </w:pPr>
            <w:r>
              <w:rPr>
                <w:rFonts w:ascii="Arial" w:cs="Arial" w:eastAsia="Arial" w:hAnsi="Arial"/>
                <w:sz w:val="14"/>
                <w:szCs w:val="14"/>
                <w:color w:val="auto"/>
                <w:w w:val="87"/>
              </w:rPr>
              <w:t>11.5</w:t>
            </w:r>
          </w:p>
        </w:tc>
        <w:tc>
          <w:tcPr>
            <w:tcW w:w="0" w:type="dxa"/>
            <w:vAlign w:val="bottom"/>
          </w:tcPr>
          <w:p>
            <w:pPr>
              <w:spacing w:after="0"/>
              <w:rPr>
                <w:sz w:val="1"/>
                <w:szCs w:val="1"/>
                <w:color w:val="auto"/>
              </w:rPr>
            </w:pPr>
          </w:p>
        </w:tc>
      </w:tr>
      <w:tr>
        <w:trPr>
          <w:trHeight w:val="181"/>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GovConnection (Public Sector)</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106,681</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91,593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gridSpan w:val="3"/>
          </w:tcPr>
          <w:p>
            <w:pPr>
              <w:jc w:val="right"/>
              <w:ind w:right="44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9"/>
        </w:trPr>
        <w:tc>
          <w:tcPr>
            <w:tcW w:w="5700" w:type="dxa"/>
            <w:vAlign w:val="bottom"/>
          </w:tcPr>
          <w:p>
            <w:pPr>
              <w:ind w:left="280"/>
              <w:spacing w:after="0"/>
              <w:rPr>
                <w:sz w:val="20"/>
                <w:szCs w:val="20"/>
                <w:color w:val="auto"/>
              </w:rPr>
            </w:pPr>
            <w:r>
              <w:rPr>
                <w:rFonts w:ascii="Arial" w:cs="Arial" w:eastAsia="Arial" w:hAnsi="Arial"/>
                <w:sz w:val="14"/>
                <w:szCs w:val="14"/>
                <w:color w:val="auto"/>
              </w:rPr>
              <w:t>Total</w:t>
            </w: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441,444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w:t>
            </w:r>
          </w:p>
        </w:tc>
        <w:tc>
          <w:tcPr>
            <w:tcW w:w="520" w:type="dxa"/>
            <w:vAlign w:val="bottom"/>
            <w:gridSpan w:val="3"/>
          </w:tcPr>
          <w:p>
            <w:pPr>
              <w:spacing w:after="0"/>
              <w:rPr>
                <w:sz w:val="14"/>
                <w:szCs w:val="14"/>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456,470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3"/>
          </w:tcPr>
          <w:p>
            <w:pPr>
              <w:jc w:val="right"/>
              <w:ind w:right="328"/>
              <w:spacing w:after="0"/>
              <w:rPr>
                <w:sz w:val="20"/>
                <w:szCs w:val="20"/>
                <w:color w:val="auto"/>
              </w:rPr>
            </w:pPr>
            <w:r>
              <w:rPr>
                <w:rFonts w:ascii="Arial" w:cs="Arial" w:eastAsia="Arial" w:hAnsi="Arial"/>
                <w:sz w:val="14"/>
                <w:szCs w:val="14"/>
                <w:color w:val="auto"/>
                <w:w w:val="90"/>
              </w:rPr>
              <w:t>12.6%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7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CONSOLIDATED INCOME STATEMENTS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gridSpan w:val="6"/>
          </w:tcPr>
          <w:p>
            <w:pPr>
              <w:jc w:val="right"/>
              <w:ind w:right="988"/>
              <w:spacing w:after="0"/>
              <w:rPr>
                <w:sz w:val="20"/>
                <w:szCs w:val="20"/>
                <w:color w:val="auto"/>
              </w:rPr>
            </w:pPr>
            <w:r>
              <w:rPr>
                <w:rFonts w:ascii="Arial" w:cs="Arial" w:eastAsia="Arial" w:hAnsi="Arial"/>
                <w:sz w:val="14"/>
                <w:szCs w:val="14"/>
                <w:b w:val="1"/>
                <w:bCs w:val="1"/>
                <w:color w:val="auto"/>
              </w:rPr>
              <w:t>2008</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2007</w:t>
            </w:r>
          </w:p>
        </w:tc>
        <w:tc>
          <w:tcPr>
            <w:tcW w:w="8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 of Net Sales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 of Net Sales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Net sales</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441,444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456,470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Cost of sales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388,121</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87.9</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398,940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87.4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gridSpan w:val="3"/>
          </w:tcPr>
          <w:p>
            <w:pPr>
              <w:ind w:left="540"/>
              <w:spacing w:after="0"/>
              <w:rPr>
                <w:sz w:val="20"/>
                <w:szCs w:val="20"/>
                <w:color w:val="auto"/>
              </w:rPr>
            </w:pPr>
            <w:r>
              <w:rPr>
                <w:rFonts w:ascii="Arial" w:cs="Arial" w:eastAsia="Arial" w:hAnsi="Arial"/>
                <w:sz w:val="14"/>
                <w:szCs w:val="14"/>
                <w:b w:val="1"/>
                <w:bCs w:val="1"/>
                <w:color w:val="auto"/>
              </w:rPr>
              <w:t>Gross Profit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53,323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57,530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46,872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10.6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45,572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Special charges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1,431</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0.4</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gridSpan w:val="3"/>
          </w:tcPr>
          <w:p>
            <w:pPr>
              <w:ind w:left="54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5,020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11,958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(187)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Other, net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Income tax provision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(1,865)</w:t>
            </w: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(0.4)</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(4,247)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60" w:type="dxa"/>
            <w:vAlign w:val="bottom"/>
            <w:gridSpan w:val="3"/>
          </w:tcPr>
          <w:p>
            <w:pPr>
              <w:ind w:left="5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3,214</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7,685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14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9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54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26,835</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26,814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54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26,892</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27,017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140"/>
              <w:spacing w:after="0"/>
              <w:rPr>
                <w:sz w:val="20"/>
                <w:szCs w:val="20"/>
                <w:color w:val="auto"/>
              </w:rPr>
            </w:pPr>
            <w:r>
              <w:rPr>
                <w:rFonts w:ascii="Arial" w:cs="Arial" w:eastAsia="Arial" w:hAnsi="Arial"/>
                <w:sz w:val="14"/>
                <w:szCs w:val="14"/>
                <w:color w:val="auto"/>
              </w:rPr>
              <w:t>Earnings per common share:</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9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540"/>
              <w:spacing w:after="0"/>
              <w:rPr>
                <w:sz w:val="20"/>
                <w:szCs w:val="20"/>
                <w:color w:val="auto"/>
              </w:rPr>
            </w:pPr>
            <w:r>
              <w:rPr>
                <w:rFonts w:ascii="Arial" w:cs="Arial" w:eastAsia="Arial" w:hAnsi="Arial"/>
                <w:sz w:val="14"/>
                <w:szCs w:val="14"/>
                <w:color w:val="auto"/>
              </w:rPr>
              <w:t>Basic</w:t>
            </w:r>
          </w:p>
        </w:tc>
        <w:tc>
          <w:tcPr>
            <w:tcW w:w="420" w:type="dxa"/>
            <w:vAlign w:val="bottom"/>
            <w:gridSpan w:val="2"/>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54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0.12</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0.28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 INCOME STATEMENTS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960" w:type="dxa"/>
            <w:vAlign w:val="bottom"/>
            <w:tcBorders>
              <w:bottom w:val="single" w:sz="8" w:color="auto"/>
            </w:tcBorders>
            <w:gridSpan w:val="3"/>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2008</w:t>
            </w:r>
          </w:p>
        </w:tc>
        <w:tc>
          <w:tcPr>
            <w:tcW w:w="1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2007</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60" w:type="dxa"/>
            <w:vAlign w:val="bottom"/>
            <w:gridSpan w:val="3"/>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 of Net Sales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5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 of Net Sales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496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color w:val="auto"/>
              </w:rPr>
              <w:t>Net sales</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1,314,567</w:t>
            </w: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100.0%</w:t>
            </w: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1,295,772</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Cost of sales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1,151,660</w:t>
            </w: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87.6</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1,134,287</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gridSpan w:val="3"/>
          </w:tcPr>
          <w:p>
            <w:pPr>
              <w:ind w:left="540"/>
              <w:spacing w:after="0"/>
              <w:rPr>
                <w:sz w:val="20"/>
                <w:szCs w:val="20"/>
                <w:color w:val="auto"/>
              </w:rPr>
            </w:pPr>
            <w:r>
              <w:rPr>
                <w:rFonts w:ascii="Arial" w:cs="Arial" w:eastAsia="Arial" w:hAnsi="Arial"/>
                <w:sz w:val="14"/>
                <w:szCs w:val="14"/>
                <w:b w:val="1"/>
                <w:bCs w:val="1"/>
                <w:color w:val="auto"/>
              </w:rPr>
              <w:t>Gross Profit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162,907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12.4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161,485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140,438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134,770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Special charges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1,431</w:t>
            </w: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0.1</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gridSpan w:val="3"/>
          </w:tcPr>
          <w:p>
            <w:pPr>
              <w:ind w:left="54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21,038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26,715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(548)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Other, net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653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Income tax provision</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(8,025)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(0.6)</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(9,877)</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60" w:type="dxa"/>
            <w:vAlign w:val="bottom"/>
            <w:gridSpan w:val="3"/>
          </w:tcPr>
          <w:p>
            <w:pPr>
              <w:ind w:left="5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13,075</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16,823</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14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9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54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26,834</w:t>
            </w: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26,765</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54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26,941</w:t>
            </w: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27,009</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140"/>
              <w:spacing w:after="0"/>
              <w:rPr>
                <w:sz w:val="20"/>
                <w:szCs w:val="20"/>
                <w:color w:val="auto"/>
              </w:rPr>
            </w:pPr>
            <w:r>
              <w:rPr>
                <w:rFonts w:ascii="Arial" w:cs="Arial" w:eastAsia="Arial" w:hAnsi="Arial"/>
                <w:sz w:val="14"/>
                <w:szCs w:val="14"/>
                <w:color w:val="auto"/>
              </w:rPr>
              <w:t>Earnings per common share:</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9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54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0.49</w:t>
            </w: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0.63</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540"/>
              <w:spacing w:after="0"/>
              <w:rPr>
                <w:sz w:val="20"/>
                <w:szCs w:val="20"/>
                <w:color w:val="auto"/>
              </w:rPr>
            </w:pPr>
            <w:r>
              <w:rPr>
                <w:rFonts w:ascii="Arial" w:cs="Arial" w:eastAsia="Arial" w:hAnsi="Arial"/>
                <w:sz w:val="14"/>
                <w:szCs w:val="14"/>
                <w:color w:val="auto"/>
              </w:rPr>
              <w:t>Diluted</w:t>
            </w: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0.49</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0.62</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 RECONCILIATION BETWEEN GAAP AND PRO FORMA NET INCOME</w:t>
            </w:r>
          </w:p>
        </w:tc>
        <w:tc>
          <w:tcPr>
            <w:tcW w:w="6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900" w:type="dxa"/>
            <w:vAlign w:val="bottom"/>
            <w:tcBorders>
              <w:bottom w:val="single" w:sz="8" w:color="auto"/>
            </w:tcBorders>
            <w:gridSpan w:val="2"/>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920" w:type="dxa"/>
            <w:vAlign w:val="bottom"/>
            <w:gridSpan w:val="14"/>
          </w:tcPr>
          <w:p>
            <w:pPr>
              <w:spacing w:after="0" w:line="155" w:lineRule="exact"/>
              <w:rPr>
                <w:sz w:val="20"/>
                <w:szCs w:val="20"/>
                <w:color w:val="auto"/>
              </w:rPr>
            </w:pPr>
            <w:r>
              <w:rPr>
                <w:rFonts w:ascii="Arial" w:cs="Arial" w:eastAsia="Arial" w:hAnsi="Arial"/>
                <w:sz w:val="14"/>
                <w:szCs w:val="14"/>
                <w:i w:val="1"/>
                <w:iCs w:val="1"/>
                <w:color w:val="auto"/>
                <w:w w:val="97"/>
              </w:rPr>
              <w:t>This information is being provided so as to allow for a comparison of our operating results without special charges.</w:t>
            </w: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 w:type="dxa"/>
            <w:vAlign w:val="bottom"/>
            <w:tcBorders>
              <w:top w:val="single" w:sz="8" w:color="auto"/>
              <w:bottom w:val="single" w:sz="8" w:color="auto"/>
            </w:tcBorders>
          </w:tcPr>
          <w:p>
            <w:pPr>
              <w:spacing w:after="0"/>
              <w:rPr>
                <w:sz w:val="15"/>
                <w:szCs w:val="15"/>
                <w:color w:val="auto"/>
              </w:rPr>
            </w:pPr>
          </w:p>
        </w:tc>
        <w:tc>
          <w:tcPr>
            <w:tcW w:w="402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12"/>
          </w:tcPr>
          <w:p>
            <w:pPr>
              <w:ind w:left="340"/>
              <w:spacing w:after="0" w:line="142" w:lineRule="exact"/>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tcBorders>
              <w:bottom w:val="single" w:sz="8" w:color="auto"/>
            </w:tcBorders>
            <w:gridSpan w:val="3"/>
          </w:tcPr>
          <w:p>
            <w:pPr>
              <w:spacing w:after="0" w:line="156" w:lineRule="exact"/>
              <w:rPr>
                <w:sz w:val="20"/>
                <w:szCs w:val="20"/>
                <w:color w:val="auto"/>
              </w:rPr>
            </w:pPr>
            <w:r>
              <w:rPr>
                <w:rFonts w:ascii="Arial" w:cs="Arial" w:eastAsia="Arial" w:hAnsi="Arial"/>
                <w:sz w:val="14"/>
                <w:szCs w:val="14"/>
                <w:i w:val="1"/>
                <w:iCs w:val="1"/>
                <w:color w:val="auto"/>
              </w:rPr>
              <w:t>(Amounts in thousands)</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8"/>
              <w:spacing w:after="0" w:line="156" w:lineRule="exact"/>
              <w:rPr>
                <w:sz w:val="20"/>
                <w:szCs w:val="20"/>
                <w:color w:val="auto"/>
              </w:rPr>
            </w:pPr>
            <w:r>
              <w:rPr>
                <w:rFonts w:ascii="Arial" w:cs="Arial" w:eastAsia="Arial" w:hAnsi="Arial"/>
                <w:sz w:val="14"/>
                <w:szCs w:val="14"/>
                <w:b w:val="1"/>
                <w:bCs w:val="1"/>
                <w:color w:val="auto"/>
              </w:rPr>
              <w:t>2008</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88"/>
              <w:spacing w:after="0" w:line="156" w:lineRule="exact"/>
              <w:rPr>
                <w:sz w:val="20"/>
                <w:szCs w:val="20"/>
                <w:color w:val="auto"/>
              </w:rPr>
            </w:pPr>
            <w:r>
              <w:rPr>
                <w:rFonts w:ascii="Arial" w:cs="Arial" w:eastAsia="Arial" w:hAnsi="Arial"/>
                <w:sz w:val="14"/>
                <w:szCs w:val="14"/>
                <w:b w:val="1"/>
                <w:bCs w:val="1"/>
                <w:color w:val="auto"/>
              </w:rPr>
              <w:t>2007</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48"/>
              <w:spacing w:after="0" w:line="156" w:lineRule="exact"/>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28"/>
              <w:spacing w:after="0" w:line="156"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GAAP net income</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3,214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7,685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5"/>
          </w:tcPr>
          <w:p>
            <w:pPr>
              <w:jc w:val="right"/>
              <w:ind w:right="20"/>
              <w:spacing w:after="0"/>
              <w:rPr>
                <w:sz w:val="20"/>
                <w:szCs w:val="20"/>
                <w:color w:val="auto"/>
              </w:rPr>
            </w:pPr>
            <w:r>
              <w:rPr>
                <w:rFonts w:ascii="Arial" w:cs="Arial" w:eastAsia="Arial" w:hAnsi="Arial"/>
                <w:sz w:val="14"/>
                <w:szCs w:val="14"/>
                <w:color w:val="auto"/>
              </w:rPr>
              <w:t>13,075</w:t>
            </w:r>
          </w:p>
        </w:tc>
        <w:tc>
          <w:tcPr>
            <w:tcW w:w="8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16,823</w:t>
            </w:r>
          </w:p>
        </w:tc>
        <w:tc>
          <w:tcPr>
            <w:tcW w:w="0" w:type="dxa"/>
            <w:vAlign w:val="bottom"/>
          </w:tcPr>
          <w:p>
            <w:pPr>
              <w:spacing w:after="0"/>
              <w:rPr>
                <w:sz w:val="1"/>
                <w:szCs w:val="1"/>
                <w:color w:val="auto"/>
              </w:rPr>
            </w:pPr>
          </w:p>
        </w:tc>
      </w:tr>
      <w:tr>
        <w:trPr>
          <w:trHeight w:val="176"/>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Special charges (after tax):</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340"/>
              <w:spacing w:after="0"/>
              <w:rPr>
                <w:sz w:val="20"/>
                <w:szCs w:val="20"/>
                <w:color w:val="auto"/>
              </w:rPr>
            </w:pPr>
            <w:r>
              <w:rPr>
                <w:rFonts w:ascii="Arial" w:cs="Arial" w:eastAsia="Arial" w:hAnsi="Arial"/>
                <w:sz w:val="14"/>
                <w:szCs w:val="14"/>
                <w:color w:val="auto"/>
              </w:rPr>
              <w:t>Management restructuring</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4"/>
                <w:szCs w:val="14"/>
                <w:color w:val="auto"/>
              </w:rPr>
              <w:t>906</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Total special charges (after tax)</w:t>
            </w:r>
          </w:p>
        </w:tc>
        <w:tc>
          <w:tcPr>
            <w:tcW w:w="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906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4960" w:type="dxa"/>
            <w:vAlign w:val="bottom"/>
            <w:gridSpan w:val="3"/>
          </w:tcPr>
          <w:p>
            <w:pPr>
              <w:ind w:left="140"/>
              <w:spacing w:after="0"/>
              <w:rPr>
                <w:sz w:val="20"/>
                <w:szCs w:val="20"/>
                <w:color w:val="auto"/>
              </w:rPr>
            </w:pPr>
            <w:r>
              <w:rPr>
                <w:rFonts w:ascii="Arial" w:cs="Arial" w:eastAsia="Arial" w:hAnsi="Arial"/>
                <w:sz w:val="14"/>
                <w:szCs w:val="14"/>
                <w:color w:val="auto"/>
              </w:rPr>
              <w:t>Pro forma net income</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4,120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7,685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5"/>
          </w:tcPr>
          <w:p>
            <w:pPr>
              <w:jc w:val="right"/>
              <w:ind w:right="20"/>
              <w:spacing w:after="0"/>
              <w:rPr>
                <w:sz w:val="20"/>
                <w:szCs w:val="20"/>
                <w:color w:val="auto"/>
              </w:rPr>
            </w:pPr>
            <w:r>
              <w:rPr>
                <w:rFonts w:ascii="Arial" w:cs="Arial" w:eastAsia="Arial" w:hAnsi="Arial"/>
                <w:sz w:val="14"/>
                <w:szCs w:val="14"/>
                <w:color w:val="auto"/>
              </w:rPr>
              <w:t>13,981</w:t>
            </w:r>
          </w:p>
        </w:tc>
        <w:tc>
          <w:tcPr>
            <w:tcW w:w="8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16,823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80" w:type="dxa"/>
            <w:vAlign w:val="bottom"/>
            <w:tcBorders>
              <w:bottom w:val="single" w:sz="8" w:color="EEEEEE"/>
            </w:tcBorders>
          </w:tcPr>
          <w:p>
            <w:pPr>
              <w:spacing w:after="0" w:line="20" w:lineRule="exact"/>
              <w:rPr>
                <w:sz w:val="1"/>
                <w:szCs w:val="1"/>
                <w:color w:val="auto"/>
              </w:rPr>
            </w:pPr>
          </w:p>
        </w:tc>
        <w:tc>
          <w:tcPr>
            <w:tcW w:w="40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5"/>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CONSOLIDATED BALANCE SHEETS</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ind w:right="26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9"/>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6000" w:type="dxa"/>
            <w:vAlign w:val="bottom"/>
          </w:tcPr>
          <w:p>
            <w:pPr>
              <w:ind w:left="14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46,827</w:t>
            </w:r>
          </w:p>
        </w:tc>
        <w:tc>
          <w:tcPr>
            <w:tcW w:w="80" w:type="dxa"/>
            <w:vAlign w:val="bottom"/>
          </w:tcPr>
          <w:p>
            <w:pPr>
              <w:spacing w:after="0"/>
              <w:rPr>
                <w:sz w:val="15"/>
                <w:szCs w:val="15"/>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13,741</w:t>
            </w: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182,883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202,216</w:t>
            </w: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Inventories–merchandise</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75,696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76,090</w:t>
            </w: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Income taxes receivable</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81"/>
        </w:trPr>
        <w:tc>
          <w:tcPr>
            <w:tcW w:w="600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3,244</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4,322</w:t>
            </w:r>
          </w:p>
        </w:tc>
        <w:tc>
          <w:tcPr>
            <w:tcW w:w="0" w:type="dxa"/>
            <w:vAlign w:val="bottom"/>
          </w:tcPr>
          <w:p>
            <w:pPr>
              <w:spacing w:after="0"/>
              <w:rPr>
                <w:sz w:val="1"/>
                <w:szCs w:val="1"/>
                <w:color w:val="auto"/>
              </w:rPr>
            </w:pPr>
          </w:p>
        </w:tc>
      </w:tr>
      <w:tr>
        <w:trPr>
          <w:trHeight w:val="164"/>
        </w:trPr>
        <w:tc>
          <w:tcPr>
            <w:tcW w:w="6000" w:type="dxa"/>
            <w:vAlign w:val="bottom"/>
          </w:tcPr>
          <w:p>
            <w:pPr>
              <w:ind w:left="680"/>
              <w:spacing w:after="0"/>
              <w:rPr>
                <w:sz w:val="20"/>
                <w:szCs w:val="20"/>
                <w:color w:val="auto"/>
              </w:rPr>
            </w:pPr>
            <w:r>
              <w:rPr>
                <w:rFonts w:ascii="Arial" w:cs="Arial" w:eastAsia="Arial" w:hAnsi="Arial"/>
                <w:sz w:val="14"/>
                <w:szCs w:val="14"/>
                <w:b w:val="1"/>
                <w:bCs w:val="1"/>
                <w:color w:val="auto"/>
              </w:rPr>
              <w:t>Total current assets</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313,640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299,572</w:t>
            </w: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24,900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20,831</w:t>
            </w: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56,867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56,867</w:t>
            </w: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Other intangibles, net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3,291</w:t>
            </w:r>
          </w:p>
        </w:tc>
        <w:tc>
          <w:tcPr>
            <w:tcW w:w="0" w:type="dxa"/>
            <w:vAlign w:val="bottom"/>
          </w:tcPr>
          <w:p>
            <w:pPr>
              <w:spacing w:after="0"/>
              <w:rPr>
                <w:sz w:val="1"/>
                <w:szCs w:val="1"/>
                <w:color w:val="auto"/>
              </w:rPr>
            </w:pPr>
          </w:p>
        </w:tc>
      </w:tr>
      <w:tr>
        <w:trPr>
          <w:trHeight w:val="181"/>
        </w:trPr>
        <w:tc>
          <w:tcPr>
            <w:tcW w:w="6000" w:type="dxa"/>
            <w:vAlign w:val="bottom"/>
          </w:tcPr>
          <w:p>
            <w:pPr>
              <w:ind w:left="14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69"/>
        </w:trPr>
        <w:tc>
          <w:tcPr>
            <w:tcW w:w="6000" w:type="dxa"/>
            <w:vAlign w:val="bottom"/>
          </w:tcPr>
          <w:p>
            <w:pPr>
              <w:ind w:left="68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398,198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86"/>
              </w:rPr>
              <w:t>380,879</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000" w:type="dxa"/>
            <w:vAlign w:val="bottom"/>
          </w:tcPr>
          <w:p>
            <w:pPr>
              <w:ind w:left="14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Current maturities of capital lease obligation to affiliate</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661</w:t>
            </w:r>
          </w:p>
        </w:tc>
        <w:tc>
          <w:tcPr>
            <w:tcW w:w="80" w:type="dxa"/>
            <w:vAlign w:val="bottom"/>
          </w:tcPr>
          <w:p>
            <w:pPr>
              <w:spacing w:after="0"/>
              <w:rPr>
                <w:sz w:val="15"/>
                <w:szCs w:val="15"/>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115,188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111,140</w:t>
            </w: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20,915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20,557</w:t>
            </w:r>
          </w:p>
        </w:tc>
        <w:tc>
          <w:tcPr>
            <w:tcW w:w="0" w:type="dxa"/>
            <w:vAlign w:val="bottom"/>
          </w:tcPr>
          <w:p>
            <w:pPr>
              <w:spacing w:after="0"/>
              <w:rPr>
                <w:sz w:val="1"/>
                <w:szCs w:val="1"/>
                <w:color w:val="auto"/>
              </w:rPr>
            </w:pPr>
          </w:p>
        </w:tc>
      </w:tr>
      <w:tr>
        <w:trPr>
          <w:trHeight w:val="181"/>
        </w:trPr>
        <w:tc>
          <w:tcPr>
            <w:tcW w:w="6000" w:type="dxa"/>
            <w:vAlign w:val="bottom"/>
          </w:tcPr>
          <w:p>
            <w:pPr>
              <w:ind w:left="140"/>
              <w:spacing w:after="0"/>
              <w:rPr>
                <w:sz w:val="20"/>
                <w:szCs w:val="20"/>
                <w:color w:val="auto"/>
              </w:rPr>
            </w:pPr>
            <w:r>
              <w:rPr>
                <w:rFonts w:ascii="Arial" w:cs="Arial" w:eastAsia="Arial" w:hAnsi="Arial"/>
                <w:sz w:val="14"/>
                <w:szCs w:val="14"/>
                <w:color w:val="auto"/>
              </w:rPr>
              <w:t>Accrued payroll</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10,816</w:t>
            </w:r>
          </w:p>
        </w:tc>
        <w:tc>
          <w:tcPr>
            <w:tcW w:w="0" w:type="dxa"/>
            <w:vAlign w:val="bottom"/>
          </w:tcPr>
          <w:p>
            <w:pPr>
              <w:spacing w:after="0"/>
              <w:rPr>
                <w:sz w:val="1"/>
                <w:szCs w:val="1"/>
                <w:color w:val="auto"/>
              </w:rPr>
            </w:pPr>
          </w:p>
        </w:tc>
      </w:tr>
      <w:tr>
        <w:trPr>
          <w:trHeight w:val="164"/>
        </w:trPr>
        <w:tc>
          <w:tcPr>
            <w:tcW w:w="6000" w:type="dxa"/>
            <w:vAlign w:val="bottom"/>
          </w:tcPr>
          <w:p>
            <w:pPr>
              <w:ind w:left="680"/>
              <w:spacing w:after="0"/>
              <w:rPr>
                <w:sz w:val="20"/>
                <w:szCs w:val="20"/>
                <w:color w:val="auto"/>
              </w:rPr>
            </w:pPr>
            <w:r>
              <w:rPr>
                <w:rFonts w:ascii="Arial" w:cs="Arial" w:eastAsia="Arial" w:hAnsi="Arial"/>
                <w:sz w:val="14"/>
                <w:szCs w:val="14"/>
                <w:b w:val="1"/>
                <w:bCs w:val="1"/>
                <w:color w:val="auto"/>
              </w:rPr>
              <w:t>Total current liabilities</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145,875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143,040</w:t>
            </w: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Capital lease obligation to affiliate, less current maturities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4,309</w:t>
            </w:r>
          </w:p>
        </w:tc>
        <w:tc>
          <w:tcPr>
            <w:tcW w:w="0" w:type="dxa"/>
            <w:vAlign w:val="bottom"/>
          </w:tcPr>
          <w:p>
            <w:pPr>
              <w:spacing w:after="0"/>
              <w:rPr>
                <w:sz w:val="1"/>
                <w:szCs w:val="1"/>
                <w:color w:val="auto"/>
              </w:rPr>
            </w:pPr>
          </w:p>
        </w:tc>
      </w:tr>
      <w:tr>
        <w:trPr>
          <w:trHeight w:val="176"/>
        </w:trPr>
        <w:tc>
          <w:tcPr>
            <w:tcW w:w="600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5,436</w:t>
            </w:r>
          </w:p>
        </w:tc>
        <w:tc>
          <w:tcPr>
            <w:tcW w:w="0" w:type="dxa"/>
            <w:vAlign w:val="bottom"/>
          </w:tcPr>
          <w:p>
            <w:pPr>
              <w:spacing w:after="0"/>
              <w:rPr>
                <w:sz w:val="1"/>
                <w:szCs w:val="1"/>
                <w:color w:val="auto"/>
              </w:rPr>
            </w:pPr>
          </w:p>
        </w:tc>
      </w:tr>
      <w:tr>
        <w:trPr>
          <w:trHeight w:val="181"/>
        </w:trPr>
        <w:tc>
          <w:tcPr>
            <w:tcW w:w="6000" w:type="dxa"/>
            <w:vAlign w:val="bottom"/>
          </w:tcPr>
          <w:p>
            <w:pPr>
              <w:ind w:left="140"/>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4,037</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3,784</w:t>
            </w:r>
          </w:p>
        </w:tc>
        <w:tc>
          <w:tcPr>
            <w:tcW w:w="0" w:type="dxa"/>
            <w:vAlign w:val="bottom"/>
          </w:tcPr>
          <w:p>
            <w:pPr>
              <w:spacing w:after="0"/>
              <w:rPr>
                <w:sz w:val="1"/>
                <w:szCs w:val="1"/>
                <w:color w:val="auto"/>
              </w:rPr>
            </w:pPr>
          </w:p>
        </w:tc>
      </w:tr>
      <w:tr>
        <w:trPr>
          <w:trHeight w:val="169"/>
        </w:trPr>
        <w:tc>
          <w:tcPr>
            <w:tcW w:w="6000" w:type="dxa"/>
            <w:vAlign w:val="bottom"/>
          </w:tcPr>
          <w:p>
            <w:pPr>
              <w:ind w:left="68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160,568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86"/>
              </w:rPr>
              <w:t>156,569</w:t>
            </w:r>
          </w:p>
        </w:tc>
        <w:tc>
          <w:tcPr>
            <w:tcW w:w="0" w:type="dxa"/>
            <w:vAlign w:val="bottom"/>
          </w:tcPr>
          <w:p>
            <w:pPr>
              <w:spacing w:after="0"/>
              <w:rPr>
                <w:sz w:val="1"/>
                <w:szCs w:val="1"/>
                <w:color w:val="auto"/>
              </w:rPr>
            </w:pPr>
          </w:p>
        </w:tc>
      </w:tr>
      <w:tr>
        <w:trPr>
          <w:trHeight w:val="164"/>
        </w:trPr>
        <w:tc>
          <w:tcPr>
            <w:tcW w:w="6000" w:type="dxa"/>
            <w:vAlign w:val="bottom"/>
          </w:tcPr>
          <w:p>
            <w:pPr>
              <w:ind w:left="14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34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6"/>
        </w:trPr>
        <w:tc>
          <w:tcPr>
            <w:tcW w:w="600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95,390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94,132</w:t>
            </w:r>
          </w:p>
        </w:tc>
        <w:tc>
          <w:tcPr>
            <w:tcW w:w="0" w:type="dxa"/>
            <w:vAlign w:val="bottom"/>
          </w:tcPr>
          <w:p>
            <w:pPr>
              <w:spacing w:after="0"/>
              <w:rPr>
                <w:sz w:val="1"/>
                <w:szCs w:val="1"/>
                <w:color w:val="auto"/>
              </w:rPr>
            </w:pPr>
          </w:p>
        </w:tc>
      </w:tr>
      <w:tr>
        <w:trPr>
          <w:trHeight w:val="176"/>
        </w:trPr>
        <w:tc>
          <w:tcPr>
            <w:tcW w:w="6000" w:type="dxa"/>
            <w:vAlign w:val="bottom"/>
          </w:tcPr>
          <w:p>
            <w:pPr>
              <w:ind w:left="34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145,045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131,970</w:t>
            </w:r>
          </w:p>
        </w:tc>
        <w:tc>
          <w:tcPr>
            <w:tcW w:w="0" w:type="dxa"/>
            <w:vAlign w:val="bottom"/>
          </w:tcPr>
          <w:p>
            <w:pPr>
              <w:spacing w:after="0"/>
              <w:rPr>
                <w:sz w:val="1"/>
                <w:szCs w:val="1"/>
                <w:color w:val="auto"/>
              </w:rPr>
            </w:pPr>
          </w:p>
        </w:tc>
      </w:tr>
      <w:tr>
        <w:trPr>
          <w:trHeight w:val="181"/>
        </w:trPr>
        <w:tc>
          <w:tcPr>
            <w:tcW w:w="6000" w:type="dxa"/>
            <w:vAlign w:val="bottom"/>
          </w:tcPr>
          <w:p>
            <w:pPr>
              <w:ind w:left="340"/>
              <w:spacing w:after="0"/>
              <w:rPr>
                <w:sz w:val="20"/>
                <w:szCs w:val="20"/>
                <w:color w:val="auto"/>
              </w:rPr>
            </w:pPr>
            <w:r>
              <w:rPr>
                <w:rFonts w:ascii="Arial" w:cs="Arial" w:eastAsia="Arial" w:hAnsi="Arial"/>
                <w:sz w:val="14"/>
                <w:szCs w:val="14"/>
                <w:color w:val="auto"/>
              </w:rPr>
              <w:t>Treasury stock at cost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(3,078)</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(2,065)</w:t>
            </w:r>
          </w:p>
        </w:tc>
        <w:tc>
          <w:tcPr>
            <w:tcW w:w="0" w:type="dxa"/>
            <w:vAlign w:val="bottom"/>
          </w:tcPr>
          <w:p>
            <w:pPr>
              <w:spacing w:after="0"/>
              <w:rPr>
                <w:sz w:val="1"/>
                <w:szCs w:val="1"/>
                <w:color w:val="auto"/>
              </w:rPr>
            </w:pPr>
          </w:p>
        </w:tc>
      </w:tr>
      <w:tr>
        <w:trPr>
          <w:trHeight w:val="169"/>
        </w:trPr>
        <w:tc>
          <w:tcPr>
            <w:tcW w:w="6000" w:type="dxa"/>
            <w:vAlign w:val="bottom"/>
          </w:tcPr>
          <w:p>
            <w:pPr>
              <w:ind w:left="680"/>
              <w:spacing w:after="0"/>
              <w:rPr>
                <w:sz w:val="20"/>
                <w:szCs w:val="20"/>
                <w:color w:val="auto"/>
              </w:rPr>
            </w:pPr>
            <w:r>
              <w:rPr>
                <w:rFonts w:ascii="Arial" w:cs="Arial" w:eastAsia="Arial" w:hAnsi="Arial"/>
                <w:sz w:val="14"/>
                <w:szCs w:val="14"/>
                <w:b w:val="1"/>
                <w:bCs w:val="1"/>
                <w:color w:val="auto"/>
              </w:rPr>
              <w:t>Total Stockholders’ Equity</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237,630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86"/>
              </w:rPr>
              <w:t>224,310</w:t>
            </w:r>
          </w:p>
        </w:tc>
        <w:tc>
          <w:tcPr>
            <w:tcW w:w="0" w:type="dxa"/>
            <w:vAlign w:val="bottom"/>
          </w:tcPr>
          <w:p>
            <w:pPr>
              <w:spacing w:after="0"/>
              <w:rPr>
                <w:sz w:val="1"/>
                <w:szCs w:val="1"/>
                <w:color w:val="auto"/>
              </w:rPr>
            </w:pPr>
          </w:p>
        </w:tc>
      </w:tr>
      <w:tr>
        <w:trPr>
          <w:trHeight w:val="169"/>
        </w:trPr>
        <w:tc>
          <w:tcPr>
            <w:tcW w:w="6000" w:type="dxa"/>
            <w:vAlign w:val="bottom"/>
          </w:tcPr>
          <w:p>
            <w:pPr>
              <w:ind w:left="680"/>
              <w:spacing w:after="0"/>
              <w:rPr>
                <w:sz w:val="20"/>
                <w:szCs w:val="20"/>
                <w:color w:val="auto"/>
              </w:rPr>
            </w:pPr>
            <w:r>
              <w:rPr>
                <w:rFonts w:ascii="Arial" w:cs="Arial" w:eastAsia="Arial" w:hAnsi="Arial"/>
                <w:sz w:val="14"/>
                <w:szCs w:val="14"/>
                <w:b w:val="1"/>
                <w:bCs w:val="1"/>
                <w:color w:val="auto"/>
              </w:rPr>
              <w:t>Total Liabilities and Stockholders’ Equity</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398,198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86"/>
              </w:rPr>
              <w:t>380,879</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 OF CHANGES IN STOCKHOLDERS’ EQUITY</w:t>
            </w: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0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Nine months ended September 30, 2008 (amounts in thousands)</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bottom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w w:val="89"/>
              </w:rPr>
              <w:t>Common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188"/>
              <w:spacing w:after="0" w:line="153" w:lineRule="exact"/>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3"/>
                <w:szCs w:val="13"/>
                <w:color w:val="auto"/>
              </w:rPr>
            </w:pPr>
          </w:p>
        </w:tc>
        <w:tc>
          <w:tcPr>
            <w:tcW w:w="780" w:type="dxa"/>
            <w:vAlign w:val="bottom"/>
            <w:gridSpan w:val="3"/>
          </w:tcPr>
          <w:p>
            <w:pPr>
              <w:jc w:val="right"/>
              <w:ind w:right="160"/>
              <w:spacing w:after="0" w:line="153"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3"/>
                <w:szCs w:val="13"/>
                <w:color w:val="auto"/>
              </w:rPr>
            </w:pPr>
          </w:p>
        </w:tc>
        <w:tc>
          <w:tcPr>
            <w:tcW w:w="1000" w:type="dxa"/>
            <w:vAlign w:val="bottom"/>
            <w:tcBorders>
              <w:bottom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w w:val="89"/>
              </w:rPr>
              <w:t>Treasury Shares</w:t>
            </w:r>
          </w:p>
        </w:tc>
        <w:tc>
          <w:tcPr>
            <w:tcW w:w="2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6"/>
        </w:trPr>
        <w:tc>
          <w:tcPr>
            <w:tcW w:w="6000" w:type="dxa"/>
            <w:vAlign w:val="bottom"/>
          </w:tcPr>
          <w:p>
            <w:pPr>
              <w:spacing w:after="0"/>
              <w:rPr>
                <w:sz w:val="20"/>
                <w:szCs w:val="20"/>
                <w:color w:val="auto"/>
              </w:rPr>
            </w:pPr>
            <w:r>
              <w:rPr>
                <w:rFonts w:ascii="Arial" w:cs="Arial" w:eastAsia="Arial" w:hAnsi="Arial"/>
                <w:sz w:val="14"/>
                <w:szCs w:val="14"/>
                <w:b w:val="1"/>
                <w:bCs w:val="1"/>
                <w:color w:val="auto"/>
              </w:rPr>
              <w:t>Balance – January 1, 2008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27,252</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273</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94,132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131,970</w:t>
            </w: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(327)</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($2,065)</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224,310</w:t>
            </w:r>
          </w:p>
        </w:tc>
        <w:tc>
          <w:tcPr>
            <w:tcW w:w="0" w:type="dxa"/>
            <w:vAlign w:val="bottom"/>
          </w:tcPr>
          <w:p>
            <w:pPr>
              <w:spacing w:after="0"/>
              <w:rPr>
                <w:sz w:val="1"/>
                <w:szCs w:val="1"/>
                <w:color w:val="auto"/>
              </w:rPr>
            </w:pPr>
          </w:p>
        </w:tc>
      </w:tr>
      <w:tr>
        <w:trPr>
          <w:trHeight w:val="351"/>
        </w:trPr>
        <w:tc>
          <w:tcPr>
            <w:tcW w:w="600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1,096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20" w:type="dxa"/>
            <w:vAlign w:val="bottom"/>
            <w:gridSpan w:val="4"/>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351"/>
        </w:trPr>
        <w:tc>
          <w:tcPr>
            <w:tcW w:w="6000" w:type="dxa"/>
            <w:vAlign w:val="bottom"/>
          </w:tcPr>
          <w:p>
            <w:pPr>
              <w:spacing w:after="0"/>
              <w:rPr>
                <w:sz w:val="20"/>
                <w:szCs w:val="20"/>
                <w:color w:val="auto"/>
              </w:rPr>
            </w:pPr>
            <w:r>
              <w:rPr>
                <w:rFonts w:ascii="Arial" w:cs="Arial" w:eastAsia="Arial" w:hAnsi="Arial"/>
                <w:sz w:val="14"/>
                <w:szCs w:val="14"/>
                <w:color w:val="auto"/>
              </w:rPr>
              <w:t>Issuance of common stock under stock incentive plans, including income tax benefits</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20" w:type="dxa"/>
            <w:vAlign w:val="bottom"/>
            <w:gridSpan w:val="4"/>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351"/>
        </w:trPr>
        <w:tc>
          <w:tcPr>
            <w:tcW w:w="6000" w:type="dxa"/>
            <w:vAlign w:val="bottom"/>
          </w:tcPr>
          <w:p>
            <w:pPr>
              <w:spacing w:after="0"/>
              <w:rPr>
                <w:sz w:val="20"/>
                <w:szCs w:val="20"/>
                <w:color w:val="auto"/>
              </w:rPr>
            </w:pPr>
            <w:r>
              <w:rPr>
                <w:rFonts w:ascii="Arial" w:cs="Arial" w:eastAsia="Arial" w:hAnsi="Arial"/>
                <w:sz w:val="14"/>
                <w:szCs w:val="14"/>
                <w:color w:val="auto"/>
              </w:rPr>
              <w:t>Issuance of common stock under Employee Stock Purchase Plan</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20" w:type="dxa"/>
            <w:vAlign w:val="bottom"/>
            <w:gridSpan w:val="4"/>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351"/>
        </w:trPr>
        <w:tc>
          <w:tcPr>
            <w:tcW w:w="6000" w:type="dxa"/>
            <w:vAlign w:val="bottom"/>
          </w:tcPr>
          <w:p>
            <w:pPr>
              <w:spacing w:after="0"/>
              <w:rPr>
                <w:sz w:val="20"/>
                <w:szCs w:val="20"/>
                <w:color w:val="auto"/>
              </w:rPr>
            </w:pPr>
            <w:r>
              <w:rPr>
                <w:rFonts w:ascii="Arial" w:cs="Arial" w:eastAsia="Arial" w:hAnsi="Arial"/>
                <w:sz w:val="14"/>
                <w:szCs w:val="14"/>
                <w:color w:val="auto"/>
              </w:rPr>
              <w:t>Repurchase of common stock for Treasury</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(128)</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351"/>
        </w:trPr>
        <w:tc>
          <w:tcPr>
            <w:tcW w:w="6000" w:type="dxa"/>
            <w:vAlign w:val="bottom"/>
          </w:tcPr>
          <w:p>
            <w:pPr>
              <w:spacing w:after="0"/>
              <w:rPr>
                <w:sz w:val="20"/>
                <w:szCs w:val="20"/>
                <w:color w:val="auto"/>
              </w:rPr>
            </w:pPr>
            <w:r>
              <w:rPr>
                <w:rFonts w:ascii="Arial" w:cs="Arial" w:eastAsia="Arial" w:hAnsi="Arial"/>
                <w:sz w:val="14"/>
                <w:szCs w:val="14"/>
                <w:color w:val="auto"/>
              </w:rPr>
              <w:t>Nonvested stock awards</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20" w:type="dxa"/>
            <w:vAlign w:val="bottom"/>
            <w:gridSpan w:val="4"/>
          </w:tcPr>
          <w:p>
            <w:pPr>
              <w:jc w:val="right"/>
              <w:ind w:right="28"/>
              <w:spacing w:after="0"/>
              <w:rPr>
                <w:sz w:val="20"/>
                <w:szCs w:val="20"/>
                <w:color w:val="auto"/>
              </w:rPr>
            </w:pPr>
            <w:r>
              <w:rPr>
                <w:rFonts w:ascii="Arial" w:cs="Arial" w:eastAsia="Arial" w:hAnsi="Arial"/>
                <w:sz w:val="14"/>
                <w:szCs w:val="14"/>
                <w:color w:val="auto"/>
              </w:rPr>
              <w:t>26</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0"/>
        </w:trPr>
        <w:tc>
          <w:tcPr>
            <w:tcW w:w="6000" w:type="dxa"/>
            <w:vAlign w:val="bottom"/>
          </w:tcPr>
          <w:p>
            <w:pPr>
              <w:spacing w:after="0"/>
              <w:rPr>
                <w:sz w:val="20"/>
                <w:szCs w:val="20"/>
                <w:color w:val="auto"/>
              </w:rPr>
            </w:pPr>
            <w:r>
              <w:rPr>
                <w:rFonts w:ascii="Arial" w:cs="Arial" w:eastAsia="Arial" w:hAnsi="Arial"/>
                <w:sz w:val="14"/>
                <w:szCs w:val="14"/>
                <w:color w:val="auto"/>
              </w:rPr>
              <w:t>Net income</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13,075</w:t>
            </w:r>
          </w:p>
        </w:tc>
        <w:tc>
          <w:tcPr>
            <w:tcW w:w="520" w:type="dxa"/>
            <w:vAlign w:val="bottom"/>
            <w:gridSpan w:val="4"/>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13,075</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Balance – September 30, 2008</w:t>
            </w: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000" w:type="dxa"/>
            <w:vAlign w:val="bottom"/>
            <w:vMerge w:val="continue"/>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27,299</w:t>
            </w:r>
          </w:p>
        </w:tc>
        <w:tc>
          <w:tcPr>
            <w:tcW w:w="80" w:type="dxa"/>
            <w:vAlign w:val="bottom"/>
          </w:tcPr>
          <w:p>
            <w:pPr>
              <w:spacing w:after="0"/>
              <w:rPr>
                <w:sz w:val="24"/>
                <w:szCs w:val="24"/>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95,390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145,045</w:t>
            </w: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(429)</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($3,078)</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237,630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0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0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Nine Months Ended September 30, (amounts in thousands)</w:t>
            </w:r>
          </w:p>
        </w:tc>
        <w:tc>
          <w:tcPr>
            <w:tcW w:w="2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346"/>
        </w:trPr>
        <w:tc>
          <w:tcPr>
            <w:tcW w:w="14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4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13,075</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16,823</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5,234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5,158</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Provision for doubtful accounts</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1,318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Stock compensation expense</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Income tax benefit related to employee equity awards</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Excess tax benefit from exercise of stock options</w:t>
            </w:r>
          </w:p>
        </w:tc>
        <w:tc>
          <w:tcPr>
            <w:tcW w:w="2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(Gain) loss on disposal of fixed assets</w:t>
            </w:r>
          </w:p>
        </w:tc>
        <w:tc>
          <w:tcPr>
            <w:tcW w:w="2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344"/>
        </w:trPr>
        <w:tc>
          <w:tcPr>
            <w:tcW w:w="14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Changes in assets and liabilities: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17,937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(18,280)</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(6,130)</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Other non-current assets</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6,036</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8940" w:type="dxa"/>
            <w:vAlign w:val="bottom"/>
            <w:gridSpan w:val="2"/>
          </w:tcPr>
          <w:p>
            <w:pPr>
              <w:ind w:left="340"/>
              <w:spacing w:after="0"/>
              <w:rPr>
                <w:sz w:val="20"/>
                <w:szCs w:val="20"/>
                <w:color w:val="auto"/>
              </w:rPr>
            </w:pPr>
            <w:r>
              <w:rPr>
                <w:rFonts w:ascii="Arial" w:cs="Arial" w:eastAsia="Arial" w:hAnsi="Arial"/>
                <w:sz w:val="14"/>
                <w:szCs w:val="14"/>
                <w:color w:val="auto"/>
              </w:rPr>
              <w:t>Accrued expenses and other liabilities</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(1,149)</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2,182</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42,942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8,915</w:t>
            </w:r>
          </w:p>
        </w:tc>
        <w:tc>
          <w:tcPr>
            <w:tcW w:w="0" w:type="dxa"/>
            <w:vAlign w:val="bottom"/>
          </w:tcPr>
          <w:p>
            <w:pPr>
              <w:spacing w:after="0"/>
              <w:rPr>
                <w:sz w:val="1"/>
                <w:szCs w:val="1"/>
                <w:color w:val="auto"/>
              </w:rPr>
            </w:pPr>
          </w:p>
        </w:tc>
      </w:tr>
      <w:tr>
        <w:trPr>
          <w:trHeight w:val="522"/>
        </w:trPr>
        <w:tc>
          <w:tcPr>
            <w:tcW w:w="14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4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(8,708)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(5,184)</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Proceeds from sale of property and equipment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Net cash used for investing activities</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(8,664)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(5,184)</w:t>
            </w:r>
          </w:p>
        </w:tc>
        <w:tc>
          <w:tcPr>
            <w:tcW w:w="0" w:type="dxa"/>
            <w:vAlign w:val="bottom"/>
          </w:tcPr>
          <w:p>
            <w:pPr>
              <w:spacing w:after="0"/>
              <w:rPr>
                <w:sz w:val="1"/>
                <w:szCs w:val="1"/>
                <w:color w:val="auto"/>
              </w:rPr>
            </w:pPr>
          </w:p>
        </w:tc>
      </w:tr>
      <w:tr>
        <w:trPr>
          <w:trHeight w:val="522"/>
        </w:trPr>
        <w:tc>
          <w:tcPr>
            <w:tcW w:w="14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4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Proceeds from short-term borrowings</w:t>
            </w:r>
          </w:p>
        </w:tc>
        <w:tc>
          <w:tcPr>
            <w:tcW w:w="2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37,343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Repayment of short-term borrowings</w:t>
            </w:r>
          </w:p>
        </w:tc>
        <w:tc>
          <w:tcPr>
            <w:tcW w:w="2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(37,343)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Repayment of capital lease obligation</w:t>
            </w:r>
          </w:p>
        </w:tc>
        <w:tc>
          <w:tcPr>
            <w:tcW w:w="2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Purchase of treasury shares</w:t>
            </w:r>
          </w:p>
        </w:tc>
        <w:tc>
          <w:tcPr>
            <w:tcW w:w="2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2,544</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Issuance of stock under Employee Stock Purchase Plan</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Net share settlement obligation</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Excess tax benefit from exercise of stock options</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Net cash (used for) provided by financing activities</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2,372</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Increase in cash and cash equivalents</w:t>
            </w:r>
          </w:p>
        </w:tc>
        <w:tc>
          <w:tcPr>
            <w:tcW w:w="2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33,086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6,103</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Cash and cash equivalents, beginning of period</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13,741</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17,582</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8940" w:type="dxa"/>
            <w:vAlign w:val="bottom"/>
            <w:gridSpan w:val="2"/>
          </w:tcPr>
          <w:p>
            <w:pPr>
              <w:spacing w:after="0"/>
              <w:rPr>
                <w:sz w:val="20"/>
                <w:szCs w:val="20"/>
                <w:color w:val="auto"/>
              </w:rPr>
            </w:pPr>
            <w:r>
              <w:rPr>
                <w:rFonts w:ascii="Arial" w:cs="Arial" w:eastAsia="Arial" w:hAnsi="Arial"/>
                <w:sz w:val="14"/>
                <w:szCs w:val="14"/>
                <w:color w:val="auto"/>
              </w:rPr>
              <w:t>Cash and cash equivalents, end of period</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46,827</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23,685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940" w:type="dxa"/>
            <w:vAlign w:val="bottom"/>
            <w:gridSpan w:val="2"/>
            <w:vMerge w:val="restart"/>
          </w:tcPr>
          <w:p>
            <w:pPr>
              <w:spacing w:after="0"/>
              <w:rPr>
                <w:sz w:val="20"/>
                <w:szCs w:val="20"/>
                <w:color w:val="auto"/>
              </w:rPr>
            </w:pPr>
            <w:r>
              <w:rPr>
                <w:rFonts w:ascii="Arial" w:cs="Arial" w:eastAsia="Arial" w:hAnsi="Arial"/>
                <w:sz w:val="14"/>
                <w:szCs w:val="14"/>
                <w:color w:val="auto"/>
              </w:rPr>
              <w:t>Noncash Financing Activity</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40" w:type="dxa"/>
            <w:vAlign w:val="bottom"/>
          </w:tcPr>
          <w:p>
            <w:pPr>
              <w:spacing w:after="0"/>
              <w:rPr>
                <w:sz w:val="24"/>
                <w:szCs w:val="24"/>
                <w:color w:val="auto"/>
              </w:rPr>
            </w:pPr>
          </w:p>
        </w:tc>
        <w:tc>
          <w:tcPr>
            <w:tcW w:w="89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Issuance of nonvested stock from Treasury</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PC Connection, Inc.</w:t>
      </w:r>
    </w:p>
    <w:p>
      <w:pPr>
        <w:spacing w:after="0" w:line="230" w:lineRule="auto"/>
        <w:rPr>
          <w:sz w:val="20"/>
          <w:szCs w:val="20"/>
          <w:color w:val="auto"/>
        </w:rPr>
      </w:pPr>
      <w:r>
        <w:rPr>
          <w:rFonts w:ascii="Arial" w:cs="Arial" w:eastAsia="Arial" w:hAnsi="Arial"/>
          <w:sz w:val="22"/>
          <w:szCs w:val="22"/>
          <w:color w:val="auto"/>
        </w:rPr>
        <w:t>Stephen Baldridge, 603-683-2322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Sr. Vice President of Finance &amp; Corporate Controller</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2019-12-11T15:25:37Z</dcterms:created>
  <dcterms:modified xsi:type="dcterms:W3CDTF">2019-12-11T15:25:37Z</dcterms:modified>
</cp:coreProperties>
</file>