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line="222" w:lineRule="auto"/>
        <w:rPr>
          <w:sz w:val="20"/>
          <w:szCs w:val="20"/>
          <w:color w:val="auto"/>
        </w:rPr>
      </w:pPr>
      <w:r>
        <w:rPr>
          <w:rFonts w:ascii="Arial" w:cs="Arial" w:eastAsia="Arial" w:hAnsi="Arial"/>
          <w:sz w:val="14"/>
          <w:szCs w:val="14"/>
          <w:b w:val="1"/>
          <w:bCs w:val="1"/>
          <w:color w:val="auto"/>
        </w:rPr>
        <w:t>Washington, D. C. 20549</w:t>
      </w:r>
    </w:p>
    <w:p>
      <w:pPr>
        <w:jc w:val="center"/>
        <w:ind w:right="-119"/>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76200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8"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ind w:left="20" w:right="2500" w:hanging="9"/>
        <w:spacing w:after="0" w:line="291" w:lineRule="auto"/>
        <w:tabs>
          <w:tab w:leader="none" w:pos="80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2017</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OR</w:t>
      </w:r>
    </w:p>
    <w:p>
      <w:pPr>
        <w:spacing w:after="0" w:line="25" w:lineRule="exact"/>
        <w:rPr>
          <w:sz w:val="24"/>
          <w:szCs w:val="24"/>
          <w:color w:val="auto"/>
        </w:rPr>
      </w:pPr>
    </w:p>
    <w:p>
      <w:pPr>
        <w:ind w:left="20"/>
        <w:spacing w:after="0" w:line="161" w:lineRule="exact"/>
        <w:rPr>
          <w:sz w:val="24"/>
          <w:szCs w:val="2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7" w:lineRule="exact"/>
        <w:rPr>
          <w:sz w:val="24"/>
          <w:szCs w:val="24"/>
          <w:color w:val="auto"/>
        </w:rPr>
      </w:pPr>
    </w:p>
    <w:p>
      <w:pPr>
        <w:ind w:left="20"/>
        <w:spacing w:after="0"/>
        <w:rPr>
          <w:sz w:val="24"/>
          <w:szCs w:val="24"/>
          <w:color w:val="auto"/>
        </w:rPr>
      </w:pPr>
      <w:r>
        <w:rPr>
          <w:rFonts w:ascii="Arial" w:cs="Arial" w:eastAsia="Arial" w:hAnsi="Arial"/>
          <w:sz w:val="14"/>
          <w:szCs w:val="14"/>
          <w:b w:val="1"/>
          <w:bCs w:val="1"/>
          <w:color w:val="auto"/>
        </w:rPr>
        <w:t>For the transition period from ___________ to ___________.</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Commission File Number 000-23827</w:t>
      </w:r>
    </w:p>
    <w:p>
      <w:pPr>
        <w:spacing w:after="0" w:line="18" w:lineRule="exact"/>
        <w:rPr>
          <w:sz w:val="24"/>
          <w:szCs w:val="24"/>
          <w:color w:val="auto"/>
        </w:rPr>
      </w:pPr>
    </w:p>
    <w:tbl>
      <w:tblPr>
        <w:tblLayout w:type="fixed"/>
        <w:tblInd w:w="1340" w:type="dxa"/>
        <w:tblCellMar>
          <w:top w:w="0" w:type="dxa"/>
          <w:left w:w="0" w:type="dxa"/>
          <w:bottom w:w="0" w:type="dxa"/>
          <w:right w:w="0" w:type="dxa"/>
        </w:tblCellMar>
      </w:tblPr>
      <w:tr>
        <w:trPr>
          <w:trHeight w:val="253"/>
        </w:trPr>
        <w:tc>
          <w:tcPr>
            <w:tcW w:w="7700" w:type="dxa"/>
            <w:vAlign w:val="bottom"/>
            <w:gridSpan w:val="5"/>
          </w:tcPr>
          <w:p>
            <w:pPr>
              <w:jc w:val="center"/>
              <w:spacing w:after="0"/>
              <w:rPr>
                <w:sz w:val="20"/>
                <w:szCs w:val="20"/>
                <w:color w:val="auto"/>
              </w:rPr>
            </w:pPr>
            <w:r>
              <w:rPr>
                <w:rFonts w:ascii="Arial" w:cs="Arial" w:eastAsia="Arial" w:hAnsi="Arial"/>
                <w:sz w:val="22"/>
                <w:szCs w:val="22"/>
                <w:b w:val="1"/>
                <w:bCs w:val="1"/>
                <w:color w:val="auto"/>
                <w:w w:val="98"/>
              </w:rPr>
              <w:t>PC CONNECTION, INC.</w:t>
            </w:r>
          </w:p>
        </w:tc>
      </w:tr>
      <w:tr>
        <w:trPr>
          <w:trHeight w:val="186"/>
        </w:trPr>
        <w:tc>
          <w:tcPr>
            <w:tcW w:w="7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155"/>
        </w:trPr>
        <w:tc>
          <w:tcPr>
            <w:tcW w:w="3880" w:type="dxa"/>
            <w:vAlign w:val="bottom"/>
            <w:gridSpan w:val="2"/>
          </w:tcPr>
          <w:p>
            <w:pPr>
              <w:jc w:val="center"/>
              <w:ind w:right="1380"/>
              <w:spacing w:after="0" w:line="155" w:lineRule="exact"/>
              <w:rPr>
                <w:sz w:val="20"/>
                <w:szCs w:val="20"/>
                <w:color w:val="auto"/>
              </w:rPr>
            </w:pPr>
            <w:r>
              <w:rPr>
                <w:rFonts w:ascii="Arial" w:cs="Arial" w:eastAsia="Arial" w:hAnsi="Arial"/>
                <w:sz w:val="14"/>
                <w:szCs w:val="14"/>
                <w:b w:val="1"/>
                <w:bCs w:val="1"/>
                <w:color w:val="auto"/>
                <w:w w:val="94"/>
              </w:rPr>
              <w:t>Delaware</w:t>
            </w:r>
          </w:p>
        </w:tc>
        <w:tc>
          <w:tcPr>
            <w:tcW w:w="3820" w:type="dxa"/>
            <w:vAlign w:val="bottom"/>
            <w:gridSpan w:val="3"/>
          </w:tcPr>
          <w:p>
            <w:pPr>
              <w:jc w:val="right"/>
              <w:ind w:right="828"/>
              <w:spacing w:after="0" w:line="155" w:lineRule="exact"/>
              <w:rPr>
                <w:sz w:val="20"/>
                <w:szCs w:val="20"/>
                <w:color w:val="auto"/>
              </w:rPr>
            </w:pPr>
            <w:r>
              <w:rPr>
                <w:rFonts w:ascii="Arial" w:cs="Arial" w:eastAsia="Arial" w:hAnsi="Arial"/>
                <w:sz w:val="14"/>
                <w:szCs w:val="14"/>
                <w:b w:val="1"/>
                <w:bCs w:val="1"/>
                <w:color w:val="auto"/>
              </w:rPr>
              <w:t>02-0513618</w:t>
            </w:r>
          </w:p>
        </w:tc>
      </w:tr>
      <w:tr>
        <w:trPr>
          <w:trHeight w:val="149"/>
        </w:trPr>
        <w:tc>
          <w:tcPr>
            <w:tcW w:w="3880" w:type="dxa"/>
            <w:vAlign w:val="bottom"/>
            <w:gridSpan w:val="2"/>
          </w:tcPr>
          <w:p>
            <w:pPr>
              <w:jc w:val="center"/>
              <w:ind w:right="1380"/>
              <w:spacing w:after="0" w:line="149" w:lineRule="exact"/>
              <w:rPr>
                <w:sz w:val="20"/>
                <w:szCs w:val="20"/>
                <w:color w:val="auto"/>
              </w:rPr>
            </w:pPr>
            <w:r>
              <w:rPr>
                <w:rFonts w:ascii="Arial" w:cs="Arial" w:eastAsia="Arial" w:hAnsi="Arial"/>
                <w:sz w:val="14"/>
                <w:szCs w:val="14"/>
                <w:color w:val="auto"/>
                <w:w w:val="94"/>
              </w:rPr>
              <w:t>(State or other jurisdiction of</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58"/>
        </w:trPr>
        <w:tc>
          <w:tcPr>
            <w:tcW w:w="3880" w:type="dxa"/>
            <w:vAlign w:val="bottom"/>
            <w:gridSpan w:val="2"/>
          </w:tcPr>
          <w:p>
            <w:pPr>
              <w:jc w:val="center"/>
              <w:ind w:right="1380"/>
              <w:spacing w:after="0" w:line="158" w:lineRule="exact"/>
              <w:rPr>
                <w:sz w:val="20"/>
                <w:szCs w:val="20"/>
                <w:color w:val="auto"/>
              </w:rPr>
            </w:pPr>
            <w:r>
              <w:rPr>
                <w:rFonts w:ascii="Arial" w:cs="Arial" w:eastAsia="Arial" w:hAnsi="Arial"/>
                <w:sz w:val="14"/>
                <w:szCs w:val="14"/>
                <w:color w:val="auto"/>
                <w:w w:val="95"/>
              </w:rPr>
              <w:t>incorporation or organization)</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149"/>
        </w:trPr>
        <w:tc>
          <w:tcPr>
            <w:tcW w:w="3880" w:type="dxa"/>
            <w:vAlign w:val="bottom"/>
            <w:gridSpan w:val="2"/>
          </w:tcPr>
          <w:p>
            <w:pPr>
              <w:jc w:val="center"/>
              <w:ind w:right="1380"/>
              <w:spacing w:after="0" w:line="149" w:lineRule="exact"/>
              <w:rPr>
                <w:sz w:val="20"/>
                <w:szCs w:val="20"/>
                <w:color w:val="auto"/>
              </w:rPr>
            </w:pPr>
            <w:r>
              <w:rPr>
                <w:rFonts w:ascii="Arial" w:cs="Arial" w:eastAsia="Arial" w:hAnsi="Arial"/>
                <w:sz w:val="14"/>
                <w:szCs w:val="14"/>
                <w:b w:val="1"/>
                <w:bCs w:val="1"/>
                <w:color w:val="auto"/>
                <w:w w:val="97"/>
              </w:rPr>
              <w:t>730 Milford Road</w:t>
            </w:r>
          </w:p>
        </w:tc>
        <w:tc>
          <w:tcPr>
            <w:tcW w:w="3820" w:type="dxa"/>
            <w:vAlign w:val="bottom"/>
            <w:gridSpan w:val="3"/>
          </w:tcPr>
          <w:p>
            <w:pPr>
              <w:jc w:val="right"/>
              <w:ind w:right="988"/>
              <w:spacing w:after="0" w:line="149" w:lineRule="exact"/>
              <w:rPr>
                <w:sz w:val="20"/>
                <w:szCs w:val="20"/>
                <w:color w:val="auto"/>
              </w:rPr>
            </w:pPr>
            <w:r>
              <w:rPr>
                <w:rFonts w:ascii="Arial" w:cs="Arial" w:eastAsia="Arial" w:hAnsi="Arial"/>
                <w:sz w:val="14"/>
                <w:szCs w:val="14"/>
                <w:b w:val="1"/>
                <w:bCs w:val="1"/>
                <w:color w:val="auto"/>
              </w:rPr>
              <w:t>03054</w:t>
            </w:r>
          </w:p>
        </w:tc>
      </w:tr>
      <w:tr>
        <w:trPr>
          <w:trHeight w:val="153"/>
        </w:trPr>
        <w:tc>
          <w:tcPr>
            <w:tcW w:w="3880" w:type="dxa"/>
            <w:vAlign w:val="bottom"/>
            <w:gridSpan w:val="2"/>
          </w:tcPr>
          <w:p>
            <w:pPr>
              <w:jc w:val="center"/>
              <w:ind w:right="1380"/>
              <w:spacing w:after="0" w:line="153" w:lineRule="exact"/>
              <w:rPr>
                <w:sz w:val="20"/>
                <w:szCs w:val="20"/>
                <w:color w:val="auto"/>
              </w:rPr>
            </w:pPr>
            <w:r>
              <w:rPr>
                <w:rFonts w:ascii="Arial" w:cs="Arial" w:eastAsia="Arial" w:hAnsi="Arial"/>
                <w:sz w:val="14"/>
                <w:szCs w:val="14"/>
                <w:b w:val="1"/>
                <w:bCs w:val="1"/>
                <w:color w:val="auto"/>
                <w:w w:val="97"/>
              </w:rPr>
              <w:t>Merrimack, New Hampshire</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80" w:type="dxa"/>
            <w:vAlign w:val="bottom"/>
          </w:tcPr>
          <w:p>
            <w:pPr>
              <w:jc w:val="center"/>
              <w:ind w:right="48"/>
              <w:spacing w:after="0" w:line="153" w:lineRule="exact"/>
              <w:rPr>
                <w:sz w:val="20"/>
                <w:szCs w:val="20"/>
                <w:color w:val="auto"/>
              </w:rPr>
            </w:pPr>
            <w:r>
              <w:rPr>
                <w:rFonts w:ascii="Arial" w:cs="Arial" w:eastAsia="Arial" w:hAnsi="Arial"/>
                <w:sz w:val="14"/>
                <w:szCs w:val="14"/>
                <w:color w:val="auto"/>
                <w:w w:val="93"/>
              </w:rPr>
              <w:t>(Zip Code)</w:t>
            </w:r>
          </w:p>
        </w:tc>
      </w:tr>
      <w:tr>
        <w:trPr>
          <w:trHeight w:val="182"/>
        </w:trPr>
        <w:tc>
          <w:tcPr>
            <w:tcW w:w="3880" w:type="dxa"/>
            <w:vAlign w:val="bottom"/>
            <w:gridSpan w:val="2"/>
          </w:tcPr>
          <w:p>
            <w:pPr>
              <w:jc w:val="center"/>
              <w:ind w:right="1380"/>
              <w:spacing w:after="0"/>
              <w:rPr>
                <w:sz w:val="20"/>
                <w:szCs w:val="20"/>
                <w:color w:val="auto"/>
              </w:rPr>
            </w:pPr>
            <w:r>
              <w:rPr>
                <w:rFonts w:ascii="Arial" w:cs="Arial" w:eastAsia="Arial" w:hAnsi="Arial"/>
                <w:sz w:val="14"/>
                <w:szCs w:val="14"/>
                <w:color w:val="auto"/>
                <w:w w:val="95"/>
              </w:rPr>
              <w:t>(Address of principal executive offices)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01"/>
        </w:trPr>
        <w:tc>
          <w:tcPr>
            <w:tcW w:w="3880" w:type="dxa"/>
            <w:vAlign w:val="bottom"/>
            <w:gridSpan w:val="2"/>
          </w:tcPr>
          <w:p>
            <w:pPr>
              <w:ind w:left="780"/>
              <w:spacing w:after="0"/>
              <w:rPr>
                <w:sz w:val="20"/>
                <w:szCs w:val="20"/>
                <w:color w:val="auto"/>
              </w:rPr>
            </w:pPr>
            <w:r>
              <w:rPr>
                <w:rFonts w:ascii="Arial" w:cs="Arial" w:eastAsia="Arial" w:hAnsi="Arial"/>
                <w:sz w:val="14"/>
                <w:szCs w:val="14"/>
                <w:color w:val="auto"/>
                <w:w w:val="96"/>
              </w:rPr>
              <w:t>Registrant’s telephone number, including area code</w:t>
            </w:r>
          </w:p>
        </w:tc>
        <w:tc>
          <w:tcPr>
            <w:tcW w:w="144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(603) 683-2000</w:t>
            </w:r>
          </w:p>
        </w:tc>
        <w:tc>
          <w:tcPr>
            <w:tcW w:w="2380" w:type="dxa"/>
            <w:vAlign w:val="bottom"/>
          </w:tcPr>
          <w:p>
            <w:pPr>
              <w:spacing w:after="0"/>
              <w:rPr>
                <w:sz w:val="17"/>
                <w:szCs w:val="17"/>
                <w:color w:val="auto"/>
              </w:rPr>
            </w:pPr>
          </w:p>
        </w:tc>
      </w:tr>
      <w:tr>
        <w:trPr>
          <w:trHeight w:val="373"/>
        </w:trPr>
        <w:tc>
          <w:tcPr>
            <w:tcW w:w="7700" w:type="dxa"/>
            <w:vAlign w:val="bottom"/>
            <w:gridSpan w:val="5"/>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174"/>
        </w:trPr>
        <w:tc>
          <w:tcPr>
            <w:tcW w:w="3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180" w:type="dxa"/>
            <w:vAlign w:val="bottom"/>
          </w:tcPr>
          <w:p>
            <w:pPr>
              <w:spacing w:after="0"/>
              <w:rPr>
                <w:sz w:val="15"/>
                <w:szCs w:val="15"/>
                <w:color w:val="auto"/>
              </w:rPr>
            </w:pPr>
          </w:p>
        </w:tc>
        <w:tc>
          <w:tcPr>
            <w:tcW w:w="3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6"/>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Common Stock, $.01 par value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jc w:val="center"/>
        <w:ind w:right="-119"/>
        <w:spacing w:after="0"/>
        <w:rPr>
          <w:sz w:val="20"/>
          <w:szCs w:val="20"/>
          <w:color w:val="auto"/>
        </w:rPr>
      </w:pPr>
      <w:r>
        <w:rPr>
          <w:rFonts w:ascii="Arial" w:cs="Arial" w:eastAsia="Arial" w:hAnsi="Arial"/>
          <w:sz w:val="14"/>
          <w:szCs w:val="14"/>
          <w:color w:val="auto"/>
        </w:rPr>
        <w:t>Securities registered pursuant to Section 12(g) of the Act:</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854075</wp:posOffset>
            </wp:positionH>
            <wp:positionV relativeFrom="paragraph">
              <wp:posOffset>6350</wp:posOffset>
            </wp:positionV>
            <wp:extent cx="48964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4"/>
          <w:szCs w:val="14"/>
          <w:color w:val="auto"/>
        </w:rPr>
        <w:t>(Title of Class)</w:t>
      </w:r>
    </w:p>
    <w:p>
      <w:pPr>
        <w:spacing w:after="0" w:line="19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1" w:lineRule="exact"/>
        <w:rPr>
          <w:sz w:val="24"/>
          <w:szCs w:val="24"/>
          <w:color w:val="auto"/>
        </w:rPr>
      </w:pPr>
    </w:p>
    <w:p>
      <w:pPr>
        <w:ind w:left="4700"/>
        <w:spacing w:after="0" w:line="161" w:lineRule="exact"/>
        <w:tabs>
          <w:tab w:leader="none" w:pos="53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1" w:lineRule="exact"/>
        <w:rPr>
          <w:sz w:val="24"/>
          <w:szCs w:val="24"/>
          <w:color w:val="auto"/>
        </w:rPr>
      </w:pPr>
    </w:p>
    <w:p>
      <w:pPr>
        <w:ind w:left="4700"/>
        <w:spacing w:after="0" w:line="161" w:lineRule="exact"/>
        <w:tabs>
          <w:tab w:leader="none" w:pos="53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left="20" w:right="240" w:firstLine="648"/>
        <w:spacing w:after="0" w:line="26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99"/>
        <w:spacing w:after="0" w:line="161" w:lineRule="exact"/>
        <w:tabs>
          <w:tab w:leader="none" w:pos="1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left="20" w:firstLine="648"/>
        <w:spacing w:after="0" w:line="238"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jc w:val="center"/>
        <w:ind w:right="-99"/>
        <w:spacing w:after="0" w:line="161" w:lineRule="exact"/>
        <w:tabs>
          <w:tab w:leader="none" w:pos="1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left="20" w:right="420" w:firstLine="648"/>
        <w:spacing w:after="0" w:line="18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5" w:lineRule="exact"/>
        <w:rPr>
          <w:sz w:val="24"/>
          <w:szCs w:val="24"/>
          <w:color w:val="auto"/>
        </w:rPr>
      </w:pPr>
    </w:p>
    <w:p>
      <w:pPr>
        <w:ind w:left="20" w:right="20" w:firstLine="648"/>
        <w:spacing w:after="0" w:line="26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 w:lineRule="exact"/>
        <w:rPr>
          <w:sz w:val="24"/>
          <w:szCs w:val="24"/>
          <w:color w:val="auto"/>
        </w:rPr>
      </w:pPr>
    </w:p>
    <w:p>
      <w:pPr>
        <w:ind w:left="20"/>
        <w:spacing w:after="0"/>
        <w:tabs>
          <w:tab w:leader="none" w:pos="1700" w:val="left"/>
          <w:tab w:leader="none" w:pos="3020" w:val="left"/>
          <w:tab w:leader="none" w:pos="4660" w:val="left"/>
          <w:tab w:leader="none" w:pos="6700" w:val="left"/>
        </w:tabs>
        <w:rPr>
          <w:sz w:val="20"/>
          <w:szCs w:val="20"/>
          <w:color w:val="auto"/>
        </w:rPr>
      </w:pPr>
      <w:r>
        <w:rPr>
          <w:rFonts w:ascii="Arial" w:cs="Arial" w:eastAsia="Arial" w:hAnsi="Arial"/>
          <w:sz w:val="14"/>
          <w:szCs w:val="14"/>
          <w:color w:val="auto"/>
        </w:rPr>
        <w:t>Large accelerated filer ___</w:t>
        <w:tab/>
        <w:t>Accelerated filer</w:t>
      </w:r>
      <w:r>
        <w:rPr>
          <w:sz w:val="20"/>
          <w:szCs w:val="20"/>
          <w:color w:val="auto"/>
        </w:rPr>
        <w:tab/>
      </w:r>
      <w:r>
        <w:rPr>
          <w:rFonts w:ascii="Arial" w:cs="Arial" w:eastAsia="Arial" w:hAnsi="Arial"/>
          <w:sz w:val="14"/>
          <w:szCs w:val="14"/>
          <w:color w:val="auto"/>
        </w:rPr>
        <w:t>Non-accelerated filer ___</w:t>
        <w:tab/>
        <w:t>Smaller reporting company ___</w:t>
      </w:r>
      <w:r>
        <w:rPr>
          <w:sz w:val="20"/>
          <w:szCs w:val="20"/>
          <w:color w:val="auto"/>
        </w:rPr>
        <w:tab/>
      </w:r>
      <w:r>
        <w:rPr>
          <w:rFonts w:ascii="Arial" w:cs="Arial" w:eastAsia="Arial" w:hAnsi="Arial"/>
          <w:sz w:val="13"/>
          <w:szCs w:val="13"/>
          <w:color w:val="auto"/>
        </w:rPr>
        <w:t>Emerging growth company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1730375</wp:posOffset>
            </wp:positionH>
            <wp:positionV relativeFrom="paragraph">
              <wp:posOffset>-8255</wp:posOffset>
            </wp:positionV>
            <wp:extent cx="60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 w:lineRule="exact"/>
        <w:rPr>
          <w:sz w:val="24"/>
          <w:szCs w:val="24"/>
          <w:color w:val="auto"/>
        </w:rPr>
      </w:pPr>
    </w:p>
    <w:p>
      <w:pPr>
        <w:jc w:val="right"/>
        <w:ind w:right="3760"/>
        <w:spacing w:after="0"/>
        <w:rPr>
          <w:sz w:val="20"/>
          <w:szCs w:val="20"/>
          <w:color w:val="auto"/>
        </w:rPr>
      </w:pPr>
      <w:r>
        <w:rPr>
          <w:rFonts w:ascii="Arial" w:cs="Arial" w:eastAsia="Arial" w:hAnsi="Arial"/>
          <w:sz w:val="14"/>
          <w:szCs w:val="14"/>
          <w:color w:val="auto"/>
        </w:rPr>
        <w:t>(Do not check if a smaller reporting company)</w:t>
      </w:r>
    </w:p>
    <w:p>
      <w:pPr>
        <w:spacing w:after="0" w:line="28" w:lineRule="exact"/>
        <w:rPr>
          <w:sz w:val="24"/>
          <w:szCs w:val="24"/>
          <w:color w:val="auto"/>
        </w:rPr>
      </w:pPr>
    </w:p>
    <w:p>
      <w:pPr>
        <w:jc w:val="right"/>
        <w:ind w:right="37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1" w:lineRule="exact"/>
        <w:rPr>
          <w:sz w:val="24"/>
          <w:szCs w:val="24"/>
          <w:color w:val="auto"/>
        </w:rPr>
      </w:pPr>
    </w:p>
    <w:p>
      <w:pPr>
        <w:jc w:val="center"/>
        <w:ind w:right="-99"/>
        <w:spacing w:after="0" w:line="161" w:lineRule="exact"/>
        <w:tabs>
          <w:tab w:leader="none" w:pos="1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left="20" w:right="140" w:firstLine="648"/>
        <w:spacing w:after="0" w:line="251" w:lineRule="auto"/>
        <w:rPr>
          <w:sz w:val="20"/>
          <w:szCs w:val="20"/>
          <w:color w:val="auto"/>
        </w:rPr>
      </w:pPr>
      <w:r>
        <w:rPr>
          <w:rFonts w:ascii="Arial" w:cs="Arial" w:eastAsia="Arial" w:hAnsi="Arial"/>
          <w:sz w:val="14"/>
          <w:szCs w:val="14"/>
          <w:color w:val="auto"/>
        </w:rPr>
        <w:t>The aggregate market value of the registrant’s voting shares of common stock held by non-affiliates of the registrant on June 30, 2017, based on $27.06 per share, the last reported sale price on the Nasdaq Global Select Market on that date, was $311,350,547.</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The number of shares outstanding of each of the registrant’s classes of common stock, as of February 26, 2018:</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w:t>
            </w: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 Shares</w:t>
            </w:r>
          </w:p>
        </w:tc>
      </w:tr>
      <w:tr>
        <w:trPr>
          <w:trHeight w:val="176"/>
        </w:trPr>
        <w:tc>
          <w:tcPr>
            <w:tcW w:w="20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Common Stock, $.01 par value</w:t>
            </w:r>
          </w:p>
        </w:tc>
        <w:tc>
          <w:tcPr>
            <w:tcW w:w="494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26,852,785</w:t>
            </w:r>
          </w:p>
        </w:tc>
        <w:tc>
          <w:tcPr>
            <w:tcW w:w="20" w:type="dxa"/>
            <w:vAlign w:val="bottom"/>
          </w:tcPr>
          <w:p>
            <w:pPr>
              <w:spacing w:after="0"/>
              <w:rPr>
                <w:sz w:val="15"/>
                <w:szCs w:val="15"/>
                <w:color w:val="auto"/>
              </w:rPr>
            </w:pPr>
          </w:p>
        </w:tc>
      </w:tr>
    </w:tbl>
    <w:p>
      <w:pPr>
        <w:spacing w:after="0" w:line="83" w:lineRule="exact"/>
        <w:rPr>
          <w:sz w:val="24"/>
          <w:szCs w:val="24"/>
          <w:color w:val="auto"/>
        </w:rPr>
      </w:pPr>
    </w:p>
    <w:p>
      <w:pPr>
        <w:ind w:left="20" w:right="80" w:firstLine="474"/>
        <w:spacing w:after="0" w:line="253" w:lineRule="auto"/>
        <w:rPr>
          <w:sz w:val="20"/>
          <w:szCs w:val="20"/>
          <w:color w:val="auto"/>
        </w:rPr>
      </w:pPr>
      <w:r>
        <w:rPr>
          <w:rFonts w:ascii="Arial" w:cs="Arial" w:eastAsia="Arial" w:hAnsi="Arial"/>
          <w:sz w:val="14"/>
          <w:szCs w:val="14"/>
          <w:color w:val="auto"/>
        </w:rPr>
        <w:t>The following documents are incorporated by reference into the Annual Report on Form 10-K: Portions of the registrant’s definitive Proxy Statement for its 2018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66122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0"/>
          </w:cols>
          <w:pgMar w:left="740" w:top="233"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440" w:type="dxa"/>
            <w:vAlign w:val="bottom"/>
            <w:gridSpan w:val="35"/>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20" w:type="dxa"/>
            <w:vAlign w:val="bottom"/>
            <w:tcBorders>
              <w:top w:val="single" w:sz="8" w:color="0563C1"/>
            </w:tcBorders>
          </w:tcPr>
          <w:p>
            <w:pPr>
              <w:spacing w:after="0"/>
              <w:rPr>
                <w:sz w:val="24"/>
                <w:szCs w:val="24"/>
                <w:color w:val="auto"/>
              </w:rPr>
            </w:pPr>
          </w:p>
        </w:tc>
        <w:tc>
          <w:tcPr>
            <w:tcW w:w="6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gridSpan w:val="16"/>
          </w:tcPr>
          <w:p>
            <w:pPr>
              <w:ind w:left="36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gridSpan w:val="13"/>
          </w:tcPr>
          <w:p>
            <w:pPr>
              <w:jc w:val="center"/>
              <w:ind w:right="358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620" w:type="dxa"/>
            <w:vAlign w:val="bottom"/>
            <w:vMerge w:val="restart"/>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ITEM 1.</w:t>
              </w:r>
            </w:hyperlink>
          </w:p>
        </w:tc>
        <w:tc>
          <w:tcPr>
            <w:tcW w:w="220" w:type="dxa"/>
            <w:vAlign w:val="bottom"/>
            <w:gridSpan w:val="3"/>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312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bottom w:val="single" w:sz="8" w:color="0000EE"/>
            </w:tcBorders>
            <w:gridSpan w:val="2"/>
            <w:vMerge w:val="restart"/>
          </w:tcPr>
          <w:p>
            <w:pPr>
              <w:spacing w:after="0"/>
              <w:rPr>
                <w:sz w:val="18"/>
                <w:szCs w:val="18"/>
                <w:color w:val="auto"/>
              </w:rPr>
            </w:pPr>
          </w:p>
        </w:tc>
        <w:tc>
          <w:tcPr>
            <w:tcW w:w="3580" w:type="dxa"/>
            <w:vAlign w:val="bottom"/>
            <w:gridSpan w:val="11"/>
            <w:vMerge w:val="restart"/>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20" w:type="dxa"/>
            <w:vAlign w:val="bottom"/>
            <w:gridSpan w:val="16"/>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3580" w:type="dxa"/>
            <w:vAlign w:val="bottom"/>
            <w:gridSpan w:val="11"/>
            <w:vMerge w:val="continue"/>
          </w:tcPr>
          <w:p>
            <w:pPr>
              <w:spacing w:after="0"/>
              <w:rPr>
                <w:sz w:val="13"/>
                <w:szCs w:val="13"/>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ITEM 1A.</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gridSpan w:val="29"/>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ITEM 1B.</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Unresolved Staff Comments</w:t>
              </w:r>
            </w:hyperlink>
          </w:p>
        </w:tc>
        <w:tc>
          <w:tcPr>
            <w:tcW w:w="5220" w:type="dxa"/>
            <w:vAlign w:val="bottom"/>
            <w:gridSpan w:val="1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ITEM 2.</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Properties</w:t>
              </w:r>
            </w:hyperlink>
          </w:p>
        </w:tc>
        <w:tc>
          <w:tcPr>
            <w:tcW w:w="6540" w:type="dxa"/>
            <w:vAlign w:val="bottom"/>
            <w:gridSpan w:val="2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ITEM 3.</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Legal Proceedings</w:t>
              </w:r>
            </w:hyperlink>
          </w:p>
        </w:tc>
        <w:tc>
          <w:tcPr>
            <w:tcW w:w="5940" w:type="dxa"/>
            <w:vAlign w:val="bottom"/>
            <w:gridSpan w:val="21"/>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4.</w:t>
              </w:r>
            </w:hyperlink>
          </w:p>
        </w:tc>
        <w:tc>
          <w:tcPr>
            <w:tcW w:w="7380" w:type="dxa"/>
            <w:vAlign w:val="bottom"/>
            <w:gridSpan w:val="30"/>
          </w:tcPr>
          <w:p>
            <w:pPr>
              <w:ind w:left="10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0" w:type="dxa"/>
            <w:vAlign w:val="bottom"/>
            <w:gridSpan w:val="14"/>
          </w:tcPr>
          <w:p>
            <w:pPr>
              <w:jc w:val="center"/>
              <w:ind w:right="3540"/>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620" w:type="dxa"/>
            <w:vAlign w:val="bottom"/>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ITEM 5.</w:t>
              </w:r>
            </w:hyperlink>
          </w:p>
        </w:tc>
        <w:tc>
          <w:tcPr>
            <w:tcW w:w="2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280" w:type="dxa"/>
            <w:vAlign w:val="bottom"/>
            <w:gridSpan w:val="29"/>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Market for the Registrant’s Common Equity, Related Stockholder Matters and Issuer Purchases of</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Equity Securities</w:t>
              </w:r>
            </w:hyperlink>
          </w:p>
        </w:tc>
        <w:tc>
          <w:tcPr>
            <w:tcW w:w="5620" w:type="dxa"/>
            <w:vAlign w:val="bottom"/>
            <w:tcBorders>
              <w:top w:val="single" w:sz="8" w:color="0000EE"/>
            </w:tcBorders>
            <w:gridSpan w:val="19"/>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ITEM 6.</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Selected Financial Data</w:t>
              </w:r>
            </w:hyperlink>
          </w:p>
        </w:tc>
        <w:tc>
          <w:tcPr>
            <w:tcW w:w="5560" w:type="dxa"/>
            <w:vAlign w:val="bottom"/>
            <w:gridSpan w:val="1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ITEM 7.</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gridSpan w:val="2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ITEM 7A.</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 About Market Risk</w:t>
              </w:r>
            </w:hyperlink>
          </w:p>
        </w:tc>
        <w:tc>
          <w:tcPr>
            <w:tcW w:w="2980" w:type="dxa"/>
            <w:vAlign w:val="bottom"/>
            <w:gridSpan w:val="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ITEM 8.</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gridSpan w:val="2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Financial Statements and Supplementary Data</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ITEM 9.</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gridSpan w:val="2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Changes in and Disagreements with Accountants on Accounting and Financial Disclosure</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ITEM 9A.</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5500" w:type="dxa"/>
            <w:vAlign w:val="bottom"/>
            <w:gridSpan w:val="1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9B.</w:t>
              </w:r>
            </w:hyperlink>
          </w:p>
        </w:tc>
        <w:tc>
          <w:tcPr>
            <w:tcW w:w="7380" w:type="dxa"/>
            <w:vAlign w:val="bottom"/>
            <w:gridSpan w:val="30"/>
          </w:tcPr>
          <w:p>
            <w:pPr>
              <w:ind w:left="10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0" w:type="dxa"/>
            <w:vAlign w:val="bottom"/>
            <w:gridSpan w:val="15"/>
          </w:tcPr>
          <w:p>
            <w:pPr>
              <w:jc w:val="center"/>
              <w:ind w:right="3320"/>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III</w:t>
              </w:r>
            </w:hyperlink>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10.</w:t>
              </w:r>
            </w:hyperlink>
          </w:p>
        </w:tc>
        <w:tc>
          <w:tcPr>
            <w:tcW w:w="7380" w:type="dxa"/>
            <w:vAlign w:val="bottom"/>
            <w:gridSpan w:val="30"/>
          </w:tcPr>
          <w:p>
            <w:pPr>
              <w:ind w:left="100"/>
              <w:spacing w:after="0"/>
              <w:rPr>
                <w:rFonts w:ascii="Arial" w:cs="Arial" w:eastAsia="Arial" w:hAnsi="Arial"/>
                <w:sz w:val="18"/>
                <w:szCs w:val="18"/>
                <w:color w:val="0000EE"/>
              </w:rPr>
            </w:pPr>
            <w:hyperlink w:anchor="page41">
              <w:r>
                <w:rPr>
                  <w:rFonts w:ascii="Arial" w:cs="Arial" w:eastAsia="Arial" w:hAnsi="Arial"/>
                  <w:sz w:val="18"/>
                  <w:szCs w:val="18"/>
                  <w:color w:val="0000EE"/>
                </w:rPr>
                <w:t>Directors, Executive Officers and Corporate Governance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11.</w:t>
              </w:r>
            </w:hyperlink>
          </w:p>
        </w:tc>
        <w:tc>
          <w:tcPr>
            <w:tcW w:w="7380" w:type="dxa"/>
            <w:vAlign w:val="bottom"/>
            <w:gridSpan w:val="30"/>
          </w:tcPr>
          <w:p>
            <w:pPr>
              <w:ind w:left="10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Executive Compensation</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12.</w:t>
              </w:r>
            </w:hyperlink>
          </w:p>
        </w:tc>
        <w:tc>
          <w:tcPr>
            <w:tcW w:w="7380" w:type="dxa"/>
            <w:vAlign w:val="bottom"/>
            <w:gridSpan w:val="30"/>
          </w:tcPr>
          <w:p>
            <w:pPr>
              <w:ind w:left="100"/>
              <w:spacing w:after="0" w:line="196"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Security Ownership of Certain Beneficial Owners and Management and Related Stockholder</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5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Matters</w:t>
              </w:r>
            </w:hyperlink>
          </w:p>
        </w:tc>
        <w:tc>
          <w:tcPr>
            <w:tcW w:w="58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13.</w:t>
              </w:r>
            </w:hyperlink>
          </w:p>
        </w:tc>
        <w:tc>
          <w:tcPr>
            <w:tcW w:w="7380" w:type="dxa"/>
            <w:vAlign w:val="bottom"/>
            <w:gridSpan w:val="30"/>
          </w:tcPr>
          <w:p>
            <w:pPr>
              <w:ind w:left="10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Certain Relationships and Related Transactions and Director Independence</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720" w:type="dxa"/>
            <w:vAlign w:val="bottom"/>
            <w:gridSpan w:val="1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14.</w:t>
              </w:r>
            </w:hyperlink>
          </w:p>
        </w:tc>
        <w:tc>
          <w:tcPr>
            <w:tcW w:w="7380" w:type="dxa"/>
            <w:vAlign w:val="bottom"/>
            <w:gridSpan w:val="30"/>
          </w:tcPr>
          <w:p>
            <w:pPr>
              <w:ind w:left="10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Principal Accounting Fees and Services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5"/>
          </w:tcPr>
          <w:p>
            <w:pPr>
              <w:jc w:val="center"/>
              <w:ind w:right="20"/>
              <w:spacing w:after="0" w:line="196" w:lineRule="exact"/>
              <w:rPr>
                <w:rFonts w:ascii="Arial" w:cs="Arial" w:eastAsia="Arial" w:hAnsi="Arial"/>
                <w:sz w:val="18"/>
                <w:szCs w:val="18"/>
                <w:b w:val="1"/>
                <w:bCs w:val="1"/>
                <w:color w:val="0000EE"/>
                <w:w w:val="98"/>
              </w:rPr>
            </w:pPr>
            <w:hyperlink w:anchor="page42">
              <w:r>
                <w:rPr>
                  <w:rFonts w:ascii="Arial" w:cs="Arial" w:eastAsia="Arial" w:hAnsi="Arial"/>
                  <w:sz w:val="18"/>
                  <w:szCs w:val="18"/>
                  <w:b w:val="1"/>
                  <w:bCs w:val="1"/>
                  <w:color w:val="0000EE"/>
                  <w:w w:val="98"/>
                </w:rPr>
                <w:t>PART IV</w:t>
              </w:r>
            </w:hyperlink>
          </w:p>
        </w:tc>
        <w:tc>
          <w:tcPr>
            <w:tcW w:w="348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15.</w:t>
              </w:r>
            </w:hyperlink>
          </w:p>
        </w:tc>
        <w:tc>
          <w:tcPr>
            <w:tcW w:w="7380" w:type="dxa"/>
            <w:vAlign w:val="bottom"/>
            <w:gridSpan w:val="30"/>
          </w:tcPr>
          <w:p>
            <w:pPr>
              <w:ind w:left="100"/>
              <w:spacing w:after="0"/>
              <w:rPr>
                <w:rFonts w:ascii="Arial" w:cs="Arial" w:eastAsia="Arial" w:hAnsi="Arial"/>
                <w:sz w:val="18"/>
                <w:szCs w:val="18"/>
                <w:color w:val="0000EE"/>
              </w:rPr>
            </w:pPr>
            <w:hyperlink w:anchor="page42">
              <w:r>
                <w:rPr>
                  <w:rFonts w:ascii="Arial" w:cs="Arial" w:eastAsia="Arial" w:hAnsi="Arial"/>
                  <w:sz w:val="18"/>
                  <w:szCs w:val="18"/>
                  <w:color w:val="0000EE"/>
                </w:rPr>
                <w:t>Exhibits and Financial Statement Schedules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0" w:type="dxa"/>
            <w:vAlign w:val="bottom"/>
            <w:gridSpan w:val="15"/>
            <w:shd w:val="clear" w:color="auto" w:fill="0000EE"/>
          </w:tcPr>
          <w:p>
            <w:pPr>
              <w:spacing w:after="0" w:line="20" w:lineRule="exact"/>
              <w:rPr>
                <w:sz w:val="1"/>
                <w:szCs w:val="1"/>
                <w:color w:val="auto"/>
              </w:rPr>
            </w:pPr>
          </w:p>
        </w:tc>
        <w:tc>
          <w:tcPr>
            <w:tcW w:w="412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20" w:type="dxa"/>
            <w:vAlign w:val="bottom"/>
            <w:gridSpan w:val="3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324"/>
        </w:trPr>
        <w:tc>
          <w:tcPr>
            <w:tcW w:w="220" w:type="dxa"/>
            <w:vAlign w:val="bottom"/>
            <w:tcBorders>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9" w:firstLine="324"/>
        <w:spacing w:after="0" w:line="217" w:lineRule="exact"/>
        <w:rPr>
          <w:sz w:val="20"/>
          <w:szCs w:val="20"/>
          <w:color w:val="auto"/>
        </w:rPr>
      </w:pPr>
      <w:r>
        <w:rPr>
          <w:rFonts w:ascii="Arial" w:cs="Arial" w:eastAsia="Arial" w:hAnsi="Arial"/>
          <w:sz w:val="16"/>
          <w:szCs w:val="16"/>
          <w:color w:val="auto"/>
        </w:rPr>
        <w:t>Statements contained or incorporated by reference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that are not based on historical fact are “forward-looking statements” within the meaning of the Private Securities Litigation Reform Act of 1995, Section 27A of the Securities Act of 1933, as amended, and Section 21E of the Exchange Act. These forward-looking statements regarding future events and our future results are based on current expectations, estimates, forecasts, and projections and the beliefs and assumptions of management including, without limitation, our expectations with regard to the industry’s rapid technological change and exposure to inventory obsolescence, availability and allocations of goods, reliance on vendor support and relationships, competitive risks, pricing risks, and the overall level of economic activity and the level of business investment in information technology products. Forward-looking statements may be identified by the use of forward-looking terminology such as “may,” “could,” “expect,” “believe,” “estimate,” “anticipate,” “continue,” “seek,” “plan,” “intend,” or similar terms, variations of such terms, or the negative of those terms.</w:t>
      </w:r>
    </w:p>
    <w:p>
      <w:pPr>
        <w:spacing w:after="0" w:line="207" w:lineRule="exact"/>
        <w:rPr>
          <w:sz w:val="20"/>
          <w:szCs w:val="20"/>
          <w:color w:val="auto"/>
        </w:rPr>
      </w:pPr>
    </w:p>
    <w:p>
      <w:pPr>
        <w:ind w:right="39" w:firstLine="324"/>
        <w:spacing w:after="0" w:line="288" w:lineRule="auto"/>
        <w:rPr>
          <w:sz w:val="20"/>
          <w:szCs w:val="20"/>
          <w:color w:val="auto"/>
        </w:rPr>
      </w:pPr>
      <w:r>
        <w:rPr>
          <w:rFonts w:ascii="Arial" w:cs="Arial" w:eastAsia="Arial" w:hAnsi="Arial"/>
          <w:sz w:val="16"/>
          <w:szCs w:val="16"/>
          <w:color w:val="auto"/>
        </w:rPr>
        <w:t>We cannot assure investors that our assumptions and expectations will prove to have been correct. Because forward-looking statements relate to the future, they are subject to inherent uncertainties, risks, and changes in circumstances that are difficult to predict. These statements involve known and unknown risks, uncertainties, and other factors that may cause our actual results, performance, or achievements to be materially different from any future results, performance, or achievements expressed or implied by the forward-looking statements. We therefore caution you against undue reliance on any of these forward-looking statements. Important factors that could cause our actual results to differ materially from those indicated or implied by forward-looking statements include those discussed in Item 1A., “Risk Factors” of this Annual Report on Form 10-K. Any forward-looking statement made by us in this Annual Report on Form 10-K speaks only as of the date on which this Annual Report on Form 10-K was first filed. We undertake no intention or obligation to update or revise any forward-looking statements, whether as a result of new information, future events,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are a national solutions provider of a wide range of information technology, or IT, solutions. We help our customers design, enable, manage, and service their IT environments. We provide IT products, including computer systems, software and peripheral equipment, networking communications, and other products and accessories that we purchase from manufacturers, distributors, and other suppliers. We also offer services involving design, configuration, and implementation of IT solutions. These services are performed by our personnel and by third-party providers. We have three operating segments, which serve primarily: (a) small- to medium-sized businesses, or SMBs, in our Business Solutions segment, through our PC Connection Sales subsidiary, (b) large enterprise customers, in our Enterprise Solutions segment, through our MoreDirect subsidiary, and (c) federal, state, and local government and educational institutions, in our Public Sector Solutions segment, through our GovConnection subsidiary. Financial results for each of our segments are included in the financial statements attached hereto. We generate sales through (i) outbound telemarketing and field sales contacts by sales representatives focused on the business, educational, healthcare, and government markets, (ii) our websites, and (iii) inbound calls from customers responding to our catalogs and other advertising media. We offer a broad selection of over 300,000 products at competitive prices, including products from Apple, Cisco Systems, Dell, EMC, Hewlett-Packard, IBM, Lenovo, Microsoft, Symantec, and VMWare, and we partner with more than 1,600 suppliers. Our most frequently ordered products are carried in inventory and are typically shipped to customers the same day the order is received.</w:t>
      </w:r>
    </w:p>
    <w:p>
      <w:pPr>
        <w:spacing w:after="0" w:line="16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Since our founding in 1982, we have consistently served our customers’ needs by providing innovative, reliable, and timely service and technical support, and by offering an extensive assortment of branded products through knowledgeable, well-trained sales and support teams. Our strategy’s effectiveness is reflected in the recognition we have received, including being named to the Fortune 1000 and the CRN Solution Provider 500 for seventeen straight years. Over the past few years, we have received numerous awards, including the Microsoft Excellence in Operations—Double Gold Level Award for delivering market-leading operational excellence, as well as being recently named to the CRN Tech Elite 250 for the second year. We believe that our ability to understand our customers’ needs and provide comprehensive and effective IT solutions has resulted in strong brand name recognition and a broad and loyal customer base. We also believe that through our strong vendor relationships we can provide an efficient supply chain and be an effective IT solution provider for our multiple customer segments.</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strive to identify the unique needs of our corporate, government, healthcare, educational, and small business customers, and have designed our business processes to enable our customers to effectively manage their IT systems. We provide value by offering our customers efficient design, deployment, and support of their IT environments. As of December 31, 2017, we employed 836 sales representatives, whose average tenure exceeded six years. Sales representatives are responsible for managing enterprise, commercial, and public sector accounts, as specialization and a deep understanding of unique customer environments are more important than ever. These sales representatives focus on current and prospective customers and are supported by an increasing number of engineering, technical, and administrative staff. We believe that increasing our salesforce productivity is important to our future success, and we have increased our headcount and investments in this area accordingly.</w:t>
      </w:r>
    </w:p>
    <w:p>
      <w:pPr>
        <w:spacing w:after="0" w:line="182"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In September 2016, we launched “Connection®,” uniting all of our subsidiaries into one cohesive brand, reflecting the promise of our trademark blue arc and our mission to connect people with technology that enhances growth, elevates productivity, and empowers innovation. MoreDirect, our enterprise team, became Connection® Enterprise Solutions; PC Connection Sales Corp, our SMB-focused team, became Connection® Business Solutions; and GovConnection, our public sector team, became Connection® Public Sector Solutions.</w:t>
      </w:r>
    </w:p>
    <w:p>
      <w:pPr>
        <w:spacing w:after="0" w:line="173" w:lineRule="exact"/>
        <w:rPr>
          <w:sz w:val="20"/>
          <w:szCs w:val="20"/>
          <w:color w:val="auto"/>
        </w:rPr>
      </w:pPr>
    </w:p>
    <w:p>
      <w:pPr>
        <w:jc w:val="both"/>
        <w:ind w:right="400" w:firstLine="324"/>
        <w:spacing w:after="0" w:line="286" w:lineRule="auto"/>
        <w:rPr>
          <w:sz w:val="20"/>
          <w:szCs w:val="20"/>
          <w:color w:val="auto"/>
        </w:rPr>
      </w:pPr>
      <w:r>
        <w:rPr>
          <w:rFonts w:ascii="Arial" w:cs="Arial" w:eastAsia="Arial" w:hAnsi="Arial"/>
          <w:sz w:val="17"/>
          <w:szCs w:val="17"/>
          <w:color w:val="auto"/>
        </w:rPr>
        <w:t xml:space="preserve">We market our products and services through our websites: </w:t>
      </w:r>
      <w:r>
        <w:rPr>
          <w:rFonts w:ascii="Arial" w:cs="Arial" w:eastAsia="Arial" w:hAnsi="Arial"/>
          <w:sz w:val="17"/>
          <w:szCs w:val="17"/>
          <w:i w:val="1"/>
          <w:iCs w:val="1"/>
          <w:color w:val="auto"/>
        </w:rPr>
        <w:t>www.connection.com, www.connection.com/enterprise,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www.connection.com/publicsector, </w:t>
      </w:r>
      <w:r>
        <w:rPr>
          <w:rFonts w:ascii="Arial" w:cs="Arial" w:eastAsia="Arial" w:hAnsi="Arial"/>
          <w:sz w:val="17"/>
          <w:szCs w:val="17"/>
          <w:color w:val="auto"/>
        </w:rPr>
        <w:t>and</w:t>
      </w:r>
      <w:r>
        <w:rPr>
          <w:rFonts w:ascii="Arial" w:cs="Arial" w:eastAsia="Arial" w:hAnsi="Arial"/>
          <w:sz w:val="17"/>
          <w:szCs w:val="17"/>
          <w:i w:val="1"/>
          <w:iCs w:val="1"/>
          <w:color w:val="auto"/>
        </w:rPr>
        <w:t xml:space="preserve"> www.macconnection.com</w:t>
      </w:r>
      <w:r>
        <w:rPr>
          <w:rFonts w:ascii="Arial" w:cs="Arial" w:eastAsia="Arial" w:hAnsi="Arial"/>
          <w:sz w:val="17"/>
          <w:szCs w:val="17"/>
          <w:color w:val="auto"/>
        </w:rPr>
        <w:t>. Our websites provide extensive product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customized pricing, rich content, and a digital platform for online orders.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59"/>
        <w:spacing w:after="0" w:line="312" w:lineRule="auto"/>
        <w:rPr>
          <w:sz w:val="20"/>
          <w:szCs w:val="20"/>
          <w:color w:val="auto"/>
        </w:rPr>
      </w:pPr>
      <w:r>
        <w:rPr>
          <w:rFonts w:ascii="Arial" w:cs="Arial" w:eastAsia="Arial" w:hAnsi="Arial"/>
          <w:sz w:val="16"/>
          <w:szCs w:val="16"/>
          <w:color w:val="auto"/>
        </w:rPr>
        <w:t>Additional financial information regarding our business segments and geographic data about our customers and assets is contained in Management’s Discussion and Analysis of Financial Condition and Results of Operations in Item 7 of Part II, and in Note 12 to our Consolidated Financial Statements included in Item 8 of Part II of this Annual Report on Form 10-K.</w:t>
      </w:r>
    </w:p>
    <w:p>
      <w:pPr>
        <w:spacing w:after="0" w:line="14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We are subject to the informational requirements of the Securities Exchange Act of 1934, as amended, or the Exchange Act, and accordingly, we file reports, proxy and information statements, and other information with the Securities and Exchange Commission, or the SEC. Such reports and information can be read and copied at the public reference facilities maintained by the SEC at the Public Reference Room, 100 F Street, NE, Washington, D.C. 20549. Information regarding the operation of the Public Reference Room may be obtained by calling the SEC at 1-800-SEC-0330. The SEC maintains a website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that contains such reports, proxy and information statements, and other information regarding issuers that file electronically with the SEC. We maintain a corporate website with the address </w:t>
      </w:r>
      <w:r>
        <w:rPr>
          <w:rFonts w:ascii="Arial" w:cs="Arial" w:eastAsia="Arial" w:hAnsi="Arial"/>
          <w:sz w:val="17"/>
          <w:szCs w:val="17"/>
          <w:i w:val="1"/>
          <w:iCs w:val="1"/>
          <w:color w:val="auto"/>
        </w:rPr>
        <w:t>www.connection.com</w:t>
      </w:r>
      <w:r>
        <w:rPr>
          <w:rFonts w:ascii="Arial" w:cs="Arial" w:eastAsia="Arial" w:hAnsi="Arial"/>
          <w:sz w:val="17"/>
          <w:szCs w:val="17"/>
          <w:color w:val="auto"/>
        </w:rPr>
        <w:t>. We are not including the information contained in our website as part of, or incorporating by reference into, this Annual Report on Form 10-K. We make available free of charge through our website our Annual Reports on Form 10-K, quarterly reports on Form 10-Q, and current reports on Form 8-K, and amendments to these reports filed or furnished pursuant to Section 13(a) or 15(d) of the Exchange Act, as soon as reasonably practical after we electronically file these materials with, or otherwise furnish them to,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22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the fiscal year ended December 31, 2017, we generated approximately 40% of our sales from the Business Solutions segment, 39% from medium-to-large corporate accounts (Fortune 1000), and 21% from government and educational institutions. The overall IT market that we serve is estimated to be approximately $200 billion.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largest segment of this market is served by local and regional “value added resellers,” or VARs, many of whom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believe are transitioning from the hardware and software products business to higher-margin IT services. We have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transitioned from an end-user or desktop-centric computing supplier to a network or enterprise-wide IT solutions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supplier. We have also partnered with third-party technology and telecommunications service providers. We now offer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customers access to the same services and technical expertise as local and regional VARs, but with a more extensive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selection at generally lower prices.</w:t>
      </w:r>
    </w:p>
    <w:p>
      <w:pPr>
        <w:spacing w:after="0" w:line="21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Intense competition for customers has led manufacturers of our IT products to use all available channels, including solutions providers, to distribute their products. Certain of these manufacturers who have traditionally used resellers to distribute their products have, from time to time, established their own direct marketing operations, including sales through the Internet. Nonetheless, we believe that these manufacturers will continue to provide us and other third-party solutions providers favorable product allocations and marketing support.</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new entrants to the direct marketing channel must overcome a number of obstacles, including:</w:t>
      </w:r>
    </w:p>
    <w:p>
      <w:pPr>
        <w:spacing w:after="0" w:line="225" w:lineRule="exact"/>
        <w:rPr>
          <w:sz w:val="20"/>
          <w:szCs w:val="20"/>
          <w:color w:val="auto"/>
        </w:rPr>
      </w:pPr>
    </w:p>
    <w:p>
      <w:pPr>
        <w:ind w:left="660" w:right="28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substantial time and resources required to build a customer base of meaningful size and profitability for cost-effective operation;</w:t>
      </w:r>
    </w:p>
    <w:p>
      <w:pPr>
        <w:spacing w:after="0" w:line="170" w:lineRule="exact"/>
        <w:rPr>
          <w:rFonts w:ascii="Arial" w:cs="Arial" w:eastAsia="Arial" w:hAnsi="Arial"/>
          <w:sz w:val="18"/>
          <w:szCs w:val="18"/>
          <w:color w:val="auto"/>
        </w:rPr>
      </w:pPr>
    </w:p>
    <w:p>
      <w:pPr>
        <w:ind w:left="660" w:right="14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costs of developing the information systems and operating infrastructure required to successfully compete as a national solutions provider;</w:t>
      </w:r>
    </w:p>
    <w:p>
      <w:pPr>
        <w:spacing w:after="0" w:line="170" w:lineRule="exact"/>
        <w:rPr>
          <w:rFonts w:ascii="Arial" w:cs="Arial" w:eastAsia="Arial" w:hAnsi="Arial"/>
          <w:sz w:val="18"/>
          <w:szCs w:val="18"/>
          <w:color w:val="auto"/>
        </w:rPr>
      </w:pPr>
    </w:p>
    <w:p>
      <w:pPr>
        <w:ind w:left="660" w:right="88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advantages enjoyed by larger and more established competitors in terms of purchasing and operating efficiencies;</w:t>
      </w:r>
    </w:p>
    <w:p>
      <w:pPr>
        <w:spacing w:after="0" w:line="170" w:lineRule="exact"/>
        <w:rPr>
          <w:rFonts w:ascii="Arial" w:cs="Arial" w:eastAsia="Arial" w:hAnsi="Arial"/>
          <w:sz w:val="18"/>
          <w:szCs w:val="18"/>
          <w:color w:val="auto"/>
        </w:rPr>
      </w:pPr>
    </w:p>
    <w:p>
      <w:pPr>
        <w:ind w:left="660" w:right="18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difficulty of building relationships with vendors to achieve favorable product allocations and attractive pricing terms; and</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difficulty of identifying and recruiting management personnel with significant direct marketing experience in the industry.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believe we become our customers’ IT provider of choice by providing innovative IT solutions which meet their needs of increased productivity, mobility, virtualization, and security in a continually evolving IT environment. We provide enhanced value by assisting them in cost-effectively maximizing business opportunities provided by new technologies and advanced service solutions. The key elements of our business strategies include:</w:t>
      </w:r>
    </w:p>
    <w:p>
      <w:pPr>
        <w:spacing w:after="0" w:line="171" w:lineRule="exact"/>
        <w:rPr>
          <w:sz w:val="20"/>
          <w:szCs w:val="20"/>
          <w:color w:val="auto"/>
        </w:rPr>
      </w:pPr>
    </w:p>
    <w:p>
      <w:pPr>
        <w:ind w:left="660" w:right="100" w:hanging="333"/>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Providing consistent customer service before, during, and after the sale</w:t>
      </w:r>
      <w:r>
        <w:rPr>
          <w:rFonts w:ascii="Arial" w:cs="Arial" w:eastAsia="Arial" w:hAnsi="Arial"/>
          <w:sz w:val="17"/>
          <w:szCs w:val="17"/>
          <w:color w:val="auto"/>
        </w:rPr>
        <w:t>. We believe that we have earned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reputation for providing superior customer service by consistently focusing on our customers’ needs. We have dedicated our resources to developing strong, long-term relationships with our customers by accurately assessing their IT needs, and providing scalable, high-quality solutions and services through our knowledgeable, well-trained personnel. Through operational excellence, we have efficient delivery programs that provide a quality buying experience for our customers with reasonable return policies.</w:t>
      </w:r>
    </w:p>
    <w:p>
      <w:pPr>
        <w:spacing w:after="0" w:line="178" w:lineRule="exact"/>
        <w:rPr>
          <w:rFonts w:ascii="Arial" w:cs="Arial" w:eastAsia="Arial" w:hAnsi="Arial"/>
          <w:sz w:val="17"/>
          <w:szCs w:val="17"/>
          <w:color w:val="auto"/>
        </w:rPr>
      </w:pPr>
    </w:p>
    <w:p>
      <w:pPr>
        <w:ind w:left="660" w:right="220" w:hanging="333"/>
        <w:spacing w:after="0" w:line="29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Offering a broad product selection at competitive prices</w:t>
      </w:r>
      <w:r>
        <w:rPr>
          <w:rFonts w:ascii="Arial" w:cs="Arial" w:eastAsia="Arial" w:hAnsi="Arial"/>
          <w:sz w:val="16"/>
          <w:szCs w:val="16"/>
          <w:color w:val="auto"/>
        </w:rPr>
        <w:t>. We offer a broad range of IT products and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personal computers and related peripheral products, servers, storage, and networking infrastructure, at costs that allow our customers to be more productive while maximizing their IT budgets. Our advanced solution offerings include network, server, storage, and mission-critical onsite installation and support using proprietary cloud-based service management software. We offer products and enhanced service capabilities with aggressive price and performance standards, all with the convenience of one-stop shopping for technology solutions.</w:t>
      </w:r>
    </w:p>
    <w:p>
      <w:pPr>
        <w:spacing w:after="0" w:line="164" w:lineRule="exact"/>
        <w:rPr>
          <w:rFonts w:ascii="Arial" w:cs="Arial" w:eastAsia="Arial" w:hAnsi="Arial"/>
          <w:sz w:val="16"/>
          <w:szCs w:val="16"/>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Simplifying technology product procurement for corporate customers.  </w:t>
      </w:r>
      <w:r>
        <w:rPr>
          <w:rFonts w:ascii="Arial" w:cs="Arial" w:eastAsia="Arial" w:hAnsi="Arial"/>
          <w:sz w:val="18"/>
          <w:szCs w:val="18"/>
          <w:color w:val="auto"/>
        </w:rPr>
        <w:t>We offer Internet-based</w:t>
      </w:r>
    </w:p>
    <w:p>
      <w:pPr>
        <w:spacing w:after="0" w:line="23" w:lineRule="exact"/>
        <w:rPr>
          <w:rFonts w:ascii="Arial" w:cs="Arial" w:eastAsia="Arial" w:hAnsi="Arial"/>
          <w:sz w:val="18"/>
          <w:szCs w:val="18"/>
          <w:color w:val="auto"/>
        </w:rPr>
      </w:pPr>
    </w:p>
    <w:p>
      <w:pPr>
        <w:jc w:val="both"/>
        <w:ind w:left="660" w:right="40"/>
        <w:spacing w:after="0" w:line="255" w:lineRule="auto"/>
        <w:rPr>
          <w:rFonts w:ascii="Arial" w:cs="Arial" w:eastAsia="Arial" w:hAnsi="Arial"/>
          <w:sz w:val="18"/>
          <w:szCs w:val="18"/>
          <w:color w:val="auto"/>
        </w:rPr>
      </w:pPr>
      <w:r>
        <w:rPr>
          <w:rFonts w:ascii="Arial" w:cs="Arial" w:eastAsia="Arial" w:hAnsi="Arial"/>
          <w:sz w:val="18"/>
          <w:szCs w:val="18"/>
          <w:color w:val="auto"/>
        </w:rPr>
        <w:t>procurement options to eliminate complexity and enhance customer value, as well as lower the cost of procurement for our customers. Our Enterprise Solutions segment specializes in Internet-based solutions and provides electronic integration between its customers and suppliers.</w:t>
      </w:r>
    </w:p>
    <w:p>
      <w:pPr>
        <w:spacing w:after="0" w:line="190"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Offering targeted IT solutions. </w:t>
      </w:r>
      <w:r>
        <w:rPr>
          <w:rFonts w:ascii="Arial" w:cs="Arial" w:eastAsia="Arial" w:hAnsi="Arial"/>
          <w:sz w:val="18"/>
          <w:szCs w:val="18"/>
          <w:color w:val="auto"/>
        </w:rPr>
        <w:t>Our customers seek solutions to increasingly complex IT infrastructure</w:t>
      </w:r>
    </w:p>
    <w:p>
      <w:pPr>
        <w:spacing w:after="0" w:line="23" w:lineRule="exact"/>
        <w:rPr>
          <w:rFonts w:ascii="Arial" w:cs="Arial" w:eastAsia="Arial" w:hAnsi="Arial"/>
          <w:sz w:val="18"/>
          <w:szCs w:val="18"/>
          <w:color w:val="auto"/>
        </w:rPr>
      </w:pPr>
    </w:p>
    <w:p>
      <w:pPr>
        <w:ind w:left="660"/>
        <w:spacing w:after="0" w:line="288" w:lineRule="auto"/>
        <w:rPr>
          <w:rFonts w:ascii="Arial" w:cs="Arial" w:eastAsia="Arial" w:hAnsi="Arial"/>
          <w:sz w:val="18"/>
          <w:szCs w:val="18"/>
          <w:color w:val="auto"/>
        </w:rPr>
      </w:pPr>
      <w:r>
        <w:rPr>
          <w:rFonts w:ascii="Arial" w:cs="Arial" w:eastAsia="Arial" w:hAnsi="Arial"/>
          <w:sz w:val="16"/>
          <w:szCs w:val="16"/>
          <w:color w:val="auto"/>
        </w:rPr>
        <w:t>demands. To better address their business needs, we have focused our solution service capabilities on seven practice areas—Converged Data Center, Networking, Mobility, Security, Cloud Solutions, Lifecycle, and Software. These IT practice groups are responsible for understanding the infrastructure needs of our customers, and for designing cost-effective technology solutions to address them. We have also partnered with third-party providers to make available a range of IT support services, including asset assessment, implementation, maintenance, and disposal services. We believe we can leverage these seven practice groups to transform our company into a recognized IT solution provider, which will enable us to capture a greater share of the IT expenditures of our customers.</w:t>
      </w:r>
    </w:p>
    <w:p>
      <w:pPr>
        <w:spacing w:after="0" w:line="168" w:lineRule="exact"/>
        <w:rPr>
          <w:rFonts w:ascii="Arial" w:cs="Arial" w:eastAsia="Arial" w:hAnsi="Arial"/>
          <w:sz w:val="18"/>
          <w:szCs w:val="18"/>
          <w:color w:val="auto"/>
        </w:rPr>
      </w:pPr>
    </w:p>
    <w:p>
      <w:pPr>
        <w:ind w:left="660" w:hanging="333"/>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Maintaining a strong brand name and customer awareness. </w:t>
      </w:r>
      <w:r>
        <w:rPr>
          <w:rFonts w:ascii="Arial" w:cs="Arial" w:eastAsia="Arial" w:hAnsi="Arial"/>
          <w:sz w:val="18"/>
          <w:szCs w:val="18"/>
          <w:color w:val="auto"/>
        </w:rPr>
        <w:t>Since our founding in 1982, we have built a strong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 name and customer awareness. We have been named to the Fortune 1000 and the CRN Solution Provider 500 for each of the last seventeen years. We actively work with our existing customers to become their IT provider of choice for products and enhanced solution services, while seeking to ensure our reputation of high-quality customer service, tailored marketing programs, and competitive pricing lead the way to expanding our share of the overall IT market.</w:t>
      </w:r>
    </w:p>
    <w:p>
      <w:pPr>
        <w:spacing w:after="0" w:line="193" w:lineRule="exact"/>
        <w:rPr>
          <w:rFonts w:ascii="Arial" w:cs="Arial" w:eastAsia="Arial" w:hAnsi="Arial"/>
          <w:sz w:val="18"/>
          <w:szCs w:val="18"/>
          <w:color w:val="auto"/>
        </w:rPr>
      </w:pPr>
    </w:p>
    <w:p>
      <w:pPr>
        <w:ind w:left="660" w:right="20" w:hanging="333"/>
        <w:spacing w:after="0" w:line="29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Maintaining long-standing vendor relationships</w:t>
      </w:r>
      <w:r>
        <w:rPr>
          <w:rFonts w:ascii="Arial" w:cs="Arial" w:eastAsia="Arial" w:hAnsi="Arial"/>
          <w:sz w:val="16"/>
          <w:szCs w:val="16"/>
          <w:color w:val="auto"/>
        </w:rPr>
        <w:t>. We have a history of strong relationships with vendors, and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the first national solutions providers qualified by manufacturers to market computer systems to end</w:t>
      </w:r>
    </w:p>
    <w:p>
      <w:pPr>
        <w:jc w:val="both"/>
        <w:ind w:left="660" w:right="220"/>
        <w:spacing w:after="0" w:line="255" w:lineRule="auto"/>
        <w:rPr>
          <w:rFonts w:ascii="Arial" w:cs="Arial" w:eastAsia="Arial" w:hAnsi="Arial"/>
          <w:sz w:val="16"/>
          <w:szCs w:val="16"/>
          <w:color w:val="auto"/>
        </w:rPr>
      </w:pPr>
      <w:r>
        <w:rPr>
          <w:rFonts w:ascii="Arial" w:cs="Arial" w:eastAsia="Arial" w:hAnsi="Arial"/>
          <w:sz w:val="18"/>
          <w:szCs w:val="18"/>
          <w:color w:val="auto"/>
        </w:rPr>
        <w:t>users. By working closely with our vendors to provide an efficient channel for the advertising and distribution of their products and solutions, we expect to expand market share and generate opportunities for optimizing partner incentive programs.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growth strategies are designed to increase revenues by maximizing operational efficiencies while offering innovative products and value added service offerings, increasing penetration of our existing customers, and expanding our customer base. Our six key elements of growth are:</w:t>
      </w:r>
    </w:p>
    <w:p>
      <w:pPr>
        <w:spacing w:after="0" w:line="181" w:lineRule="exact"/>
        <w:rPr>
          <w:sz w:val="20"/>
          <w:szCs w:val="20"/>
          <w:color w:val="auto"/>
        </w:rPr>
      </w:pPr>
    </w:p>
    <w:p>
      <w:pPr>
        <w:ind w:left="660" w:right="420" w:hanging="333"/>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Expanding hardware and software offerings. </w:t>
      </w:r>
      <w:r>
        <w:rPr>
          <w:rFonts w:ascii="Arial" w:cs="Arial" w:eastAsia="Arial" w:hAnsi="Arial"/>
          <w:sz w:val="18"/>
          <w:szCs w:val="18"/>
          <w:color w:val="auto"/>
        </w:rPr>
        <w:t>We offer our customers an extensive range of IT hardware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products, and in response to customer demand, we continually evaluate and add new products as they become available. We work closely with vendors to identify and source first-to-market product offerings at aggressive prices.</w:t>
      </w:r>
    </w:p>
    <w:p>
      <w:pPr>
        <w:spacing w:after="0" w:line="186" w:lineRule="exact"/>
        <w:rPr>
          <w:rFonts w:ascii="Arial" w:cs="Arial" w:eastAsia="Arial" w:hAnsi="Arial"/>
          <w:sz w:val="18"/>
          <w:szCs w:val="18"/>
          <w:color w:val="auto"/>
        </w:rPr>
      </w:pPr>
    </w:p>
    <w:p>
      <w:pPr>
        <w:ind w:left="660" w:right="20" w:hanging="333"/>
        <w:spacing w:after="0" w:line="27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Expanding IT solution services offerings. </w:t>
      </w:r>
      <w:r>
        <w:rPr>
          <w:rFonts w:ascii="Arial" w:cs="Arial" w:eastAsia="Arial" w:hAnsi="Arial"/>
          <w:sz w:val="17"/>
          <w:szCs w:val="17"/>
          <w:color w:val="auto"/>
        </w:rPr>
        <w:t>We strive to accelerate solution and service growth by providing creative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to the increasingly complex hardware and software needs of our customers. Our Converged Data Center, Networking, Mobility, Security, Cloud Solutions, Lifecycle, and Software services practice groups consist of industry-certified and product-certified engineers, as well as highly specialized third-party providers. Our investment in these seven practice areas is expected to increase our share of our customers’ annual IT expenditures by broadening the range of products and services they purchase from us.</w:t>
      </w:r>
    </w:p>
    <w:p>
      <w:pPr>
        <w:spacing w:after="0" w:line="178" w:lineRule="exact"/>
        <w:rPr>
          <w:rFonts w:ascii="Arial" w:cs="Arial" w:eastAsia="Arial" w:hAnsi="Arial"/>
          <w:sz w:val="17"/>
          <w:szCs w:val="17"/>
          <w:color w:val="auto"/>
        </w:rPr>
      </w:pPr>
    </w:p>
    <w:p>
      <w:pPr>
        <w:ind w:left="660" w:right="20" w:hanging="333"/>
        <w:spacing w:after="0" w:line="29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Targeting customer segments. </w:t>
      </w:r>
      <w:r>
        <w:rPr>
          <w:rFonts w:ascii="Arial" w:cs="Arial" w:eastAsia="Arial" w:hAnsi="Arial"/>
          <w:sz w:val="16"/>
          <w:szCs w:val="16"/>
          <w:color w:val="auto"/>
        </w:rPr>
        <w:t>Through increased targeted marketing, we seek to expand the number of our active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and generate additional sales to existing customers by providing more value-added services and solutions. We have developed specialty catalogs featuring product offerings designed to address the needs of specific customer populations, including new product inserts targeted to purchasers of graphics, server, and networking products. We also utilize Internet marketing campaigns that focus on select markets, such as healthcare.</w:t>
      </w:r>
    </w:p>
    <w:p>
      <w:pPr>
        <w:spacing w:after="0" w:line="158" w:lineRule="exact"/>
        <w:rPr>
          <w:rFonts w:ascii="Arial" w:cs="Arial" w:eastAsia="Arial" w:hAnsi="Arial"/>
          <w:sz w:val="16"/>
          <w:szCs w:val="16"/>
          <w:color w:val="auto"/>
        </w:rPr>
      </w:pPr>
    </w:p>
    <w:p>
      <w:pPr>
        <w:ind w:left="660" w:right="100" w:hanging="333"/>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Increasing productivity of our sales representatives</w:t>
      </w:r>
      <w:r>
        <w:rPr>
          <w:rFonts w:ascii="Arial" w:cs="Arial" w:eastAsia="Arial" w:hAnsi="Arial"/>
          <w:sz w:val="18"/>
          <w:szCs w:val="18"/>
          <w:color w:val="auto"/>
        </w:rPr>
        <w:t>. We believe that higher sales productivity is the key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leveraging our expense structure and driving future profitability improvements. We invest significant resources in training new sales representatives and providing ongoing training to experienced personnel. Our training and evaluation programs are focused towards assisting our sales personnel in understanding and anticipating clients’ IT needs, with the goal of fostering loyal customer relationships. We also provide our sales representatives with technical support on more complex sales opportunities through our expanding group of technical solution specialists.</w:t>
      </w:r>
    </w:p>
    <w:p>
      <w:pPr>
        <w:spacing w:after="0" w:line="189" w:lineRule="exact"/>
        <w:rPr>
          <w:rFonts w:ascii="Arial" w:cs="Arial" w:eastAsia="Arial" w:hAnsi="Arial"/>
          <w:sz w:val="18"/>
          <w:szCs w:val="18"/>
          <w:color w:val="auto"/>
        </w:rPr>
      </w:pPr>
    </w:p>
    <w:p>
      <w:pPr>
        <w:ind w:left="660" w:right="40" w:hanging="333"/>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Migrating to cloud-based solutions for our customers. </w:t>
      </w:r>
      <w:r>
        <w:rPr>
          <w:rFonts w:ascii="Arial" w:cs="Arial" w:eastAsia="Arial" w:hAnsi="Arial"/>
          <w:sz w:val="17"/>
          <w:szCs w:val="17"/>
          <w:color w:val="auto"/>
        </w:rPr>
        <w:t>Cloud computing is a key driver of new IT spending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seek scalable, cost-effective solutions. We plan to expand our cloud-based solution sales and assist our customers in navigating the complex and growing field of cloud-solution offerings.</w:t>
      </w:r>
    </w:p>
    <w:p>
      <w:pPr>
        <w:spacing w:after="0" w:line="165" w:lineRule="exact"/>
        <w:rPr>
          <w:rFonts w:ascii="Arial" w:cs="Arial" w:eastAsia="Arial" w:hAnsi="Arial"/>
          <w:sz w:val="17"/>
          <w:szCs w:val="17"/>
          <w:color w:val="auto"/>
        </w:rPr>
      </w:pPr>
    </w:p>
    <w:p>
      <w:pPr>
        <w:ind w:left="660" w:right="420" w:hanging="333"/>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Pursuing strategic acquisitions and alliances. </w:t>
      </w:r>
      <w:r>
        <w:rPr>
          <w:rFonts w:ascii="Arial" w:cs="Arial" w:eastAsia="Arial" w:hAnsi="Arial"/>
          <w:sz w:val="18"/>
          <w:szCs w:val="18"/>
          <w:color w:val="auto"/>
        </w:rPr>
        <w:t>We seek acquisitions and alliances that add new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strengthen our product and solution offerings, add management talent, and produce operating results which are accretive to our core business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SUPPORT</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Since our founding in 1982, our primary objective has been to provide products and services that meet the demands and needs of customers and to supplement those products with up-to-date product information and excellent customer service and support. We believe that offering our customers superior value, through a combination of product knowledge, consistent and reliable service and support, and leading products at competitive prices, differentiates us from other national solutions providers and provides the foundation for developing a broad and loyal customer base.</w:t>
      </w:r>
    </w:p>
    <w:p>
      <w:pPr>
        <w:spacing w:after="0" w:line="173"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We invest in training programs for our service and support personnel, with an emphasis on putting customer needs and service first. Product support technicians assist customers with questions concerning compatibility, installation, and more difficult questions relating to product use. The product support technicians authorize customers to return defective or incompatible products to either the manufacturer or to us for warranty service. In-house technicians perform both warranty and non-warranty repair on most major systems and hardware products.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9" w:firstLine="324"/>
        <w:spacing w:after="0" w:line="218" w:lineRule="exact"/>
        <w:rPr>
          <w:sz w:val="20"/>
          <w:szCs w:val="20"/>
          <w:color w:val="auto"/>
        </w:rPr>
      </w:pPr>
      <w:r>
        <w:rPr>
          <w:rFonts w:ascii="Arial" w:cs="Arial" w:eastAsia="Arial" w:hAnsi="Arial"/>
          <w:sz w:val="16"/>
          <w:szCs w:val="16"/>
          <w:color w:val="auto"/>
        </w:rPr>
        <w:t>Using our customized information system, we transmit our customer orders either to our distribution center or to our drop</w:t>
      </w:r>
      <w:r>
        <w:rPr>
          <w:rFonts w:ascii="MS PGothic" w:cs="MS PGothic" w:eastAsia="MS PGothic" w:hAnsi="MS PGothic"/>
          <w:sz w:val="16"/>
          <w:szCs w:val="16"/>
          <w:color w:val="auto"/>
        </w:rPr>
        <w:t>‑</w:t>
      </w:r>
      <w:r>
        <w:rPr>
          <w:rFonts w:ascii="Arial" w:cs="Arial" w:eastAsia="Arial" w:hAnsi="Arial"/>
          <w:sz w:val="16"/>
          <w:szCs w:val="16"/>
          <w:color w:val="auto"/>
        </w:rPr>
        <w:t>ship suppliers, depending on product availability, for processing immediately after a customer receives credit approval. At our distribution center, we also perform custom configuration of computer systems and handheld devices as requested by our customers, which typically consists of the installation of memory, accessories, and/or software purchased. Our customers may select the method of delivery that best meets their needs and is most cost effective, ranging from expedited overnight delivery for urgently needed items to ground freight, generally used for heavier, more bulky items.</w:t>
      </w:r>
    </w:p>
    <w:p>
      <w:pPr>
        <w:spacing w:after="0" w:line="206" w:lineRule="exact"/>
        <w:rPr>
          <w:sz w:val="20"/>
          <w:szCs w:val="20"/>
          <w:color w:val="auto"/>
        </w:rPr>
      </w:pPr>
    </w:p>
    <w:p>
      <w:pPr>
        <w:ind w:right="39" w:firstLine="369"/>
        <w:spacing w:after="0" w:line="218" w:lineRule="exact"/>
        <w:rPr>
          <w:sz w:val="20"/>
          <w:szCs w:val="20"/>
          <w:color w:val="auto"/>
        </w:rPr>
      </w:pPr>
      <w:r>
        <w:rPr>
          <w:rFonts w:ascii="Arial" w:cs="Arial" w:eastAsia="Arial" w:hAnsi="Arial"/>
          <w:sz w:val="17"/>
          <w:szCs w:val="17"/>
          <w:color w:val="auto"/>
        </w:rPr>
        <w:t>Our inventory stocking levels are based on three primary criteria. First, we stock and maintain a large quantity of products that sell through quickly (such as notebook and desktop systems, printers, and monitors). Second, we stock products obtained through opportunistic purchases (including first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market and end</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life special promotions, and popular products with limited availability). Third, we stock products in common demand, such as components we use to configure systems prior to shipping, for which we want to avoid shortages. Inventory stocking decisions are made generally independent of the level of shipping service, as expedited shipping, including overnight delivery, is available through the majority of our drop</w:t>
      </w:r>
      <w:r>
        <w:rPr>
          <w:rFonts w:ascii="MS PGothic" w:cs="MS PGothic" w:eastAsia="MS PGothic" w:hAnsi="MS PGothic"/>
          <w:sz w:val="17"/>
          <w:szCs w:val="17"/>
          <w:color w:val="auto"/>
        </w:rPr>
        <w:t>‑</w:t>
      </w:r>
      <w:r>
        <w:rPr>
          <w:rFonts w:ascii="Arial" w:cs="Arial" w:eastAsia="Arial" w:hAnsi="Arial"/>
          <w:sz w:val="17"/>
          <w:szCs w:val="17"/>
          <w:color w:val="auto"/>
        </w:rPr>
        <w:t>ship suppliers as well as through our warehouse.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sell our products through our direct marketing channels to (i) SMBs including small office/home office customers,</w:t>
      </w:r>
    </w:p>
    <w:p>
      <w:pPr>
        <w:spacing w:after="0" w:line="46" w:lineRule="exact"/>
        <w:rPr>
          <w:sz w:val="20"/>
          <w:szCs w:val="20"/>
          <w:color w:val="auto"/>
        </w:rPr>
      </w:pPr>
    </w:p>
    <w:p>
      <w:pPr>
        <w:ind w:right="479" w:firstLine="3"/>
        <w:spacing w:after="0" w:line="277"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government and educational institutions, and (iii) medium-to-large corporate accounts. We strive to be the primary supplier of IT products and solutions to our existing and prospective customers by providing exemplary customer service. We use multiple marketing approaches to reach existing and prospective customers, including:</w:t>
      </w:r>
    </w:p>
    <w:p>
      <w:pPr>
        <w:spacing w:after="0" w:line="173" w:lineRule="exact"/>
        <w:rPr>
          <w:rFonts w:ascii="Arial" w:cs="Arial" w:eastAsia="Arial" w:hAnsi="Arial"/>
          <w:sz w:val="17"/>
          <w:szCs w:val="17"/>
          <w:color w:val="auto"/>
        </w:rPr>
      </w:pPr>
    </w:p>
    <w:p>
      <w:pPr>
        <w:ind w:left="660" w:hanging="333"/>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outbound telemarketing and field sales;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digital, web, and print media advertising;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targeted marketing programs to specific customer populations.</w:t>
      </w:r>
    </w:p>
    <w:p>
      <w:pPr>
        <w:spacing w:after="0" w:line="225" w:lineRule="exact"/>
        <w:rPr>
          <w:sz w:val="20"/>
          <w:szCs w:val="20"/>
          <w:color w:val="auto"/>
        </w:rPr>
      </w:pPr>
    </w:p>
    <w:p>
      <w:pPr>
        <w:ind w:right="339" w:firstLine="324"/>
        <w:spacing w:after="0" w:line="277" w:lineRule="auto"/>
        <w:rPr>
          <w:sz w:val="20"/>
          <w:szCs w:val="20"/>
          <w:color w:val="auto"/>
        </w:rPr>
      </w:pPr>
      <w:r>
        <w:rPr>
          <w:rFonts w:ascii="Arial" w:cs="Arial" w:eastAsia="Arial" w:hAnsi="Arial"/>
          <w:sz w:val="18"/>
          <w:szCs w:val="18"/>
          <w:color w:val="auto"/>
        </w:rPr>
        <w:t>All of our marketing approaches emphasize our broad product and service offerings, fast delivery, customer support, competitive pricing, and our wide range of service solutions.</w:t>
      </w:r>
    </w:p>
    <w:p>
      <w:pPr>
        <w:spacing w:after="0" w:line="170" w:lineRule="exact"/>
        <w:rPr>
          <w:sz w:val="20"/>
          <w:szCs w:val="20"/>
          <w:color w:val="auto"/>
        </w:rPr>
      </w:pPr>
    </w:p>
    <w:p>
      <w:pPr>
        <w:ind w:right="599" w:firstLine="324"/>
        <w:spacing w:after="0" w:line="279" w:lineRule="auto"/>
        <w:rPr>
          <w:sz w:val="20"/>
          <w:szCs w:val="20"/>
          <w:color w:val="auto"/>
        </w:rPr>
      </w:pPr>
      <w:r>
        <w:rPr>
          <w:rFonts w:ascii="Arial" w:cs="Arial" w:eastAsia="Arial" w:hAnsi="Arial"/>
          <w:sz w:val="17"/>
          <w:szCs w:val="17"/>
          <w:b w:val="1"/>
          <w:bCs w:val="1"/>
          <w:i w:val="1"/>
          <w:iCs w:val="1"/>
          <w:color w:val="auto"/>
        </w:rPr>
        <w:t xml:space="preserve">Sales Channels. </w:t>
      </w:r>
      <w:r>
        <w:rPr>
          <w:rFonts w:ascii="Arial" w:cs="Arial" w:eastAsia="Arial" w:hAnsi="Arial"/>
          <w:sz w:val="17"/>
          <w:szCs w:val="17"/>
          <w:color w:val="auto"/>
        </w:rPr>
        <w:t>We believe that our ability to establish and maintain long-term customer relationships and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encourage repeat purchases is largely dependent on the strength of our sales personnel and programs. Because our customers’ primary contact with us is through our sales representatives, we are committed to maintaining a qualified, knowledgeable, and motivated sales staff with its principal focus on customer service.</w:t>
      </w:r>
    </w:p>
    <w:p>
      <w:pPr>
        <w:spacing w:after="0" w:line="171" w:lineRule="exact"/>
        <w:rPr>
          <w:sz w:val="20"/>
          <w:szCs w:val="20"/>
          <w:color w:val="auto"/>
        </w:rPr>
      </w:pPr>
    </w:p>
    <w:p>
      <w:pPr>
        <w:ind w:right="39" w:firstLine="324"/>
        <w:spacing w:after="0" w:line="254" w:lineRule="auto"/>
        <w:rPr>
          <w:sz w:val="20"/>
          <w:szCs w:val="20"/>
          <w:color w:val="auto"/>
        </w:rPr>
      </w:pPr>
      <w:r>
        <w:rPr>
          <w:rFonts w:ascii="Arial" w:cs="Arial" w:eastAsia="Arial" w:hAnsi="Arial"/>
          <w:sz w:val="18"/>
          <w:szCs w:val="18"/>
          <w:b w:val="1"/>
          <w:bCs w:val="1"/>
          <w:i w:val="1"/>
          <w:iCs w:val="1"/>
          <w:color w:val="auto"/>
        </w:rPr>
        <w:t>Outbound Telemarketing and Field Sales</w:t>
      </w:r>
      <w:r>
        <w:rPr>
          <w:rFonts w:ascii="Arial" w:cs="Arial" w:eastAsia="Arial" w:hAnsi="Arial"/>
          <w:sz w:val="18"/>
          <w:szCs w:val="18"/>
          <w:color w:val="auto"/>
        </w:rPr>
        <w:t>. We seek to build loyal relationships with potential high-volume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assigning them to individual account managers. We believe that customers respond favorably to one-on-one relationships with personalized, well-trained account managers. Once established, these one-on-one relationships are maintained and enhanced through frequent telecommunications and targeted catalogs and e-mails, as well as other marketing materials designed to meet each customer’s specific IT needs. We pay most of our account managers a base annual salary plus incentive compensation. Incentive compensation is tied generally to gross profit dollars produced by the individual account manager. Account managers historically have significantly increased productivity after approximately twelve months of training and experience.</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 xml:space="preserve">E-commerce Sales. </w:t>
      </w:r>
      <w:r>
        <w:rPr>
          <w:rFonts w:ascii="Arial" w:cs="Arial" w:eastAsia="Arial" w:hAnsi="Arial"/>
          <w:sz w:val="18"/>
          <w:szCs w:val="18"/>
          <w:color w:val="auto"/>
        </w:rPr>
        <w:t>(</w:t>
      </w:r>
      <w:r>
        <w:rPr>
          <w:rFonts w:ascii="Arial" w:cs="Arial" w:eastAsia="Arial" w:hAnsi="Arial"/>
          <w:sz w:val="18"/>
          <w:szCs w:val="18"/>
          <w:i w:val="1"/>
          <w:iCs w:val="1"/>
          <w:color w:val="auto"/>
        </w:rPr>
        <w:t>www.connection.com, www.connection.com/enterprise</w:t>
      </w:r>
      <w:r>
        <w:rPr>
          <w:rFonts w:ascii="Arial" w:cs="Arial" w:eastAsia="Arial" w:hAnsi="Arial"/>
          <w:sz w:val="18"/>
          <w:szCs w:val="18"/>
          <w:color w:val="auto"/>
        </w:rPr>
        <w:t>,</w:t>
      </w:r>
    </w:p>
    <w:p>
      <w:pPr>
        <w:spacing w:after="0" w:line="23" w:lineRule="exact"/>
        <w:rPr>
          <w:sz w:val="20"/>
          <w:szCs w:val="20"/>
          <w:color w:val="auto"/>
        </w:rPr>
      </w:pPr>
    </w:p>
    <w:p>
      <w:pPr>
        <w:jc w:val="both"/>
        <w:ind w:right="99"/>
        <w:spacing w:after="0" w:line="254" w:lineRule="auto"/>
        <w:rPr>
          <w:sz w:val="20"/>
          <w:szCs w:val="20"/>
          <w:color w:val="auto"/>
        </w:rPr>
      </w:pPr>
      <w:r>
        <w:rPr>
          <w:rFonts w:ascii="Arial" w:cs="Arial" w:eastAsia="Arial" w:hAnsi="Arial"/>
          <w:sz w:val="18"/>
          <w:szCs w:val="18"/>
          <w:i w:val="1"/>
          <w:iCs w:val="1"/>
          <w:color w:val="auto"/>
        </w:rPr>
        <w:t>www.connection.com/publicsector, and www.macconnection.com</w:t>
      </w:r>
      <w:r>
        <w:rPr>
          <w:rFonts w:ascii="Arial" w:cs="Arial" w:eastAsia="Arial" w:hAnsi="Arial"/>
          <w:sz w:val="18"/>
          <w:szCs w:val="18"/>
          <w:color w:val="auto"/>
        </w:rPr>
        <w:t>) We provide product descriptions and prices for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products online. Our Connection website also provides updated information for more than 300,000 items. We offer, and continuously update, selected product offerings and other special buys. We believe our websites are important sales sources and communication tools for improving customer service.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MoreDirect subsidiary’s business process and operations are primarily Web-based. Most of its corporate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utilize a customized Web page to quickly search, source, and track IT products. MoreDirect’s website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www.connection.com/enterprise)</w:t>
      </w:r>
      <w:r>
        <w:rPr>
          <w:rFonts w:ascii="Arial" w:cs="Arial" w:eastAsia="Arial" w:hAnsi="Arial"/>
          <w:sz w:val="16"/>
          <w:szCs w:val="16"/>
          <w:color w:val="auto"/>
        </w:rPr>
        <w:t xml:space="preserve"> aggregates the current available inventories of its largest IT suppliers into a single online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source for its corporate customers. Its custom designed Internet-based system, TRAXX®, provides corporate buyers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comparative pricing from several suppliers as well as special pricing arranged through the manufacturer.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Internet supports three key business initiatives for us:</w:t>
      </w:r>
    </w:p>
    <w:p>
      <w:pPr>
        <w:spacing w:after="0" w:line="225" w:lineRule="exact"/>
        <w:rPr>
          <w:sz w:val="20"/>
          <w:szCs w:val="20"/>
          <w:color w:val="auto"/>
        </w:rPr>
      </w:pPr>
    </w:p>
    <w:p>
      <w:pPr>
        <w:jc w:val="both"/>
        <w:ind w:left="660" w:right="320" w:hanging="333"/>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Customer choice </w:t>
      </w:r>
      <w:r>
        <w:rPr>
          <w:rFonts w:ascii="Arial" w:cs="Arial" w:eastAsia="Arial" w:hAnsi="Arial"/>
          <w:sz w:val="16"/>
          <w:szCs w:val="16"/>
          <w:color w:val="auto"/>
        </w:rPr>
        <w:t>— We have built our business on the premise that our customers should be able to choose how</w:t>
      </w:r>
      <w:r>
        <w:rPr>
          <w:rFonts w:ascii="Arial" w:cs="Arial" w:eastAsia="Arial" w:hAnsi="Arial"/>
          <w:sz w:val="16"/>
          <w:szCs w:val="16"/>
          <w:i w:val="1"/>
          <w:iCs w:val="1"/>
          <w:color w:val="auto"/>
        </w:rPr>
        <w:t xml:space="preserve"> </w:t>
      </w:r>
      <w:r>
        <w:rPr>
          <w:rFonts w:ascii="Arial" w:cs="Arial" w:eastAsia="Arial" w:hAnsi="Arial"/>
          <w:sz w:val="16"/>
          <w:szCs w:val="16"/>
          <w:color w:val="auto"/>
        </w:rPr>
        <w:t>they interact with us--be it by telephone, or by means of their desktop or mobile device via email or the Internet.</w:t>
      </w:r>
    </w:p>
    <w:p>
      <w:pPr>
        <w:spacing w:after="0" w:line="123" w:lineRule="exact"/>
        <w:rPr>
          <w:rFonts w:ascii="Arial" w:cs="Arial" w:eastAsia="Arial" w:hAnsi="Arial"/>
          <w:sz w:val="16"/>
          <w:szCs w:val="16"/>
          <w:color w:val="auto"/>
        </w:rPr>
      </w:pPr>
    </w:p>
    <w:p>
      <w:pPr>
        <w:ind w:left="660" w:right="100" w:hanging="333"/>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Lowering transactions costs </w:t>
      </w:r>
      <w:r>
        <w:rPr>
          <w:rFonts w:ascii="Arial" w:cs="Arial" w:eastAsia="Arial" w:hAnsi="Arial"/>
          <w:sz w:val="18"/>
          <w:szCs w:val="18"/>
          <w:color w:val="auto"/>
        </w:rPr>
        <w:t>— Our website tools include robust product search features and Internet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(customized Web pages), which allow customers to quickly and easily find information about products of interest to them. If customers still have questions, they may call our telesales representatives or account managers. Such phone calls are typically shorter and have higher close rates than calls from customers who have not first visited our websites.</w:t>
      </w:r>
    </w:p>
    <w:p>
      <w:pPr>
        <w:spacing w:after="0" w:line="188" w:lineRule="exact"/>
        <w:rPr>
          <w:rFonts w:ascii="Arial" w:cs="Arial" w:eastAsia="Arial" w:hAnsi="Arial"/>
          <w:sz w:val="18"/>
          <w:szCs w:val="18"/>
          <w:color w:val="auto"/>
        </w:rPr>
      </w:pPr>
    </w:p>
    <w:p>
      <w:pPr>
        <w:jc w:val="both"/>
        <w:ind w:left="660" w:right="80" w:hanging="333"/>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Leveraging the time of experienced sales representatives </w:t>
      </w:r>
      <w:r>
        <w:rPr>
          <w:rFonts w:ascii="Arial" w:cs="Arial" w:eastAsia="Arial" w:hAnsi="Arial"/>
          <w:sz w:val="18"/>
          <w:szCs w:val="18"/>
          <w:color w:val="auto"/>
        </w:rPr>
        <w:t>— Our investments in technology-based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allow our sales representatives more time to build and maintain relationships with our customers and help them to solve their business problems.</w:t>
      </w:r>
    </w:p>
    <w:p>
      <w:pPr>
        <w:spacing w:after="0" w:line="18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b w:val="1"/>
          <w:bCs w:val="1"/>
          <w:i w:val="1"/>
          <w:iCs w:val="1"/>
          <w:color w:val="auto"/>
        </w:rPr>
        <w:t>Business Segments</w:t>
      </w:r>
      <w:r>
        <w:rPr>
          <w:rFonts w:ascii="Arial" w:cs="Arial" w:eastAsia="Arial" w:hAnsi="Arial"/>
          <w:sz w:val="18"/>
          <w:szCs w:val="18"/>
          <w:color w:val="auto"/>
        </w:rPr>
        <w:t>. We conduct our business operations through three business segments: Business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Solutions, and Public Sector Solutions.</w:t>
      </w:r>
    </w:p>
    <w:p>
      <w:pPr>
        <w:spacing w:after="0" w:line="170" w:lineRule="exact"/>
        <w:rPr>
          <w:sz w:val="20"/>
          <w:szCs w:val="20"/>
          <w:color w:val="auto"/>
        </w:rPr>
      </w:pPr>
    </w:p>
    <w:p>
      <w:pPr>
        <w:ind w:right="300" w:firstLine="729"/>
        <w:spacing w:after="0" w:line="312" w:lineRule="auto"/>
        <w:rPr>
          <w:sz w:val="20"/>
          <w:szCs w:val="20"/>
          <w:color w:val="auto"/>
        </w:rPr>
      </w:pPr>
      <w:r>
        <w:rPr>
          <w:rFonts w:ascii="Arial" w:cs="Arial" w:eastAsia="Arial" w:hAnsi="Arial"/>
          <w:sz w:val="16"/>
          <w:szCs w:val="16"/>
          <w:b w:val="1"/>
          <w:bCs w:val="1"/>
          <w:i w:val="1"/>
          <w:iCs w:val="1"/>
          <w:color w:val="auto"/>
        </w:rPr>
        <w:t>Business Solutions Segment</w:t>
      </w:r>
      <w:r>
        <w:rPr>
          <w:rFonts w:ascii="Arial" w:cs="Arial" w:eastAsia="Arial" w:hAnsi="Arial"/>
          <w:sz w:val="16"/>
          <w:szCs w:val="16"/>
          <w:color w:val="auto"/>
        </w:rPr>
        <w:t>. Our principal target markets in this segment are small-to-medium-sized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We use a combination of outbound telemarketing, including some on-site sales solicitation by business development managers, and Internet sales through customized Internet Business Accounts, to reach these customers.</w:t>
      </w:r>
    </w:p>
    <w:p>
      <w:pPr>
        <w:spacing w:after="0" w:line="147" w:lineRule="exact"/>
        <w:rPr>
          <w:sz w:val="20"/>
          <w:szCs w:val="20"/>
          <w:color w:val="auto"/>
        </w:rPr>
      </w:pPr>
    </w:p>
    <w:p>
      <w:pPr>
        <w:ind w:right="100" w:firstLine="729"/>
        <w:spacing w:after="0" w:line="285" w:lineRule="auto"/>
        <w:rPr>
          <w:sz w:val="20"/>
          <w:szCs w:val="20"/>
          <w:color w:val="auto"/>
        </w:rPr>
      </w:pPr>
      <w:r>
        <w:rPr>
          <w:rFonts w:ascii="Arial" w:cs="Arial" w:eastAsia="Arial" w:hAnsi="Arial"/>
          <w:sz w:val="16"/>
          <w:szCs w:val="16"/>
          <w:b w:val="1"/>
          <w:bCs w:val="1"/>
          <w:i w:val="1"/>
          <w:iCs w:val="1"/>
          <w:color w:val="auto"/>
        </w:rPr>
        <w:t>Enterprise Solutions Segment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our MoreDirect subsidiary’s custom designed Web-based system,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able to offer our larger corporate customers an efficient and effective method of sourcing, evaluating, purchasing, and tracking a wide variety of IT products and services. MoreDirect’s strategy is to be the primary single source procurement portal for its large corporate customers. MoreDirect’s sales representatives typically have ten to twenty years of experience and are located strategically across the United States. This allows them to work directly with customers, often on</w:t>
      </w:r>
    </w:p>
    <w:p>
      <w:pPr>
        <w:spacing w:after="0" w:line="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site. MoreDirect generally places its product orders with manufacturers and/or distribution companies for drop shipment directly to its customers.</w:t>
      </w:r>
    </w:p>
    <w:p>
      <w:pPr>
        <w:spacing w:after="0" w:line="184" w:lineRule="exact"/>
        <w:rPr>
          <w:sz w:val="20"/>
          <w:szCs w:val="20"/>
          <w:color w:val="auto"/>
        </w:rPr>
      </w:pPr>
    </w:p>
    <w:p>
      <w:pPr>
        <w:ind w:right="100" w:firstLine="729"/>
        <w:spacing w:after="0" w:line="302" w:lineRule="auto"/>
        <w:rPr>
          <w:sz w:val="20"/>
          <w:szCs w:val="20"/>
          <w:color w:val="auto"/>
        </w:rPr>
      </w:pPr>
      <w:r>
        <w:rPr>
          <w:rFonts w:ascii="Arial" w:cs="Arial" w:eastAsia="Arial" w:hAnsi="Arial"/>
          <w:sz w:val="16"/>
          <w:szCs w:val="16"/>
          <w:b w:val="1"/>
          <w:bCs w:val="1"/>
          <w:i w:val="1"/>
          <w:iCs w:val="1"/>
          <w:color w:val="auto"/>
        </w:rPr>
        <w:t>Public Sector Solutions Segment</w:t>
      </w:r>
      <w:r>
        <w:rPr>
          <w:rFonts w:ascii="Arial" w:cs="Arial" w:eastAsia="Arial" w:hAnsi="Arial"/>
          <w:sz w:val="16"/>
          <w:szCs w:val="16"/>
          <w:color w:val="auto"/>
        </w:rPr>
        <w:t>. We use a combination of outbound telemarketing, including some on-site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solicitation by business development managers, and Internet sales through customized Internet Business Accounts, to reach these customers. Through our GovConnection subsidiary, we target each of the four distinct market sectors within this segment—federal government, higher educational institutions, school grades K-12, and state and local governments.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relative distribution of net sales by business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Years Ended December 31,</w:t>
            </w: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08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2"/>
              </w:rPr>
              <w:t>Sales Segment</w:t>
            </w:r>
          </w:p>
        </w:tc>
        <w:tc>
          <w:tcPr>
            <w:tcW w:w="2000" w:type="dxa"/>
            <w:vAlign w:val="bottom"/>
            <w:tcBorders>
              <w:top w:val="single" w:sz="8" w:color="CCEEFF"/>
              <w:bottom w:val="single" w:sz="8" w:color="CCEEFF"/>
            </w:tcBorders>
            <w:shd w:val="clear" w:color="auto" w:fill="CCEEFF"/>
          </w:tcPr>
          <w:p>
            <w:pPr>
              <w:spacing w:after="0"/>
              <w:rPr>
                <w:sz w:val="16"/>
                <w:szCs w:val="16"/>
                <w:color w:val="auto"/>
              </w:rPr>
            </w:pPr>
          </w:p>
        </w:tc>
        <w:tc>
          <w:tcPr>
            <w:tcW w:w="22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Business Solutions</w:t>
            </w:r>
          </w:p>
        </w:tc>
        <w:tc>
          <w:tcPr>
            <w:tcW w:w="2960" w:type="dxa"/>
            <w:vAlign w:val="bottom"/>
            <w:gridSpan w:val="3"/>
          </w:tcPr>
          <w:p>
            <w:pPr>
              <w:jc w:val="right"/>
              <w:ind w:right="70"/>
              <w:spacing w:after="0"/>
              <w:rPr>
                <w:sz w:val="20"/>
                <w:szCs w:val="20"/>
                <w:color w:val="auto"/>
              </w:rPr>
            </w:pPr>
            <w:r>
              <w:rPr>
                <w:rFonts w:ascii="Arial" w:cs="Arial" w:eastAsia="Arial" w:hAnsi="Arial"/>
                <w:sz w:val="18"/>
                <w:szCs w:val="18"/>
                <w:color w:val="auto"/>
              </w:rPr>
              <w:t>40 %</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40 %</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1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Solutions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Public Sector Solutions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20" w:type="dxa"/>
            <w:vAlign w:val="bottom"/>
          </w:tcPr>
          <w:p>
            <w:pPr>
              <w:spacing w:after="0"/>
              <w:rPr>
                <w:sz w:val="19"/>
                <w:szCs w:val="19"/>
                <w:color w:val="auto"/>
              </w:rPr>
            </w:pPr>
          </w:p>
        </w:tc>
      </w:tr>
      <w:tr>
        <w:trPr>
          <w:trHeight w:val="85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40" w:type="dxa"/>
            <w:vAlign w:val="bottom"/>
          </w:tcPr>
          <w:p>
            <w:pPr>
              <w:jc w:val="right"/>
              <w:ind w:right="674"/>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brand, and each of Connection’s business segments, is supported by targeted marketing campaigns across a variety of media:</w:t>
      </w:r>
    </w:p>
    <w:p>
      <w:pPr>
        <w:spacing w:after="0" w:line="170"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b w:val="1"/>
          <w:bCs w:val="1"/>
          <w:i w:val="1"/>
          <w:iCs w:val="1"/>
          <w:color w:val="auto"/>
        </w:rPr>
        <w:t xml:space="preserve">Digital. </w:t>
      </w:r>
      <w:r>
        <w:rPr>
          <w:rFonts w:ascii="Arial" w:cs="Arial" w:eastAsia="Arial" w:hAnsi="Arial"/>
          <w:sz w:val="18"/>
          <w:szCs w:val="18"/>
          <w:color w:val="auto"/>
        </w:rPr>
        <w:t>We utilize a series of digital programs, in conjunction with advanced data analytics, to identify prospective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generate new leads within our existing customer base. These programs include website, email, blog, social media, electronic catalogs, webinars, and video/multimedia promotions.</w:t>
      </w:r>
    </w:p>
    <w:p>
      <w:pPr>
        <w:spacing w:after="0" w:line="18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b w:val="1"/>
          <w:bCs w:val="1"/>
          <w:i w:val="1"/>
          <w:iCs w:val="1"/>
          <w:color w:val="auto"/>
        </w:rPr>
        <w:t xml:space="preserve">Print. </w:t>
      </w:r>
      <w:r>
        <w:rPr>
          <w:rFonts w:ascii="Arial" w:cs="Arial" w:eastAsia="Arial" w:hAnsi="Arial"/>
          <w:sz w:val="16"/>
          <w:szCs w:val="16"/>
          <w:color w:val="auto"/>
        </w:rPr>
        <w:t>Connection produces a variety of print media, including direct mail pieces and Connected, a quarterly publication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provides informative articles on the latest technologies and industry trends. We distribute specialty catalogs to education, healthcare, and government customers and prospective customers on a periodic basis. The Company’s MacConnection</w:t>
      </w:r>
      <w:r>
        <w:rPr>
          <w:rFonts w:ascii="Arial" w:cs="Arial" w:eastAsia="Arial" w:hAnsi="Arial"/>
          <w:sz w:val="7"/>
          <w:szCs w:val="7"/>
          <w:color w:val="auto"/>
        </w:rPr>
        <w:t>®</w:t>
      </w:r>
      <w:r>
        <w:rPr>
          <w:rFonts w:ascii="Arial" w:cs="Arial" w:eastAsia="Arial" w:hAnsi="Arial"/>
          <w:sz w:val="16"/>
          <w:szCs w:val="16"/>
          <w:color w:val="auto"/>
        </w:rPr>
        <w:t xml:space="preserve"> brand publishes an eponymous catalog for the Apple market. These publications showcase the depth of our in-house expertise in the marketplace and extend Connection’s brand to a wide audience of IT decision makers.</w:t>
      </w:r>
    </w:p>
    <w:p>
      <w:pPr>
        <w:spacing w:after="0" w:line="158"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b w:val="1"/>
          <w:bCs w:val="1"/>
          <w:i w:val="1"/>
          <w:iCs w:val="1"/>
          <w:color w:val="auto"/>
        </w:rPr>
        <w:t xml:space="preserve">Specialty Marketing. </w:t>
      </w:r>
      <w:r>
        <w:rPr>
          <w:rFonts w:ascii="Arial" w:cs="Arial" w:eastAsia="Arial" w:hAnsi="Arial"/>
          <w:sz w:val="17"/>
          <w:szCs w:val="17"/>
          <w:color w:val="auto"/>
        </w:rPr>
        <w:t>In addition to our digital and print marketing efforts, Connection maintains a strong presence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tradeshows and conventions across the country, including a number of healthcare and education IT conferences. Connection also hosts a series of Technology Summits each year, with a focus on building stronger relationships with our customers and reinforcing our reputation as a trusted source of expertise.</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We maintain an extensive database of customers and prospects. However, no single customer accounted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3% of our consolidated revenue in 2017. While no single agency of the federal government comprised more than 3% of total sales, aggregate sales to the federal government were 7.8%, 7.5%, and 6.7% in 2017, 2016, and 2015, respectively. The loss of any single customer would not have a material adverse effect on any of our business segments. In addition, we do not have individual orders in our backlog that are material to our business, as we typically ship products within hours of receipt of orders.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MERCHANDISING</w:t>
      </w:r>
    </w:p>
    <w:p>
      <w:pPr>
        <w:spacing w:after="0" w:line="22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continuously focus on expanding the breadth of our product and service offerings. We currently offer our customers over 300,000 information technology products designed for business applications from more than 1,600 vendors, including hardware and peripherals, accessories, networking products, and software. We select the products we sell based upon their technology and effectiveness, market demand, product features, quality, price, margins, and warranties. The following table sets forth our percentage of net sales (in dollars) for major product categories:</w:t>
      </w:r>
    </w:p>
    <w:p>
      <w:pPr>
        <w:spacing w:after="0" w:line="178"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PERCENTAGE OF</w:t>
      </w:r>
    </w:p>
    <w:p>
      <w:pPr>
        <w:jc w:val="center"/>
        <w:ind w:left="6360"/>
        <w:spacing w:after="0" w:line="236" w:lineRule="auto"/>
        <w:rPr>
          <w:sz w:val="20"/>
          <w:szCs w:val="20"/>
          <w:color w:val="auto"/>
        </w:rPr>
      </w:pPr>
      <w:r>
        <w:rPr>
          <w:rFonts w:ascii="Arial" w:cs="Arial" w:eastAsia="Arial" w:hAnsi="Arial"/>
          <w:sz w:val="14"/>
          <w:szCs w:val="14"/>
          <w:b w:val="1"/>
          <w:bCs w:val="1"/>
          <w:color w:val="auto"/>
        </w:rPr>
        <w:t>NET SALES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20" w:type="dxa"/>
            <w:vAlign w:val="bottom"/>
          </w:tcPr>
          <w:p>
            <w:pPr>
              <w:spacing w:after="0"/>
              <w:rPr>
                <w:sz w:val="12"/>
                <w:szCs w:val="12"/>
                <w:color w:val="auto"/>
              </w:rPr>
            </w:pPr>
          </w:p>
        </w:tc>
        <w:tc>
          <w:tcPr>
            <w:tcW w:w="2380" w:type="dxa"/>
            <w:vAlign w:val="bottom"/>
            <w:tcBorders>
              <w:top w:val="single" w:sz="8" w:color="auto"/>
              <w:bottom w:val="single" w:sz="8" w:color="auto"/>
            </w:tcBorders>
            <w:gridSpan w:val="5"/>
          </w:tcPr>
          <w:p>
            <w:pPr>
              <w:jc w:val="right"/>
              <w:ind w:right="293"/>
              <w:spacing w:after="0" w:line="142" w:lineRule="exact"/>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12"/>
                <w:szCs w:val="12"/>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Notebooks/Mobility</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Servers/Storage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Net/Com Product</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Hardware/Services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r>
      <w:tr>
        <w:trPr>
          <w:trHeight w:val="217"/>
        </w:trPr>
        <w:tc>
          <w:tcPr>
            <w:tcW w:w="6520" w:type="dxa"/>
            <w:vAlign w:val="bottom"/>
          </w:tcPr>
          <w:p>
            <w:pPr>
              <w:ind w:left="2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offer a 30-day right of return generally limited to defective merchandise. Returns of non-defective products are subject to restocking fees. Substantially all of the products marketed by us are warranted by the manufacturer. We generally accept returns directly from the customer and then either credit the customer’s account or ship the customer a replacement or similar product from our inventory.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AND VENDOR RELATIONS</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Product purchases from Ingram Micro, Inc., or Ingram, our largest supplier, accounted for approximately 22% of our total product purchases in 2017 and 21% in both 2016 and 2015. Purchases from Synnex Corporation, or Synnex, comprised 12%, 13%, and 15% of our total product purchases in 2017, 2016, and 2015, respectively. Purchases from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Hewlett-Packard Company, or HP, accounted for approximately 11% of our total product purchases in 2017 and 9% in both 2016 and 2015. Purchases from Tech Data, comprised of 11% in 2017 and 8% in both 2016 and 2015. No other vendor supplied more than 10% of our total product purchases in 2017, 2016, or 2015. We believe that, while we may experience some short-term disruption if products from Ingram, Synnex, HP and/or Tech Data become unavailable to us, alternative sources for products obtained directly from Ingram, Synnex, HP and Tech Data are available to us.</w:t>
      </w:r>
    </w:p>
    <w:p>
      <w:pPr>
        <w:spacing w:after="0" w:line="173"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Products manufactured by HP represented 20% of our net sales in both 2017 and 2016, and 22% in 2015. We believe that in the event we experience either a short-term or permanent disruption of supply of HP products, such disruption would likely have a material adverse effect on our results of operations and cash flows.</w:t>
      </w:r>
    </w:p>
    <w:p>
      <w:pPr>
        <w:spacing w:after="0" w:line="16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Many product suppliers reimburse us for advertisements or other cooperative marketing programs in our catalogs and other marketing vehicles. Reimbursements may be in the form of discounts, advertising allowances, and/or rebates. We also receive allowances from certain vendors based upon the volume of our purchases or sales of the vendors’ products by</w:t>
      </w:r>
    </w:p>
    <w:p>
      <w:pPr>
        <w:ind w:right="300"/>
        <w:spacing w:after="0" w:line="290" w:lineRule="auto"/>
        <w:rPr>
          <w:sz w:val="20"/>
          <w:szCs w:val="20"/>
          <w:color w:val="auto"/>
        </w:rPr>
      </w:pPr>
      <w:r>
        <w:rPr>
          <w:rFonts w:ascii="Arial" w:cs="Arial" w:eastAsia="Arial" w:hAnsi="Arial"/>
          <w:sz w:val="17"/>
          <w:szCs w:val="17"/>
          <w:color w:val="auto"/>
        </w:rPr>
        <w:t>us. Some of our vendors offer limited price protection in the form of rebates or credits against future purchases. We may also participate in end-of-life product and other special purchases which may not be eligible for price protection.</w:t>
      </w:r>
    </w:p>
    <w:p>
      <w:pPr>
        <w:spacing w:after="0" w:line="162"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believe that we have excellent relationships with our vendors. We generally pay vendors within stated terms, or earlier when favorable cash discounts are offered. We believe our high volume of purchases enables us to obtain product pricing and terms that are competitive with those available to other national IT solutions providers. Although brand names and individual product offerings are important to our business, we believe that competitive products are available in substantially all of the merchandise categories offered by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fulfill orders from customers both from products we hold in inventory and through drop shipping arrangements with manufacturers and distributors. At our 283,000 square foot distribution and fulfillment complex in Wilmington, Ohio, we receive and ship inventory, configure computer systems, depot maintenance, and process returned products. Orders are transmitted electronically from our various sales facilities to our Wilmington distribution center after credit approval, where packaging documentation is printed automatically and order fulfillment takes place. Our customers are given several shipping options, ranging from expedited overnight delivery through our Everything Overnight™ service to normal ground freight service. Through our Everything Overnight™ service, orders accepted up until 7:00 p.m. Eastern Time, can be shipped from our distribution center for overnight delivery via United Parcel Service, or UPS, or FedEx Corporation. Upon request, orders may also be shipped by other common carriers.</w:t>
      </w:r>
    </w:p>
    <w:p>
      <w:pPr>
        <w:spacing w:after="0" w:line="18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also place product orders directly with manufacturers and/or distribution companies for drop shipment directly to our customers. Order status with distributors is tracked online, and in all circumstances, a confirmation of shipment from manufacturers and/or distribution companies is received prior to initial recording of the transaction. At the end of each financial reporting period, revenue is adjusted to reflect the anticipated receipt of products by the customers in the</w:t>
      </w:r>
    </w:p>
    <w:p>
      <w:pPr>
        <w:spacing w:after="0" w:line="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period. Products drop shipped by suppliers were 77%, 75%, and 74% of net sales in 2017, 2016, and 2015, respectively. In future years, we expect that products drop shipped from suppliers may increase, both in dollars and as a percentage of net sales, as we seek to lower our overall inventory and distribution costs while maintaining excellent customer service.</w:t>
      </w:r>
    </w:p>
    <w:p>
      <w:pPr>
        <w:spacing w:after="0" w:line="15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Certain of our larger customers occasionally request special staged delivery arrangements under which either we or our distribution partners set aside and temporarily hold inventory on our customer’s behalf. Such orders are firm delivery orders, and customers generally pay under normal credit terms, regardless of delivery. Revenue on such transactions is not recorded until shipment to their final destination as requested by the customer. Inventory held for such staged delivery requests aggregated $32.0 million and $23.2 million at December 31, 2017 and 2016, respectively.</w:t>
      </w:r>
    </w:p>
    <w:p>
      <w:pPr>
        <w:spacing w:after="0" w:line="173" w:lineRule="exact"/>
        <w:rPr>
          <w:sz w:val="20"/>
          <w:szCs w:val="20"/>
          <w:color w:val="auto"/>
        </w:rPr>
      </w:pPr>
    </w:p>
    <w:p>
      <w:pPr>
        <w:ind w:right="280" w:firstLine="324"/>
        <w:spacing w:after="0" w:line="220" w:lineRule="exact"/>
        <w:rPr>
          <w:sz w:val="20"/>
          <w:szCs w:val="20"/>
          <w:color w:val="auto"/>
        </w:rPr>
      </w:pPr>
      <w:r>
        <w:rPr>
          <w:rFonts w:ascii="Arial" w:cs="Arial" w:eastAsia="Arial" w:hAnsi="Arial"/>
          <w:sz w:val="17"/>
          <w:szCs w:val="17"/>
          <w:color w:val="auto"/>
        </w:rPr>
        <w:t>We maintain inventories of fast moving products that account for a high percentage of our ongoing product sales transactions and sales dollars. We may also, from time to time, make large inventory purchases of certain first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market products or end</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life products to obtain favorable purchasing discounts. We also maintain sufficient inventory levels of high volume components and accessories used for configuration services.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subsidiaries utilize management information systems which have been significantly customized for our use. These systems permit centralized management of key functions, including order taking and processing, inventory and accounts receivable management, purchasing, sales, and distribution, and the preparation of daily operating control reports on key aspects of the business. We also operate advanced telecommunications equipment to support our sales and customer service operations. Key elements of the telecommunications systems are integrated with our computer systems to provide timely customer information to sales and service representatives, and to facilitate the preparation of operating and performance data.</w:t>
      </w:r>
    </w:p>
    <w:p>
      <w:pPr>
        <w:spacing w:after="0" w:line="16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MoreDirect has developed a custom designed Internet-based system, TRAXX®. This system is an integrated application of sales order processing, integrated supply chain visibility, and has full Electronic Data Interchange (EDI) links with major manufacturers’ distribution partners for product information, availability, pricing, ordering, delivery, and tracking, including related accounting functions.</w:t>
      </w:r>
    </w:p>
    <w:p>
      <w:pPr>
        <w:spacing w:after="0" w:line="18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success is dependent in large part on the accuracy and proper use of our information systems, including our telephone systems, to manage our inventory and accounts receivable collections, to purchase, sell, and ship our products efficiently and on a timely basis, and to maintain cost-efficient operations. We expect to continue upgrading our information systems in the future to more effectively manage our operations and customer database.</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investments in IT infrastructure are designed to enable us to operate more efficiently. In October 2017, we began a multi-year initiative to upgrade our IT infrastructure, and accordingly we expect our related capital investments to range from $15.0 to $18.0 million over the next two years. For further discussion see “Liquidity and Capital Resources” of Item 7 “Management’s Discussion and Analysis of Financial Condition and Results of Operations”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The direct marketing and sale of IT related products is highly competitive. We compete with other national solutions providers of IT products, including CDW Corporation and Insight Enterprises, Inc., who are much larger than we are. We also compete with:</w:t>
      </w:r>
    </w:p>
    <w:p>
      <w:pPr>
        <w:spacing w:after="0" w:line="181" w:lineRule="exact"/>
        <w:rPr>
          <w:sz w:val="20"/>
          <w:szCs w:val="20"/>
          <w:color w:val="auto"/>
        </w:rPr>
      </w:pPr>
    </w:p>
    <w:p>
      <w:pPr>
        <w:ind w:left="660" w:right="24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product manufacturers that sell directly to customers as well as some of our own suppliers, such as Apple, Dell, HP, and Lenovo;</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software publishers, such as Microsoft, VMware, Adobe, and Symantec;</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distributors that sell directly to certain customers;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and regional VARs;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various franchisers, office supply superstores, and national computer retailers;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e-tailers, such as Amazon Web Services, with more extensive commercial online networks.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Additional competition may arise if other new methods of distribution emerge in the future. We compete not only for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customers, but also for favorable product allocations and cooperative advertising support from product</w:t>
      </w:r>
    </w:p>
    <w:p>
      <w:pPr>
        <w:spacing w:after="0" w:line="9"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manufacturers. Several of our competitors are larger than we are and have substantially greater financial resources. These and other factors related to our competitive position are discussed more fully in the “Overview” of Item 7, “Management’s Discussion and Analysis of Financial Condition and Results of Operations” of this Annual Report on Form 10-K.</w:t>
      </w:r>
    </w:p>
    <w:p>
      <w:pPr>
        <w:spacing w:after="0" w:line="15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believe that price, product selection and availability, solutions capabilities, and service and support are the most important competitive factors in our industry.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trademarks include, among others, Connection®, PC Connection®, GovConnection®, MacConnection®, we solve IT®, Everything Overnight®, The Connection™, HealthConnection</w:t>
      </w:r>
      <w:r>
        <w:rPr>
          <w:rFonts w:ascii="Arial" w:cs="Arial" w:eastAsia="Arial" w:hAnsi="Arial"/>
          <w:sz w:val="8"/>
          <w:szCs w:val="8"/>
          <w:color w:val="auto"/>
        </w:rPr>
        <w:t>TM</w:t>
      </w:r>
      <w:r>
        <w:rPr>
          <w:rFonts w:ascii="Arial" w:cs="Arial" w:eastAsia="Arial" w:hAnsi="Arial"/>
          <w:sz w:val="17"/>
          <w:szCs w:val="17"/>
          <w:color w:val="auto"/>
        </w:rPr>
        <w:t>, Mobile Connection®, Cloud Connection®, ServiceConnection®, ProConnection™, Education Connection®, MoreDirect A PC Connection Company®, TRAXX®, WebSPOC®, Softmart®, GlobalServe</w:t>
      </w:r>
      <w:r>
        <w:rPr>
          <w:rFonts w:ascii="Arial" w:cs="Arial" w:eastAsia="Arial" w:hAnsi="Arial"/>
          <w:sz w:val="8"/>
          <w:szCs w:val="8"/>
          <w:color w:val="auto"/>
        </w:rPr>
        <w:t>TM</w:t>
      </w:r>
      <w:r>
        <w:rPr>
          <w:rFonts w:ascii="Arial" w:cs="Arial" w:eastAsia="Arial" w:hAnsi="Arial"/>
          <w:sz w:val="17"/>
          <w:szCs w:val="17"/>
          <w:color w:val="auto"/>
        </w:rPr>
        <w:t>, Raccoon Character</w:t>
      </w:r>
      <w:r>
        <w:rPr>
          <w:rFonts w:ascii="Arial" w:cs="Arial" w:eastAsia="Arial" w:hAnsi="Arial"/>
          <w:sz w:val="8"/>
          <w:szCs w:val="8"/>
          <w:color w:val="auto"/>
        </w:rPr>
        <w:t>TM</w:t>
      </w:r>
      <w:r>
        <w:rPr>
          <w:rFonts w:ascii="Arial" w:cs="Arial" w:eastAsia="Arial" w:hAnsi="Arial"/>
          <w:sz w:val="17"/>
          <w:szCs w:val="17"/>
          <w:color w:val="auto"/>
        </w:rPr>
        <w:t>, and their related logos and all iterations thereof. We intend to use and protect these and our other marks, as we deem necessary. We believe our trademarks have significant value and are an important factor in the marketing of our products. We do not maintain a traditional research and development group, but we work closely with computer product manufacturers and other technology developers to stay abreast of the latest developments in computer technology, with respect to the products we both sell and use.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 FORCE</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of December 31, 2017, we employed 2,505 persons (full-time equivalent), of whom 1,228 (including 392 management and support personnel) were engaged in sales-related activities, 469 were engaged in providing IT services and customer service and support, 520 were engaged in purchasing, marketing, and distribution-related activities, 89 were engaged in the operation and development of management information systems, and 199 were engaged in administrative and finance functions. We consider our employee relations to be good. Our employees are not represented by a labor union, and we have never experienced a labor related work stoppage.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We cannot assure investors that our assumptions and expectations will prove to have been correct. Important factors could cause our actual results to differ materially from those indicated or implied by forward-looking statements. Such factors that could cause or contribute to such differences include those factors discussed below. We undertake no intention or obligation to update or revise any forward-looking statements, whether as a result of new information, future events, or otherwise. If any of the following risks actually occur, our business, financial condition, or results of operations would likely suffer.</w:t>
      </w:r>
    </w:p>
    <w:p>
      <w:pPr>
        <w:spacing w:after="0" w:line="189"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Instability in economic conditions in the financial markets may adversely affect our business and reduce our operating results.</w:t>
      </w:r>
    </w:p>
    <w:p>
      <w:pPr>
        <w:spacing w:after="0" w:line="16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business has been affected by changes in economic conditions that are outside of our control, including reductions in business investment, loss of consumer confidence, and fiscal uncertainty at both federal and state government</w:t>
      </w:r>
    </w:p>
    <w:p>
      <w:pPr>
        <w:ind w:right="80"/>
        <w:spacing w:after="0" w:line="302" w:lineRule="auto"/>
        <w:rPr>
          <w:sz w:val="20"/>
          <w:szCs w:val="20"/>
          <w:color w:val="auto"/>
        </w:rPr>
      </w:pPr>
      <w:r>
        <w:rPr>
          <w:rFonts w:ascii="Arial" w:cs="Arial" w:eastAsia="Arial" w:hAnsi="Arial"/>
          <w:sz w:val="16"/>
          <w:szCs w:val="16"/>
          <w:color w:val="auto"/>
        </w:rPr>
        <w:t>levels. Reductions in federal government spending may result in significant reductions in program funding. Uncertainty also exists regarding expected economic conditions both globally and in the United States, and future delays or reductions in IT spending could have a material adverse effect on demand for our products and consequently on our financial results.</w:t>
      </w:r>
    </w:p>
    <w:p>
      <w:pPr>
        <w:spacing w:after="0" w:line="15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Despite the recent increase in general economic optimism, there is always a risk that heightened economic expectations may not be realized. Economic instability may arise, and it is difficult to predict to what extent our business may be adversely affected. However, if IT spending should again decline, we are likely to experience an adverse impact, which may be material on our business and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variability in sales and may not be able to maintain profitable operations.</w:t>
      </w:r>
    </w:p>
    <w:p>
      <w:pPr>
        <w:spacing w:after="0" w:line="229"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Several factors have caused our results of operations to fluctuate and we expect some of these fluctuations to continue. Causes of these fluctuations include:</w:t>
      </w:r>
    </w:p>
    <w:p>
      <w:pPr>
        <w:spacing w:after="0" w:line="170"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shifts in customer demand that affect our distribution models, including demand for total solutions;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customers to competitors;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shipments of new products or upgrades;</w:t>
      </w:r>
    </w:p>
    <w:p>
      <w:pPr>
        <w:spacing w:after="0" w:line="225" w:lineRule="exact"/>
        <w:rPr>
          <w:rFonts w:ascii="Arial" w:cs="Arial" w:eastAsia="Arial" w:hAnsi="Arial"/>
          <w:sz w:val="18"/>
          <w:szCs w:val="18"/>
          <w:color w:val="auto"/>
        </w:rPr>
      </w:pPr>
    </w:p>
    <w:p>
      <w:pPr>
        <w:ind w:left="660" w:right="62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overall demand and timing of product shipments related to economic markets and to government spending;</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vendor distribution of products;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product offerings and in merchandise returns;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distribution models as a result of cloud and software-as-a-service, or SaaS;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weather conditions that affect response, distribution, or shipping.</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results also may vary based on our ability to manage personnel levels in response to fluctuations in revenue. We base personnel levels and other operating expenditures on sales forecasts. If our revenues do not meet anticipated levels in the future, we may not be able to reduce our staffing levels and operating expenses in a timely manner to avoid significant losses from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competition could reduce our market share and may negatively affect our business.</w:t>
      </w:r>
    </w:p>
    <w:p>
      <w:pPr>
        <w:spacing w:after="0" w:line="22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direct marketing industry and the computer products retail business, in particular, are highly competitive. We compete with other national solutions providers of hardware and software and computer related products, including CDW Corporation and Insight Enterprises, Inc., each of which is much larger than we are. Certain hardware and software vendors, such as Apple, Dell, Lenovo, and HP, who provide products to us, also sell their products directly to end users through their own catalogs, stores, and via the Internet. We also compete with computer retail stores and websites, who are increasingly selling to business customers and may become a significant competitor. We compete not only for customers, but also for advertising support from IT product manufacturers. Some of our competitors have larger customer bases and greater financial, marketing, and other resources than we do. In addition, some of our competitors offer a wider range of products and services than we do and may be able to respond more quickly to new or changing opportunities, technologies, and customer requirements. Many current and potential competitors also have greater name recognition, engage in more extensive promotional activities, and adopt pricing policies that are more aggressive than ours. We expect competition to increase as retailers and solution providers who have not traditionally sold computers and related products enter the industry.</w:t>
      </w:r>
    </w:p>
    <w:p>
      <w:pPr>
        <w:spacing w:after="0" w:line="16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product resellers and national solutions providers are combining operations or acquiring or merging with other resellers and national solutions providers to increase efficiency. Moreover, current and potential competitors have established or may establish cooperative relationships among themselves or with third parties to enhance their products and services. Accordingly, it is possible that new competitors or alliances among competitors may emerge and acquire significant market share. We may not be able to continue to compete effectively against our current or future competitors. If we encounter new competition or fail to compete effectively against our competitors, our business may be harmed.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and will continue to face significant price competition.</w:t>
      </w:r>
    </w:p>
    <w:p>
      <w:pPr>
        <w:spacing w:after="0" w:line="229" w:lineRule="exact"/>
        <w:rPr>
          <w:sz w:val="20"/>
          <w:szCs w:val="20"/>
          <w:color w:val="auto"/>
        </w:rPr>
      </w:pPr>
    </w:p>
    <w:p>
      <w:pPr>
        <w:ind w:right="340" w:firstLine="324"/>
        <w:spacing w:after="0" w:line="276" w:lineRule="auto"/>
        <w:rPr>
          <w:sz w:val="20"/>
          <w:szCs w:val="20"/>
          <w:color w:val="auto"/>
        </w:rPr>
      </w:pPr>
      <w:r>
        <w:rPr>
          <w:rFonts w:ascii="Arial" w:cs="Arial" w:eastAsia="Arial" w:hAnsi="Arial"/>
          <w:sz w:val="17"/>
          <w:szCs w:val="17"/>
          <w:color w:val="auto"/>
        </w:rPr>
        <w:t>Generally, pricing is very aggressive in our industry, and we expect pricing pressures to escalate should economic conditions deteriorate. An increase in price competition could result in a reduction of our profit margins. We may not be able to offset the effects of price reductions with an increase in the number of customers, higher sales, cost reductions, or otherwise. Such pricing pressures could result in an erosion of our market share, reduced sales, and reduced operating margins, any of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Virtualization of IT resources and applications, including networks, servers, applications, and data storage may disrupt or alter our traditional distribution models.</w:t>
      </w:r>
    </w:p>
    <w:p>
      <w:pPr>
        <w:spacing w:after="0" w:line="16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customers can access, through a cloud-based platform, business-critical solutions without the significant initial capital investment required for dedicated infrastructure. Growing demand for the development of cloud-based solutions may reduce demand for some of our existing hardware products. If the transition to an environment characterized by cloud-based computing and software being delivered as a service progresses, we will likely increase investments in this area before knowing whether our sales forecasts will accurately reflect customer demand for these products, services, and solutions. We may not be able to effectively compete using these virtual distribution models. Our inability to compete effectively with current or future virtual distribution model competitors, or adapt to a cloud-based environment,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a reduction in the incentive programs offered to us by our vendors.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Some product manufacturers and distributors provide us with incentives such as supplier reimbursements, payment discounts, price protection, rebates, and other similar arrangements. The increasingly competitive technology reseller market has already resulted in the following:</w:t>
      </w:r>
    </w:p>
    <w:p>
      <w:pPr>
        <w:spacing w:after="0" w:line="181"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 or elimination of some of these incentive programs;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restrictive price protection and other terms;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advertising allowances and incentives.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Many product suppliers provide us with advertising allowances, and in exchange, we feature their products on our website, and in our catalogs and other marketing vehicles. These vendor allowances, to the extent that they represent specific reimbursements of incremental and identifiable costs, are offset against SG&amp;A expenses. Advertising allowances that cannot be associated with a specific program funded by an individual vendor or that exceed the fair value of advertising expense associated with that program are classified as offsets to cost of sales or inventory. In the past, we have experienced a decrease in the level of vendor consideration available to us from certain manufacturers. The level of such consideration we receive from some manufacturers may decline in the future. Such a decline could decrease our gross profit and have a material adverse effect on our earnings and cash flows.</w:t>
      </w:r>
    </w:p>
    <w:p>
      <w:pPr>
        <w:spacing w:after="0" w:line="175"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Our business could be materially adversely affected by system failures, interruption, integration issues, or security lapses of our information technology systems or those of our third-party providers.</w:t>
      </w:r>
    </w:p>
    <w:p>
      <w:pPr>
        <w:spacing w:after="0" w:line="142"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ability to effectively manage our business depends significantly on our information systems and infrastructure as well as, in certain instances those of our business partners and third-party providers. The failure of our current systems to operate effectively or to integrate with other systems, including integration of upgrades to better meet the changing needs of our customers, could result in transaction errors, processing inefficiencies, and the loss of sales and customers. In addition, cybersecurity threats are evolving and include, but are not limited to, malicious software, attempts to gain unauthorized access to company or customer data, denial of service attacks, the processing of fraudulent transactions, and other electronic security breaches that could lead to disruptions in critical systems, unauthorized release of confidential or otherwise protected information, and corruption of data. In our case, these attacks and attempted attacks have generally been in the form of active intrusion attempts from the internet, passive vulnerability mapping from the internet, and internal malware and or phishing attempts delivered through user actions. Although we have in place various processes, procedures, and controls to monitor and mitigate these threats, these measures may not be sufficient to prevent a material security threat or mitigate these risks for our customers. If any of these events were to materialize, they could lead to disruption of our operations or loss of sensitive information as well as subject us to regulatory actions, litigation, or damage to our reputation, and could have a material adverse effect on our financial position, results of operations, and cash flows. Similar risks exist with respect to our business partners and third-party providers. As a result, we are subject to the risk that the activities of our business partners and third-party providers may adversely affect our business even if an attack or breach does not directly impact our systems.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could experience Internet and other system failures which would interfere with our ability to process orders.</w:t>
      </w:r>
    </w:p>
    <w:p>
      <w:pPr>
        <w:spacing w:after="0" w:line="241"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We depend on the accuracy and proper use of our management information systems, including our telephone system. Many of our key functions depend on the quality and effective utilization of the information generated by our management information systems, including:</w:t>
      </w:r>
    </w:p>
    <w:p>
      <w:pPr>
        <w:spacing w:after="0" w:line="181" w:lineRule="exact"/>
        <w:rPr>
          <w:sz w:val="20"/>
          <w:szCs w:val="20"/>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purchase, sell, and ship products efficiently and on a timely basis;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inventory and accounts receivable collection;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operations.</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management information systems require continual upgrades to most effectively manage our operations and customer database. Although we maintain some redundant systems, with full data backup, a significant component of our computer and telecommunications hardware is located in a single facility in New Hampshire, and a substantial interruption in our management information systems or in our telephone communication systems, including those resulting from extreme weather and natural disasters, as well as power loss, telecommunications failure, or similar events, would substantially hinder our ability to process customer orders and thus could have a material adverse effect on our business.</w:t>
      </w:r>
    </w:p>
    <w:p>
      <w:pPr>
        <w:spacing w:after="0" w:line="161"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Should our financial performance not meet expectations, we may be required to record a significant charge to earnings for impairment of goodwill and other intangibles.</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test goodwill for impairment each year and more frequently if potential impairment indicators arise. Although the fair value of our Business Solutions and Enterprise Solutions reporting units substantially exceeded their carrying value at our annual impairment test, should the financial performance of a reporting unit not meet expectations due to the economy or otherwise, we would likely adjust downward expected future operating results and cash flows. Such adjustment may result in a determination that the carrying value of goodwill and other intangibles for a reporting unit exceeds its fair value. This determination may in turn require that we record a significant non-cash charge to earnings to reduce the $73.6 million aggregate carrying amount of goodwill held by our Business Solutions and Enterprise Solutions reporting units, resulting in a negative effect on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failure to comply with our public sector contracts could result in, among other things, fines or liabilities.</w:t>
      </w:r>
    </w:p>
    <w:p>
      <w:pPr>
        <w:spacing w:after="0" w:line="241" w:lineRule="exact"/>
        <w:rPr>
          <w:sz w:val="20"/>
          <w:szCs w:val="20"/>
          <w:color w:val="auto"/>
        </w:rPr>
      </w:pPr>
    </w:p>
    <w:p>
      <w:pPr>
        <w:ind w:right="560" w:firstLine="324"/>
        <w:spacing w:after="0" w:line="291" w:lineRule="auto"/>
        <w:rPr>
          <w:sz w:val="20"/>
          <w:szCs w:val="20"/>
          <w:color w:val="auto"/>
        </w:rPr>
      </w:pPr>
      <w:r>
        <w:rPr>
          <w:rFonts w:ascii="Arial" w:cs="Arial" w:eastAsia="Arial" w:hAnsi="Arial"/>
          <w:sz w:val="16"/>
          <w:szCs w:val="16"/>
          <w:color w:val="auto"/>
        </w:rPr>
        <w:t>Revenues from the Public Sector Solutions segment are derived from sales to federal, state, and local government departments and agencies, as well as to educational institutions, through various contracts and open market</w:t>
      </w:r>
    </w:p>
    <w:p>
      <w:pPr>
        <w:ind w:right="180"/>
        <w:spacing w:after="0" w:line="290" w:lineRule="auto"/>
        <w:rPr>
          <w:sz w:val="20"/>
          <w:szCs w:val="20"/>
          <w:color w:val="auto"/>
        </w:rPr>
      </w:pPr>
      <w:r>
        <w:rPr>
          <w:rFonts w:ascii="Arial" w:cs="Arial" w:eastAsia="Arial" w:hAnsi="Arial"/>
          <w:sz w:val="16"/>
          <w:szCs w:val="16"/>
          <w:color w:val="auto"/>
        </w:rPr>
        <w:t>sales. Government contracting is a highly regulated area. Noncompliance with government procurement regulations or contract provisions could result in civil, criminal, and administrative liability, including substantial monetary fines or damages, termination of government contracts, and suspension, debarment, or ineligibility from doing business with the government. Our current arrangements with these government agencies allow them to cancel orders with little or no notice and do not require them to purchase products from us in the future. The effect of any of these possible actions by any government department or agency could adversely affect our financial position, results of operations, and cash flows.</w:t>
      </w:r>
    </w:p>
    <w:p>
      <w:pPr>
        <w:spacing w:after="0" w:line="16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acquire a majority of our products for resale from a limited number of vendors. The loss of any one of these vendors could have a material adverse effect on our business.</w:t>
      </w:r>
    </w:p>
    <w:p>
      <w:pPr>
        <w:spacing w:after="0" w:line="16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acquire products for resale both directly from manufacturers and increasingly indirectly through distributors and other sources. The five vendors supplying the greatest amount of goods to us constituted 61% of our total product purchases in the year ended December 31, 2017 and 59% and 61% in 2016 and 2015, respectively. Among these five suppliers, product purchases from Ingram, our largest supplier, accounted for approximately 22% of our total product purchases in 2017 and 21% in both 2016 and 2015. Purchases from Synnex comprised 12%, 13%, and 15% of our total product purchases in 2017, 2016, and 2015, respectively. Purchases from HP accounted for approximately 11% of our total product purchases in 2017 and 9% in both 2016 and 2015. Purchases from Tech Data comprised of 11% of our total product purchases in 2017 and 8% in both 2016 and 2015. No other vendor supplied more than 10% of our total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product purchases in 2017, 2016, or 2015. If we were unable to acquire products from Ingram, Synnex, HP or Tech Data, we could experience a short-term disruption in the availability of products, and such disruption could have a material adverse effect on our results of operations and cash flows.</w:t>
      </w:r>
    </w:p>
    <w:p>
      <w:pPr>
        <w:spacing w:after="0" w:line="181"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Products manufactured by HP represented 20% of our net sales in both 2017 and 2016, and 22% in 2015. We believe that in the event we experience either a short-term or permanent disruption of supply of HP products, such disruption would likely have a material adverse effect on our results of operations and cash flows.</w:t>
      </w:r>
    </w:p>
    <w:p>
      <w:pPr>
        <w:spacing w:after="0" w:line="16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Substantially all of our contracts and arrangements with our vendors that supply significant quantities of products are terminable by such vendors or us without notice or upon short notice. Most of our product vendors provide us with trade credit, of which the net amount outstanding at December 31, 2017 was $194.3 million. Termination, interruption, or contraction of relationships with our vendors, including a reduction in the level of trade credit provided to us, could have a material adverse effect on our financial position.</w:t>
      </w:r>
    </w:p>
    <w:p>
      <w:pPr>
        <w:spacing w:after="0" w:line="188"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Some product manufacturers either do not permit us to sell the full line of their products or limit the number of product units available to national solutions providers such as us. An element of our business strategy is to continue increasing our participation in first-to-market purchase opportunities. The availability of certain desired products, especially in the direct marketing channel, has been constrained in the past. We could experience a material adverse effect to our business if we are unable to source first-to-market purchases or similar opportunities, or if significant availability constraints reoccur.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exposed to inventory obsolescence due to the rapid technological changes occurring in the IT industry.</w:t>
      </w:r>
    </w:p>
    <w:p>
      <w:pPr>
        <w:spacing w:after="0" w:line="241" w:lineRule="exact"/>
        <w:rPr>
          <w:sz w:val="20"/>
          <w:szCs w:val="20"/>
          <w:color w:val="auto"/>
        </w:rPr>
      </w:pPr>
    </w:p>
    <w:p>
      <w:pPr>
        <w:ind w:firstLine="324"/>
        <w:spacing w:after="0" w:line="217" w:lineRule="exact"/>
        <w:rPr>
          <w:sz w:val="20"/>
          <w:szCs w:val="20"/>
          <w:color w:val="auto"/>
        </w:rPr>
      </w:pPr>
      <w:r>
        <w:rPr>
          <w:rFonts w:ascii="Arial" w:cs="Arial" w:eastAsia="Arial" w:hAnsi="Arial"/>
          <w:sz w:val="17"/>
          <w:szCs w:val="17"/>
          <w:color w:val="auto"/>
        </w:rPr>
        <w:t>The market for IT products is characterized by rapid technological change and the frequent introduction of new products and product enhancements. Our success depends in large part on our ability to identify and market products that meet the needs of customers in that marketplace. In order to satisfy customer demand and to obtain favorable purchasing discounts, we have and may continue to carry increased inventory levels of certain products. By so doing, we are subject to the increased risk of inventory obsolescence. Also, in order to implement our business strategy, we intend to continue, among other things, placing larger than typical inventory stocking orders of selected products and increasing our participation in first-to-market purchase opportunities. We may also, from time to time, make large inventory purchases of certain end</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life products, which would increase the risk of inventory obsolescence. In addition, we sometimes acquire special purchase products without return privileges. For these and other reasons, we may not be able to avoid losses related to obsolete inventory. Manufacturers have limited return rights and have taken steps to reduce their inventory exposure by supporting “configure</w:t>
      </w:r>
      <w:r>
        <w:rPr>
          <w:rFonts w:ascii="MS PGothic" w:cs="MS PGothic" w:eastAsia="MS PGothic" w:hAnsi="MS PGothic"/>
          <w:sz w:val="17"/>
          <w:szCs w:val="17"/>
          <w:color w:val="auto"/>
        </w:rPr>
        <w:t>‑</w:t>
      </w:r>
      <w:r>
        <w:rPr>
          <w:rFonts w:ascii="Arial" w:cs="Arial" w:eastAsia="Arial" w:hAnsi="Arial"/>
          <w:sz w:val="17"/>
          <w:szCs w:val="17"/>
          <w:color w:val="auto"/>
        </w:rPr>
        <w:t>to-order” programs authorizing distributors and resellers to assemble computer hardware under the manufacturers’ brands. These actions reduce the costs to manufacturers and shift the burden of inventory risk to resellers like us, which could negatively impact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key personnel.</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future performance will depend to a significant extent upon the efforts and abilities of our senior executives and other key management personnel. The current environment for qualified management personnel in the computer products industry is very competitive, and the loss of service of one or more of these persons could have an adverse effect on our business. Our success and plans for future growth will also depend on our ability to hire, train, and retain skilled personnel in all areas of our business, especially sales representatives and technical support personnel. We may not be able to attract, train, and retain sufficient qualified personnel to achieve our business objectives.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methods of distributing IT products are changing, and such changes may negatively impact us and our business.</w:t>
      </w:r>
    </w:p>
    <w:p>
      <w:pPr>
        <w:spacing w:after="0" w:line="252"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manner in which IT hardware and software is distributed and sold is changing, and new methods of distribution and sale have emerged, including distribution through cloud-based and SaaS solutions. In addition, hardware and software manufacturers have sold, and may intensify their efforts to sell, their products directly to end users. From time to time, certain manufacturers have instituted programs for the direct sales of large order quantities of hardware and software to certain major corporate accounts. These types of programs may continue to be developed and used by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various manufacturers. Some of our vendors, including Apple, Dell, HP, and Lenovo, currently sell some of their products directly to end users and have stated their intentions to increase the level of such direct sales. In addition, manufacturers may attempt to increase the volume of software products distributed electronically to end users. An increase in the volume of products sold through or used by consumers of any of these competitive programs, or our inability to effectively adapt our business to increased electronic distribution of products and services to end users could have a material adverse effect on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heavily on third-party shippers to deliver our products to customers.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Many of our customers elect to have their purchases shipped by an interstate common carrier, such as UPS or FedEx Corporation. A strike or other interruption in service by these shippers could adversely affect our ability to market or deliver products to customers on a timely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disasters, terrorism, and other circumstances could materially adversely affect our business</w:t>
      </w:r>
      <w:r>
        <w:rPr>
          <w:rFonts w:ascii="Arial" w:cs="Arial" w:eastAsia="Arial" w:hAnsi="Arial"/>
          <w:sz w:val="18"/>
          <w:szCs w:val="18"/>
          <w:i w:val="1"/>
          <w:iCs w:val="1"/>
          <w:color w:val="auto"/>
        </w:rPr>
        <w:t>.</w:t>
      </w:r>
    </w:p>
    <w:p>
      <w:pPr>
        <w:spacing w:after="0" w:line="229"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Natural disasters, terrorism, and other business interruptions have caused and could cause damage or disruption to international commerce and the global economy, and thus could have a negative effect on the Company, its suppliers, logistics providers, manufacturing vendors, and customers. Our business operations are subject to interruption by natural disasters, fire, power shortages, nuclear power plant accidents, terrorist attacks, and other hostile acts, and other events beyond our control. Such events could decrease demand for our products, make it difficult or impossible for us to deliver services or products to our customers, or to receive products from our suppliers, and create delays and inefficiencies in our supply chain. In the event of a natural disaster or other business interruption, significant recovery time and substantial expenditures could be required to resume operations and our financial condition, results of operations, and cash flows could be materially adversely affected.</w:t>
      </w:r>
    </w:p>
    <w:p>
      <w:pPr>
        <w:spacing w:after="0" w:line="17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may experience increases in shipping and postage costs, which may adversely affect our business if we are not able to pass such increases on to our customers.</w:t>
      </w:r>
    </w:p>
    <w:p>
      <w:pPr>
        <w:spacing w:after="0" w:line="16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Shipping costs are a significant expense in the operation of our business. Increases in postal or shipping rates could significantly impact the cost of shipping customer orders and mailing our catalogs. Postage prices and shipping rates increase periodically, and we have no control over future increases. We have a long-term contract with UPS, and believe that we have negotiated favorable shipping rates with our carriers. While we generally invoice customers for shipping and handling charges, we may not be able to pass on to our customers the full cost, including any future increases in the cost, of commercial delivery services, which would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continued development of electronic commerce and Internet infrastructure development.</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continue to have increasing levels of sales made through our e-commerce sites. The on-line experience for our clients continues to improve, but the competitive nature of the e-commerce channel also continues to increase. Growth of our overall sales is dependent on customers continuing to expand their on-line purchases in addition to traditional channels to purchase products and services. We cannot accurately predict the rate at which on-line purchases will expand.</w:t>
      </w:r>
    </w:p>
    <w:p>
      <w:pPr>
        <w:spacing w:after="0" w:line="154"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Our success in growing our Internet business will depend in large part upon our development of an increasingly sophisticated e-commerce experience and infrastructure. Increasing customer sophistication requires that we provide additional website features and functionality in order to be competitive in the marketplace and maintain market share. We will continue to iterate our website features, but we cannot predict future trends and required functionality or our adoption rate for customer preferences. As the number of on-line users continues to grow, such growth may impact the performance of our existing Internet infrastructure.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uncertainties relating to unclaimed property and the collection of state sales and use tax.</w:t>
      </w:r>
    </w:p>
    <w:p>
      <w:pPr>
        <w:spacing w:after="0" w:line="229"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We collect and remit sales and use taxes in states in which we have either voluntarily registered or have a physical presence. Various states have sought to impose on direct marketers the burden of collecting state sales and use taxes 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sales of products shipped to their residents. Many states have adopted rules that require companies and their affiliates to register in those states as a condition of doing business with those state agencies. Our three sales companies are registered in substantially all states, however, if a state were to determine that our earlier contacts with that state exceeded the constitutionally permitted contacts, the state could assess a tax liability relating to our prior year sales. Various states have from time-to-time initiated unclaimed property audits of our company escheatment practices. A multi-state unclaimed property audit continues to be in process, and total accruals for unclaimed property aggregated $0.9 million at December 31, 2017.</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Privacy concerns with respect to list development and maintenance may materially adversely affect our business.</w:t>
      </w:r>
    </w:p>
    <w:p>
      <w:pPr>
        <w:spacing w:after="0" w:line="252"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mail catalogs and other promotional materials to names in our customer database and to potential customers whose names we obtain from rented or exchanged mailing lists. Public concern regarding the protection of personal information has subjected the rental and use of customer mailing lists and other customer information to increased scrutiny. Legislation enacted limiting or prohibiting the use of rented or exchanged mailing lists could negatively affect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two principal stockholders.</w:t>
      </w:r>
    </w:p>
    <w:p>
      <w:pPr>
        <w:spacing w:after="0" w:line="229"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Patricia Gallup and David Hall, our two principal stockholders, beneficially own or control, in the aggregate, approximately 55% of the outstanding shares of our common stock as of December 31, 2017. Because of their beneficial stock ownership, these stockholders can continue to elect the members of the Board of Directors and decide all matters requiring stockholder approval at a meeting or by a written consent in lieu of a meeting. Similarly, such stockholders can control decisions to adopt, amend, or repeal our charter and our bylaws, or take other actions requiring the vote or consent of our stockholders and prevent a takeover of us by one or more third parties, or sell or otherwise transfer their stock to a third party, which could deprive our stockholders of a control premium that might otherwise be realized by them in connection with an acquisition of our Company. Such control may result in decisions that are not in the best interest of our public stockholders. In connection with our initial public offering, the principal stockholders placed substantially all shares of common stock beneficially owned by them into a voting trust, pursuant to which they are required to agree as to the manner of voting such shares in order for the shares to be voted. Such provisions could discourage bids for our common stock at a premium as well as have a negative impact on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lease our corporate headquarters located at 730 Milford Road, Merrimack, New Hampshire 03054-4631, from an affiliated company, G&amp;H Post, which is related to us through common ownership. The initial term of the fifteen-year lease ended in November 2013, and we amended the lease in May 2014 to extend the term for an additional five years. In addition to the rent payable under the facility lease, we are required to pay real estate taxes, insurance, and common area maintenance charges. The amended lease has been recorded as an operating lease in the financial statements.</w:t>
      </w:r>
    </w:p>
    <w:p>
      <w:pPr>
        <w:spacing w:after="0" w:line="1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August 2008, we entered into a lease agreement with G&amp;H Post, which is related to us through common ownership, for an office facility adjacent to our corporate headquarters. The lease has a term of ten years and provides us with an option to renew the lease for two additional two-year terms, at the then comparable market rate. The lease requires us to pay our proportionate share of real estate taxes and common area maintenance charges as either additional rent or directly to third parties and also to pay insurance premiums for the leased property. The lease has been recorded as an operating lease in the financial statements.</w:t>
      </w:r>
    </w:p>
    <w:p>
      <w:pPr>
        <w:spacing w:after="0" w:line="193" w:lineRule="exact"/>
        <w:rPr>
          <w:sz w:val="20"/>
          <w:szCs w:val="20"/>
          <w:color w:val="auto"/>
        </w:rPr>
      </w:pPr>
    </w:p>
    <w:p>
      <w:pPr>
        <w:jc w:val="both"/>
        <w:ind w:right="240" w:firstLine="324"/>
        <w:spacing w:after="0" w:line="312" w:lineRule="auto"/>
        <w:rPr>
          <w:sz w:val="20"/>
          <w:szCs w:val="20"/>
          <w:color w:val="auto"/>
        </w:rPr>
      </w:pPr>
      <w:r>
        <w:rPr>
          <w:rFonts w:ascii="Arial" w:cs="Arial" w:eastAsia="Arial" w:hAnsi="Arial"/>
          <w:sz w:val="16"/>
          <w:szCs w:val="16"/>
          <w:color w:val="auto"/>
        </w:rPr>
        <w:t>In August 2014, we entered into a ten-year lease for a facility in Wilmington, Ohio, which houses our distribution and order fulfillment operations. We also operate sales and support offices throughout the United States and lease facilities at these locations. Leasehold improvements associated with these properties are amortized over the terms of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leases or their useful lives, whichever is shorter. We believe that our physical properties will be sufficient to support our anticipated needs through the next twelve months and beyond.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are subject to audits by states on sales and income taxes, unclaimed property, employment matters, and other assessments. While management believes that known and estimated liabilities have been adequately provided for, it is too early to determine the ultimate outcome of such audits, as formal assessments have not been finalized. Additional liabilities for this and other audits could be assessed, and such outcomes could have a material, negative impact on our financial position, results of operations, and cash flows.</w:t>
      </w:r>
    </w:p>
    <w:p>
      <w:pPr>
        <w:spacing w:after="0" w:line="18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are subject to various legal proceedings and claims, including patent infringement claims, which have arisen during the ordinary course of business. In the opinion of management, the outcome of such matters is not expected to have a material effect on our business,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PC Connection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executive officers and their ages as of March 9, 2018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3"/>
          </w:tcPr>
          <w:p>
            <w:pPr>
              <w:ind w:left="120"/>
              <w:spacing w:after="0"/>
              <w:rPr>
                <w:sz w:val="20"/>
                <w:szCs w:val="20"/>
                <w:color w:val="auto"/>
              </w:rPr>
            </w:pPr>
            <w:r>
              <w:rPr>
                <w:rFonts w:ascii="Arial" w:cs="Arial" w:eastAsia="Arial" w:hAnsi="Arial"/>
                <w:sz w:val="18"/>
                <w:szCs w:val="18"/>
                <w:color w:val="auto"/>
              </w:rPr>
              <w:t>Name</w:t>
            </w:r>
          </w:p>
        </w:tc>
        <w:tc>
          <w:tcPr>
            <w:tcW w:w="1240" w:type="dxa"/>
            <w:vAlign w:val="bottom"/>
            <w:gridSpan w:val="3"/>
          </w:tcPr>
          <w:p>
            <w:pPr>
              <w:jc w:val="center"/>
              <w:ind w:left="90"/>
              <w:spacing w:after="0"/>
              <w:rPr>
                <w:sz w:val="20"/>
                <w:szCs w:val="20"/>
                <w:color w:val="auto"/>
              </w:rPr>
            </w:pPr>
            <w:r>
              <w:rPr>
                <w:rFonts w:ascii="Arial" w:cs="Arial" w:eastAsia="Arial" w:hAnsi="Arial"/>
                <w:sz w:val="18"/>
                <w:szCs w:val="18"/>
                <w:color w:val="auto"/>
                <w:w w:val="93"/>
              </w:rPr>
              <w:t>Age</w:t>
            </w:r>
          </w:p>
        </w:tc>
        <w:tc>
          <w:tcPr>
            <w:tcW w:w="5700" w:type="dxa"/>
            <w:vAlign w:val="bottom"/>
            <w:gridSpan w:val="3"/>
          </w:tcPr>
          <w:p>
            <w:pPr>
              <w:ind w:left="360"/>
              <w:spacing w:after="0"/>
              <w:rPr>
                <w:sz w:val="20"/>
                <w:szCs w:val="20"/>
                <w:color w:val="auto"/>
              </w:rPr>
            </w:pPr>
            <w:r>
              <w:rPr>
                <w:rFonts w:ascii="Arial" w:cs="Arial" w:eastAsia="Arial" w:hAnsi="Arial"/>
                <w:sz w:val="18"/>
                <w:szCs w:val="18"/>
                <w:color w:val="auto"/>
              </w:rPr>
              <w:t>Position</w:t>
            </w:r>
          </w:p>
        </w:tc>
      </w:tr>
      <w:tr>
        <w:trPr>
          <w:trHeight w:val="21"/>
        </w:trPr>
        <w:tc>
          <w:tcPr>
            <w:tcW w:w="1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16"/>
        </w:trPr>
        <w:tc>
          <w:tcPr>
            <w:tcW w:w="2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Patricia Gallup</w:t>
            </w:r>
          </w:p>
        </w:tc>
        <w:tc>
          <w:tcPr>
            <w:tcW w:w="8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63</w:t>
            </w:r>
          </w:p>
        </w:tc>
        <w:tc>
          <w:tcPr>
            <w:tcW w:w="38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Chair and Chief Administrative Officer</w:t>
            </w:r>
          </w:p>
        </w:tc>
      </w:tr>
      <w:tr>
        <w:trPr>
          <w:trHeight w:val="216"/>
        </w:trPr>
        <w:tc>
          <w:tcPr>
            <w:tcW w:w="2120" w:type="dxa"/>
            <w:vAlign w:val="bottom"/>
            <w:gridSpan w:val="3"/>
          </w:tcPr>
          <w:p>
            <w:pPr>
              <w:ind w:left="120"/>
              <w:spacing w:after="0"/>
              <w:rPr>
                <w:sz w:val="20"/>
                <w:szCs w:val="20"/>
                <w:color w:val="auto"/>
              </w:rPr>
            </w:pPr>
            <w:r>
              <w:rPr>
                <w:rFonts w:ascii="Arial" w:cs="Arial" w:eastAsia="Arial" w:hAnsi="Arial"/>
                <w:sz w:val="18"/>
                <w:szCs w:val="18"/>
                <w:color w:val="auto"/>
              </w:rPr>
              <w:t>Timothy McGrath</w:t>
            </w:r>
          </w:p>
        </w:tc>
        <w:tc>
          <w:tcPr>
            <w:tcW w:w="8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59</w:t>
            </w:r>
          </w:p>
        </w:tc>
        <w:tc>
          <w:tcPr>
            <w:tcW w:w="380" w:type="dxa"/>
            <w:vAlign w:val="bottom"/>
          </w:tcPr>
          <w:p>
            <w:pPr>
              <w:spacing w:after="0"/>
              <w:rPr>
                <w:sz w:val="18"/>
                <w:szCs w:val="18"/>
                <w:color w:val="auto"/>
              </w:rPr>
            </w:pPr>
          </w:p>
        </w:tc>
        <w:tc>
          <w:tcPr>
            <w:tcW w:w="5700" w:type="dxa"/>
            <w:vAlign w:val="bottom"/>
            <w:gridSpan w:val="3"/>
          </w:tcPr>
          <w:p>
            <w:pPr>
              <w:ind w:left="36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 William Schulze</w:t>
            </w:r>
          </w:p>
        </w:tc>
        <w:tc>
          <w:tcPr>
            <w:tcW w:w="8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57</w:t>
            </w:r>
          </w:p>
        </w:tc>
        <w:tc>
          <w:tcPr>
            <w:tcW w:w="38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Vice President, Interim Treasurer and Chief Financial Officer</w:t>
            </w:r>
          </w:p>
        </w:tc>
      </w:tr>
    </w:tbl>
    <w:p>
      <w:pPr>
        <w:spacing w:after="0" w:line="202"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b w:val="1"/>
          <w:bCs w:val="1"/>
          <w:i w:val="1"/>
          <w:iCs w:val="1"/>
          <w:color w:val="auto"/>
        </w:rPr>
        <w:t xml:space="preserve">Patricia Gallup </w:t>
      </w:r>
      <w:r>
        <w:rPr>
          <w:rFonts w:ascii="Arial" w:cs="Arial" w:eastAsia="Arial" w:hAnsi="Arial"/>
          <w:sz w:val="18"/>
          <w:szCs w:val="18"/>
          <w:color w:val="auto"/>
        </w:rPr>
        <w:t>is a co-founder of PC Connection and has served as Chair of the Board since September 1994,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Administrative Officer since August 2011. Ms. Gallup has served as a member of our executive management team since 1982.</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 xml:space="preserve">Timothy McGrath </w:t>
      </w:r>
      <w:r>
        <w:rPr>
          <w:rFonts w:ascii="Arial" w:cs="Arial" w:eastAsia="Arial" w:hAnsi="Arial"/>
          <w:sz w:val="17"/>
          <w:szCs w:val="17"/>
          <w:color w:val="auto"/>
        </w:rPr>
        <w:t>has served as Chief Executive Officer since August 2011, and as President since May 2010.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McGrath has served as a member of our executive management team since he joined the Company in 2005.</w:t>
      </w:r>
    </w:p>
    <w:p>
      <w:pPr>
        <w:spacing w:after="0" w:line="89"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b w:val="1"/>
          <w:bCs w:val="1"/>
          <w:i w:val="1"/>
          <w:iCs w:val="1"/>
          <w:color w:val="auto"/>
        </w:rPr>
        <w:t xml:space="preserve">G. William Schulze </w:t>
      </w:r>
      <w:r>
        <w:rPr>
          <w:rFonts w:ascii="Arial" w:cs="Arial" w:eastAsia="Arial" w:hAnsi="Arial"/>
          <w:sz w:val="18"/>
          <w:szCs w:val="18"/>
          <w:color w:val="auto"/>
        </w:rPr>
        <w:t>has served as Interim Treasurer and Chief Financial Officer since October 2016, and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Corporate Controller since October 2011. From December 1998 to October 2011, Mr. Schulze served in various finance management roles at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60" w:right="220" w:hanging="647"/>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common stock commenced trading on March 3, 1998, on the Nasdaq Global Select Market and trades today under the symbol “CNXN.” As of February 26, 2018, there were 26,852,785 shares of our common stock outstanding, held by approximately 48 stockholders of record. This figure does not include an estimate of the number of beneficial holders whose shares are held of record by brokerage firms.</w:t>
      </w:r>
    </w:p>
    <w:p>
      <w:pPr>
        <w:spacing w:after="0" w:line="187" w:lineRule="exact"/>
        <w:rPr>
          <w:sz w:val="20"/>
          <w:szCs w:val="20"/>
          <w:color w:val="auto"/>
        </w:rPr>
      </w:pPr>
    </w:p>
    <w:p>
      <w:pPr>
        <w:ind w:right="400" w:firstLine="324"/>
        <w:spacing w:after="0" w:line="258" w:lineRule="auto"/>
        <w:rPr>
          <w:sz w:val="20"/>
          <w:szCs w:val="20"/>
          <w:color w:val="auto"/>
        </w:rPr>
      </w:pPr>
      <w:r>
        <w:rPr>
          <w:rFonts w:ascii="Arial" w:cs="Arial" w:eastAsia="Arial" w:hAnsi="Arial"/>
          <w:sz w:val="18"/>
          <w:szCs w:val="18"/>
          <w:color w:val="auto"/>
        </w:rPr>
        <w:t>The following table sets forth for the fiscal periods indicated the range of high and low sales prices for our common stock on the Nasdaq Global Select Market.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ind w:left="268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4"/>
                <w:szCs w:val="14"/>
                <w:color w:val="auto"/>
              </w:rPr>
            </w:pPr>
          </w:p>
        </w:tc>
      </w:tr>
      <w:tr>
        <w:trPr>
          <w:trHeight w:val="210"/>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Quarter Ended:</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December 31</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$ 29.23</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$ 25.72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June 30</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29.64</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25.65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78"/>
        </w:trPr>
        <w:tc>
          <w:tcPr>
            <w:tcW w:w="5640" w:type="dxa"/>
            <w:vAlign w:val="bottom"/>
          </w:tcPr>
          <w:p>
            <w:pPr>
              <w:ind w:left="268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24"/>
                <w:szCs w:val="24"/>
                <w:color w:val="auto"/>
              </w:rPr>
            </w:pPr>
          </w:p>
        </w:tc>
      </w:tr>
      <w:tr>
        <w:trPr>
          <w:trHeight w:val="210"/>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Quarter Ended:</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December 31</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$ 29.40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$ 22.81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June 30</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25.48</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22.55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2017, we declared a special cash dividend of $0.34 per share. The total cash payment of $9.1 million was made on January 12, 2018 to stockholders of record at the close of business on December 29, 2017. In 2016, we declared a special cash dividend of $0.34 per share. The total cash payment of $9.0 million was made on January 12, 2017 to stockholders of record at the close of business on December 30, 2016. We have no current plans to pay additional cash dividends on our common stock in the foreseeable future, and declaration of any future cash dividends will depend upon our financial position, strategic plans, and general business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Authorization</w:t>
      </w:r>
    </w:p>
    <w:p>
      <w:pPr>
        <w:spacing w:after="0" w:line="22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On March 28, 2001, our Board of Directors authorized the spending of up to $15.0 million to repurchase our common stock. We consider block repurchases directly from larger stockholders, as well as open market purchases, in carrying out our ongoing stock repurchase program.</w:t>
      </w:r>
    </w:p>
    <w:p>
      <w:pPr>
        <w:spacing w:after="0" w:line="18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We did not repurchase any shares in 2016 or 2017. As of December 31, 2017, we have repurchased an aggregate of 1,682,119 shares for $12.2 million under our Board approved 2001 repurchase program. The maximum approximate dollar value of shares that may yet be purchased under this Board authorized program is $2.8 million.</w:t>
      </w:r>
    </w:p>
    <w:p>
      <w:pPr>
        <w:spacing w:after="0" w:line="166" w:lineRule="exact"/>
        <w:rPr>
          <w:sz w:val="20"/>
          <w:szCs w:val="20"/>
          <w:color w:val="auto"/>
        </w:rPr>
      </w:pPr>
    </w:p>
    <w:p>
      <w:pPr>
        <w:ind w:right="340" w:firstLine="324"/>
        <w:spacing w:after="0" w:line="276" w:lineRule="auto"/>
        <w:rPr>
          <w:sz w:val="20"/>
          <w:szCs w:val="20"/>
          <w:color w:val="auto"/>
        </w:rPr>
      </w:pPr>
      <w:r>
        <w:rPr>
          <w:rFonts w:ascii="Arial" w:cs="Arial" w:eastAsia="Arial" w:hAnsi="Arial"/>
          <w:sz w:val="17"/>
          <w:szCs w:val="17"/>
          <w:color w:val="auto"/>
        </w:rPr>
        <w:t>On February 11, 2014, our Board approved a new share repurchase program authorizing up to $15.0 million in share repurchases. There is no fixed termination date for this repurchase program. Purchases may be made in open-market transactions, block transactions on or off an exchange, or in privately negotiated transactions. We intend to complete the 2001 repurchase program before repurchasing shares under the new program. The timing and amount of any share repurchases will be based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the Exchange Act, each as amended, except to the extent that we specifically incorporate it by reference into such filing.</w:t>
      </w:r>
    </w:p>
    <w:p>
      <w:pPr>
        <w:spacing w:after="0" w:line="14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following stock performance graph compares cumulative total stockholder return on our common stock for the period from January 1, 2012 through December 31, 2017 with the cumulative total return for (i) the Nasdaq Stock Market Composite and (ii) the Nasdaq Retail Trade Stocks (Peer Group) for the period starting January 1, 2012 and ending December 31, 2017. This graph assumes the investment of $100 on January 1, 2012 in our common stock and in each of the two Nasdaq indices, and that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128905</wp:posOffset>
            </wp:positionV>
            <wp:extent cx="5351145" cy="2838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5114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Base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8"/>
              </w:rPr>
              <w:t>Years Ended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Period</w:t>
            </w: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line="142" w:lineRule="exact"/>
              <w:rPr>
                <w:sz w:val="20"/>
                <w:szCs w:val="20"/>
                <w:color w:val="auto"/>
              </w:rPr>
            </w:pPr>
            <w:r>
              <w:rPr>
                <w:rFonts w:ascii="Arial" w:cs="Arial" w:eastAsia="Arial" w:hAnsi="Arial"/>
                <w:sz w:val="14"/>
                <w:szCs w:val="14"/>
                <w:b w:val="1"/>
                <w:bCs w:val="1"/>
                <w:color w:val="auto"/>
              </w:rPr>
              <w:t>Company Name / Index</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12-Dec</w:t>
            </w:r>
          </w:p>
        </w:tc>
        <w:tc>
          <w:tcPr>
            <w:tcW w:w="8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13-Dec</w:t>
            </w: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14-Dec</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15-Dec</w:t>
            </w:r>
          </w:p>
        </w:tc>
        <w:tc>
          <w:tcPr>
            <w:tcW w:w="7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16-Dec</w:t>
            </w: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17-Dec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PC Connection, Inc.</w:t>
            </w: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219.88</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221.03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207.51</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260.61</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246.30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Nasdaq Stock Market-Composite</w:t>
            </w:r>
          </w:p>
        </w:tc>
        <w:tc>
          <w:tcPr>
            <w:tcW w:w="1860" w:type="dxa"/>
            <w:vAlign w:val="bottom"/>
            <w:gridSpan w:val="3"/>
          </w:tcPr>
          <w:p>
            <w:pPr>
              <w:jc w:val="center"/>
              <w:ind w:left="1230"/>
              <w:spacing w:after="0"/>
              <w:rPr>
                <w:sz w:val="20"/>
                <w:szCs w:val="20"/>
                <w:color w:val="auto"/>
              </w:rPr>
            </w:pPr>
            <w:r>
              <w:rPr>
                <w:rFonts w:ascii="Arial" w:cs="Arial" w:eastAsia="Arial" w:hAnsi="Arial"/>
                <w:sz w:val="18"/>
                <w:szCs w:val="18"/>
                <w:color w:val="auto"/>
                <w:w w:val="90"/>
              </w:rPr>
              <w:t>100.00</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140.12</w:t>
            </w:r>
          </w:p>
        </w:tc>
        <w:tc>
          <w:tcPr>
            <w:tcW w:w="1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160.78</w:t>
            </w:r>
          </w:p>
        </w:tc>
        <w:tc>
          <w:tcPr>
            <w:tcW w:w="720" w:type="dxa"/>
            <w:vAlign w:val="bottom"/>
            <w:gridSpan w:val="3"/>
          </w:tcPr>
          <w:p>
            <w:pPr>
              <w:jc w:val="center"/>
              <w:ind w:left="76"/>
              <w:spacing w:after="0"/>
              <w:rPr>
                <w:sz w:val="20"/>
                <w:szCs w:val="20"/>
                <w:color w:val="auto"/>
              </w:rPr>
            </w:pPr>
            <w:r>
              <w:rPr>
                <w:rFonts w:ascii="Arial" w:cs="Arial" w:eastAsia="Arial" w:hAnsi="Arial"/>
                <w:sz w:val="18"/>
                <w:szCs w:val="18"/>
                <w:color w:val="auto"/>
                <w:w w:val="87"/>
              </w:rPr>
              <w:t>171.97</w:t>
            </w:r>
          </w:p>
        </w:tc>
        <w:tc>
          <w:tcPr>
            <w:tcW w:w="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187.22</w:t>
            </w:r>
          </w:p>
        </w:tc>
        <w:tc>
          <w:tcPr>
            <w:tcW w:w="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242.71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Nasdaq Retail Trade (Peer Index)</w:t>
            </w:r>
          </w:p>
        </w:tc>
        <w:tc>
          <w:tcPr>
            <w:tcW w:w="1860" w:type="dxa"/>
            <w:vAlign w:val="bottom"/>
            <w:gridSpan w:val="3"/>
            <w:shd w:val="clear" w:color="auto" w:fill="CCEEFF"/>
          </w:tcPr>
          <w:p>
            <w:pPr>
              <w:jc w:val="center"/>
              <w:ind w:left="1230"/>
              <w:spacing w:after="0"/>
              <w:rPr>
                <w:sz w:val="20"/>
                <w:szCs w:val="20"/>
                <w:color w:val="auto"/>
              </w:rPr>
            </w:pPr>
            <w:r>
              <w:rPr>
                <w:rFonts w:ascii="Arial" w:cs="Arial" w:eastAsia="Arial" w:hAnsi="Arial"/>
                <w:sz w:val="18"/>
                <w:szCs w:val="18"/>
                <w:color w:val="auto"/>
                <w:w w:val="90"/>
              </w:rPr>
              <w:t>100.00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129.59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143.32</w:t>
            </w:r>
          </w:p>
        </w:tc>
        <w:tc>
          <w:tcPr>
            <w:tcW w:w="720" w:type="dxa"/>
            <w:vAlign w:val="bottom"/>
            <w:gridSpan w:val="3"/>
            <w:shd w:val="clear" w:color="auto" w:fill="CCEEFF"/>
          </w:tcPr>
          <w:p>
            <w:pPr>
              <w:jc w:val="center"/>
              <w:ind w:left="76"/>
              <w:spacing w:after="0"/>
              <w:rPr>
                <w:sz w:val="20"/>
                <w:szCs w:val="20"/>
                <w:color w:val="auto"/>
              </w:rPr>
            </w:pPr>
            <w:r>
              <w:rPr>
                <w:rFonts w:ascii="Arial" w:cs="Arial" w:eastAsia="Arial" w:hAnsi="Arial"/>
                <w:sz w:val="18"/>
                <w:szCs w:val="18"/>
                <w:color w:val="auto"/>
                <w:w w:val="87"/>
              </w:rPr>
              <w:t>149.25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150.96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342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following selected financial data should be read in conjunction with our Consolidated Financial Statements and the Notes thereto, and “Management’s Discussion and Analysis of Financial Condition and Results of Operations” and other financial information included elsewhere in this Annual Report on Form 10-K.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4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1"/>
              </w:rPr>
              <w:t>(dollars in thousands, except per share)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Consolidated Statement of Operations Data: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2,911,883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2,692,592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2,573,973</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2,463,339</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2,221,638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2,529,807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2,321,435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2,232,954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2,139,950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1,928,638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382,076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371,157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323,389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Selling, general and administrative expenses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304,549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290,637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77,527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80,520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78,554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71,454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Income before taxes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77,625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80,453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54,857</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48,111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46,827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42,681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earnings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tcPr>
          <w:p>
            <w:pPr>
              <w:ind w:left="200"/>
              <w:spacing w:after="0" w:line="203" w:lineRule="exact"/>
              <w:rPr>
                <w:sz w:val="20"/>
                <w:szCs w:val="20"/>
                <w:color w:val="auto"/>
              </w:rPr>
            </w:pPr>
            <w:r>
              <w:rPr>
                <w:rFonts w:ascii="Arial" w:cs="Arial" w:eastAsia="Arial" w:hAnsi="Arial"/>
                <w:sz w:val="18"/>
                <w:szCs w:val="18"/>
                <w:color w:val="auto"/>
              </w:rPr>
              <w:t>Diluted earnings per share</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left="418"/>
              <w:spacing w:after="0"/>
              <w:rPr>
                <w:sz w:val="20"/>
                <w:szCs w:val="20"/>
                <w:color w:val="auto"/>
              </w:rPr>
            </w:pPr>
            <w:r>
              <w:rPr>
                <w:rFonts w:ascii="Arial" w:cs="Arial" w:eastAsia="Arial" w:hAnsi="Arial"/>
                <w:sz w:val="14"/>
                <w:szCs w:val="14"/>
                <w:b w:val="1"/>
                <w:bCs w:val="1"/>
                <w:color w:val="auto"/>
                <w:w w:val="90"/>
              </w:rPr>
              <w:t>As of December 31,</w:t>
            </w: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4"/>
          </w:tcPr>
          <w:p>
            <w:pPr>
              <w:jc w:val="center"/>
              <w:ind w:left="458"/>
              <w:spacing w:after="0"/>
              <w:rPr>
                <w:sz w:val="20"/>
                <w:szCs w:val="20"/>
                <w:color w:val="auto"/>
              </w:rPr>
            </w:pPr>
            <w:r>
              <w:rPr>
                <w:rFonts w:ascii="Arial" w:cs="Arial" w:eastAsia="Arial" w:hAnsi="Arial"/>
                <w:sz w:val="14"/>
                <w:szCs w:val="14"/>
                <w:b w:val="1"/>
                <w:bCs w:val="1"/>
                <w:color w:val="auto"/>
                <w:w w:val="91"/>
              </w:rPr>
              <w:t>(dollars in thousands)</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2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Working capital</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368,080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8"/>
              <w:spacing w:after="0"/>
              <w:rPr>
                <w:sz w:val="20"/>
                <w:szCs w:val="20"/>
                <w:color w:val="auto"/>
              </w:rPr>
            </w:pPr>
            <w:r>
              <w:rPr>
                <w:rFonts w:ascii="Arial" w:cs="Arial" w:eastAsia="Arial" w:hAnsi="Arial"/>
                <w:sz w:val="18"/>
                <w:szCs w:val="18"/>
                <w:color w:val="auto"/>
                <w:w w:val="92"/>
              </w:rPr>
              <w:t>328,917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330,848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293,449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256,376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2"/>
              </w:rPr>
              <w:t>747,851</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2"/>
              </w:rPr>
              <w:t>686,134</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2"/>
              </w:rPr>
              <w:t>639,074</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2"/>
              </w:rPr>
              <w:t>539,960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500,944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Total stockholders’ equity</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482,252</w:t>
            </w:r>
          </w:p>
        </w:tc>
        <w:tc>
          <w:tcPr>
            <w:tcW w:w="240" w:type="dxa"/>
            <w:vAlign w:val="bottom"/>
          </w:tcPr>
          <w:p>
            <w:pPr>
              <w:spacing w:after="0"/>
              <w:rPr>
                <w:sz w:val="18"/>
                <w:szCs w:val="18"/>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color w:val="auto"/>
                <w:w w:val="92"/>
              </w:rPr>
              <w:t>433,442</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392,451</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354,008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319,829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dividends declared per share</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i w:val="1"/>
          <w:iCs w:val="1"/>
          <w:color w:val="auto"/>
        </w:rPr>
        <w:t>Our management’s discussion and analysis of our financial condition and results of operations include the identification of certain trends and other statements that may predict or anticipate future business or financial results that are subject to important factors that could cause our actual results to differ materially from those indicated. See “Item 1A. Risk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a national solutions provider of a wide range of information technology, or IT, solutions. We help our customers design, enable, manage, and service their IT environments. We provide IT products, including computer systems, software and peripheral equipment, networking communications, and other products and accessories that we purchase from manufacturers, distributors, and other suppliers. We also offer services involving design, configuration, and implementation of IT solutions. These services are performed by our personnel and by third-party providers. We operate through three sales segments, which serve primarily: (a) small- to medium-sized businesses, or in our Business Solutions segment, through our PC Connection Sales subsidiary, (b) large enterprise customers, in our Enterprise Solutions segment, through our MoreDirect subsidiary, and (c) federal, state, and local government and educational institutions, in our Public Sector Solutions segment, through our GovConnection subsidiary.</w:t>
      </w:r>
    </w:p>
    <w:p>
      <w:pPr>
        <w:spacing w:after="0" w:line="18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generate sales primarily through outbound telemarketing and field sales contacts by account managers focused on the business, education, and government markets, our websites, and inbound calls from customers responding to our catalogs and other advertising media. We seek to recruit, retain, and increase the productivity of our sales personnel through training, mentoring, financial incentives based on performance, and updating and streamlining our information systems to make our operations more efficient.</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a value added reseller in the IT supply chain, we do not manufacture IT hardware or software. We are dependent 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suppliers—manufacturers and distributors that historically have sold only to resellers rather than directly to end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users. However, certain manufacturers have on multiple occasions attempted to sell directly to our customers, and in some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cases, have restricted our ability to sell their products directly to certain customers, thereby attempting to eliminate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role. We believe that the success of these direct sales efforts by suppliers will depend on their ability to meet our customers’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ongoing demands and provide objective, unbiased solutions to meet their needs. We believe more of our customers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seeking comprehensive IT solutions, rather than simply the acquisition of specific IT products. Our advantage is our 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product-neutral and provide a broader combination of products, services, and advice tailored to customer needs.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providing customers with customized solutions from a variety of manufacturers, we believe we can mitigate the negative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impact of continued direct sales initiatives from individual manufacturers. Through the formation of our Technical Solutions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Group we are able to provide customers complete IT solutions, from identifying their needs, to designing, developing,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managing the integration of products and services to implement their IT projects. Such service offerings carry higher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margins than traditional product sales. Additionally, the technical certifications of our service engineers permit us to offer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higher-end, more complex products that generally carry higher gross margins. We expect these service offerings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technical certifications to continue to play a role in sales generation and improve gross margins in this competitive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environment.</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primary challenges we continue to face in effectively managing our business are (1) increasing our revenues while at the same time improving our gross margin in all three segments, (2) recruiting, retaining, and improving the productivity of our sales and technical support personnel, and (3) effectively controlling our selling, general, and administrative, or SG&amp;A, expenses while making major investments in our IT systems and solution selling personnel, especially in relation to changing revenue levels.</w:t>
      </w:r>
    </w:p>
    <w:p>
      <w:pPr>
        <w:spacing w:after="0" w:line="18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To support future growth, we are expanding our IT solutions business, which requires the addition of highly-skilled service engineers. Although we expect to realize the ultimate benefit of higher-margin service revenues under this multi-year initiative, we believe that our cost of services will increase as we add service engineers. If our service revenues do not grow enough to offset the cost of these headcount additions, our operating results may decline.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Market conditions and technology advances significantly affect the demand for our products and services. Virtual delivery of software products and advanced Internet technology providing customers enhanced functionality have substantially increased customer expectations, requiring us to invest on an ongoing basis in our own IT development to meet these new demands.</w:t>
      </w:r>
    </w:p>
    <w:p>
      <w:pPr>
        <w:spacing w:after="0" w:line="18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investments in IT infrastructure are designed to enable us to operate more efficiently and provide our customers enhanced functionality. In October 2017, we began a two-year initiative to upgrade our IT infrastructure, and accordingly we expect our related capital investments to range from $15.0 to $18.0 million over the next two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sets forth information derived from our statements of income expressed as a percentage of net sales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920" w:type="dxa"/>
            <w:vAlign w:val="bottom"/>
            <w:gridSpan w:val="8"/>
          </w:tcPr>
          <w:p>
            <w:pPr>
              <w:jc w:val="right"/>
              <w:ind w:right="63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230"/>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(in millions)</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$ 2,911.9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$ 2,692.6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$ 2,574.0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4680" w:type="dxa"/>
            <w:vAlign w:val="bottom"/>
          </w:tcPr>
          <w:p>
            <w:pPr>
              <w:spacing w:after="0" w:line="203" w:lineRule="exact"/>
              <w:rPr>
                <w:sz w:val="20"/>
                <w:szCs w:val="20"/>
                <w:color w:val="auto"/>
              </w:rPr>
            </w:pPr>
            <w:r>
              <w:rPr>
                <w:rFonts w:ascii="Arial" w:cs="Arial" w:eastAsia="Arial" w:hAnsi="Arial"/>
                <w:sz w:val="18"/>
                <w:szCs w:val="18"/>
                <w:color w:val="auto"/>
              </w:rPr>
              <w:t>Gross margin</w:t>
            </w:r>
          </w:p>
        </w:tc>
        <w:tc>
          <w:tcPr>
            <w:tcW w:w="14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13.1</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13.8</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13.2</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Net sales in 2017 increased by $219.3 million, or 8.1%, compared to 2016, due to increased sales in all three sales segments. Our investments in advanced solution sales including our acquisition of Softmart in May 2016 led to higher sales of software and other advanced technology solutions. Sales of notebooks and desktops, collectively referred to as client devices, also increased year over year as customers upgraded these client devices to increase productivity and enhance security. The year-over-year decrease in gross margin (gross profit expressed as a percentage of net sales) was attributed primarily to a more competitive marketplace in 2017. SG&amp;A expenses increased in dollars due to investments in solution sales personnel, incremental variable compensation associated with higher gross profits, and the acquisitions in May and October 2016 of Softmart and GlobalServe, respectively. Operating income in 2017 decreased year over year in dollars and as a percentage of net sales as the increase in gross profit was more than offset by higher SG&amp;A.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Distribution</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percentage of net sales by sales segment and product mix:</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00" w:type="dxa"/>
            <w:vAlign w:val="bottom"/>
            <w:gridSpan w:val="6"/>
          </w:tcPr>
          <w:p>
            <w:pPr>
              <w:jc w:val="right"/>
              <w:ind w:right="49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2"/>
              </w:rPr>
              <w:t>Sales Segment</w:t>
            </w:r>
          </w:p>
        </w:tc>
        <w:tc>
          <w:tcPr>
            <w:tcW w:w="2140" w:type="dxa"/>
            <w:vAlign w:val="bottom"/>
            <w:tcBorders>
              <w:bottom w:val="single" w:sz="8" w:color="CCEEFF"/>
            </w:tcBorders>
            <w:shd w:val="clear" w:color="auto" w:fill="CCEEFF"/>
          </w:tcPr>
          <w:p>
            <w:pPr>
              <w:spacing w:after="0"/>
              <w:rPr>
                <w:sz w:val="16"/>
                <w:szCs w:val="16"/>
                <w:color w:val="auto"/>
              </w:rPr>
            </w:pPr>
          </w:p>
        </w:tc>
        <w:tc>
          <w:tcPr>
            <w:tcW w:w="3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ind w:left="200"/>
              <w:spacing w:after="0"/>
              <w:rPr>
                <w:sz w:val="20"/>
                <w:szCs w:val="20"/>
                <w:color w:val="auto"/>
              </w:rPr>
            </w:pPr>
            <w:r>
              <w:rPr>
                <w:rFonts w:ascii="Arial" w:cs="Arial" w:eastAsia="Arial" w:hAnsi="Arial"/>
                <w:sz w:val="18"/>
                <w:szCs w:val="18"/>
                <w:color w:val="auto"/>
              </w:rPr>
              <w:t>Business Solutions</w:t>
            </w:r>
          </w:p>
        </w:tc>
        <w:tc>
          <w:tcPr>
            <w:tcW w:w="4120" w:type="dxa"/>
            <w:vAlign w:val="bottom"/>
            <w:gridSpan w:val="3"/>
          </w:tcPr>
          <w:p>
            <w:pPr>
              <w:jc w:val="right"/>
              <w:ind w:right="10"/>
              <w:spacing w:after="0"/>
              <w:rPr>
                <w:sz w:val="20"/>
                <w:szCs w:val="20"/>
                <w:color w:val="auto"/>
              </w:rPr>
            </w:pPr>
            <w:r>
              <w:rPr>
                <w:rFonts w:ascii="Arial" w:cs="Arial" w:eastAsia="Arial" w:hAnsi="Arial"/>
                <w:sz w:val="18"/>
                <w:szCs w:val="18"/>
                <w:color w:val="auto"/>
              </w:rPr>
              <w:t>40 %</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40 %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Enterprise Solutions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ind w:left="200"/>
              <w:spacing w:after="0"/>
              <w:rPr>
                <w:sz w:val="20"/>
                <w:szCs w:val="20"/>
                <w:color w:val="auto"/>
              </w:rPr>
            </w:pPr>
            <w:r>
              <w:rPr>
                <w:rFonts w:ascii="Arial" w:cs="Arial" w:eastAsia="Arial" w:hAnsi="Arial"/>
                <w:sz w:val="18"/>
                <w:szCs w:val="18"/>
                <w:color w:val="auto"/>
              </w:rPr>
              <w:t>Public Sector Solutions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tcBorders>
              <w:top w:val="single" w:sz="8" w:color="CCEEFF"/>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2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Product Mix</w:t>
            </w:r>
          </w:p>
        </w:tc>
        <w:tc>
          <w:tcPr>
            <w:tcW w:w="2260" w:type="dxa"/>
            <w:vAlign w:val="bottom"/>
            <w:tcBorders>
              <w:bottom w:val="single" w:sz="8" w:color="CCEEFF"/>
            </w:tcBorders>
            <w:gridSpan w:val="2"/>
            <w:shd w:val="clear" w:color="auto" w:fill="CCEEFF"/>
          </w:tcPr>
          <w:p>
            <w:pPr>
              <w:spacing w:after="0"/>
              <w:rPr>
                <w:sz w:val="17"/>
                <w:szCs w:val="17"/>
                <w:color w:val="auto"/>
              </w:rPr>
            </w:pPr>
          </w:p>
        </w:tc>
        <w:tc>
          <w:tcPr>
            <w:tcW w:w="3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ind w:left="200"/>
              <w:spacing w:after="0"/>
              <w:rPr>
                <w:sz w:val="20"/>
                <w:szCs w:val="20"/>
                <w:color w:val="auto"/>
              </w:rPr>
            </w:pPr>
            <w:r>
              <w:rPr>
                <w:rFonts w:ascii="Arial" w:cs="Arial" w:eastAsia="Arial" w:hAnsi="Arial"/>
                <w:sz w:val="18"/>
                <w:szCs w:val="18"/>
                <w:color w:val="auto"/>
              </w:rPr>
              <w:t>Software</w:t>
            </w:r>
          </w:p>
        </w:tc>
        <w:tc>
          <w:tcPr>
            <w:tcW w:w="4120" w:type="dxa"/>
            <w:vAlign w:val="bottom"/>
            <w:gridSpan w:val="3"/>
          </w:tcPr>
          <w:p>
            <w:pPr>
              <w:jc w:val="right"/>
              <w:ind w:right="10"/>
              <w:spacing w:after="0"/>
              <w:rPr>
                <w:sz w:val="20"/>
                <w:szCs w:val="20"/>
                <w:color w:val="auto"/>
              </w:rPr>
            </w:pPr>
            <w:r>
              <w:rPr>
                <w:rFonts w:ascii="Arial" w:cs="Arial" w:eastAsia="Arial" w:hAnsi="Arial"/>
                <w:sz w:val="18"/>
                <w:szCs w:val="18"/>
                <w:color w:val="auto"/>
              </w:rPr>
              <w:t>23 %</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20 %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Notebooks/Mobility</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ind w:left="200"/>
              <w:spacing w:after="0"/>
              <w:rPr>
                <w:sz w:val="20"/>
                <w:szCs w:val="20"/>
                <w:color w:val="auto"/>
              </w:rPr>
            </w:pPr>
            <w:r>
              <w:rPr>
                <w:rFonts w:ascii="Arial" w:cs="Arial" w:eastAsia="Arial" w:hAnsi="Arial"/>
                <w:sz w:val="18"/>
                <w:szCs w:val="18"/>
                <w:color w:val="auto"/>
              </w:rPr>
              <w:t>Servers/Storage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Net/Com Product</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ind w:left="200"/>
              <w:spacing w:after="0"/>
              <w:rPr>
                <w:sz w:val="20"/>
                <w:szCs w:val="20"/>
                <w:color w:val="auto"/>
              </w:rPr>
            </w:pPr>
            <w:r>
              <w:rPr>
                <w:rFonts w:ascii="Arial" w:cs="Arial" w:eastAsia="Arial" w:hAnsi="Arial"/>
                <w:sz w:val="18"/>
                <w:szCs w:val="18"/>
                <w:color w:val="auto"/>
              </w:rPr>
              <w:t>Other Hardware/Services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Borders>
              <w:top w:val="single" w:sz="8" w:color="CCEEFF"/>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2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20" w:type="dxa"/>
            <w:vAlign w:val="bottom"/>
          </w:tcPr>
          <w:p>
            <w:pPr>
              <w:jc w:val="right"/>
              <w:ind w:right="1750"/>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3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Margins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summarizes our overall gross profit margins, as a percentage of net sales, for the last three years: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580" w:type="dxa"/>
            <w:vAlign w:val="bottom"/>
            <w:gridSpan w:val="6"/>
          </w:tcPr>
          <w:p>
            <w:pPr>
              <w:ind w:left="3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4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Segment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Business Solutions</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15.3 %</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15.8 %</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15.5 %</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Enterprise Solutions</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12.0</w:t>
            </w:r>
          </w:p>
        </w:tc>
        <w:tc>
          <w:tcPr>
            <w:tcW w:w="2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Public Sector Solutions</w:t>
            </w:r>
          </w:p>
        </w:tc>
        <w:tc>
          <w:tcPr>
            <w:tcW w:w="620" w:type="dxa"/>
            <w:vAlign w:val="bottom"/>
          </w:tcPr>
          <w:p>
            <w:pPr>
              <w:ind w:left="2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620" w:type="dxa"/>
            <w:vAlign w:val="bottom"/>
          </w:tcPr>
          <w:p>
            <w:pPr>
              <w:ind w:left="260"/>
              <w:spacing w:after="0"/>
              <w:rPr>
                <w:sz w:val="20"/>
                <w:szCs w:val="20"/>
                <w:color w:val="auto"/>
              </w:rPr>
            </w:pPr>
            <w:r>
              <w:rPr>
                <w:rFonts w:ascii="Arial" w:cs="Arial" w:eastAsia="Arial" w:hAnsi="Arial"/>
                <w:sz w:val="18"/>
                <w:szCs w:val="18"/>
                <w:color w:val="auto"/>
                <w:w w:val="96"/>
              </w:rPr>
              <w:t>11.7</w:t>
            </w:r>
          </w:p>
        </w:tc>
        <w:tc>
          <w:tcPr>
            <w:tcW w:w="240" w:type="dxa"/>
            <w:vAlign w:val="bottom"/>
          </w:tcPr>
          <w:p>
            <w:pPr>
              <w:spacing w:after="0"/>
              <w:rPr>
                <w:sz w:val="18"/>
                <w:szCs w:val="18"/>
                <w:color w:val="auto"/>
              </w:rPr>
            </w:pPr>
          </w:p>
        </w:tc>
        <w:tc>
          <w:tcPr>
            <w:tcW w:w="620" w:type="dxa"/>
            <w:vAlign w:val="bottom"/>
          </w:tcPr>
          <w:p>
            <w:pPr>
              <w:ind w:left="260"/>
              <w:spacing w:after="0"/>
              <w:rPr>
                <w:sz w:val="20"/>
                <w:szCs w:val="20"/>
                <w:color w:val="auto"/>
              </w:rPr>
            </w:pPr>
            <w:r>
              <w:rPr>
                <w:rFonts w:ascii="Arial" w:cs="Arial" w:eastAsia="Arial" w:hAnsi="Arial"/>
                <w:sz w:val="18"/>
                <w:szCs w:val="18"/>
                <w:color w:val="auto"/>
                <w:w w:val="96"/>
              </w:rPr>
              <w:t>11.3</w:t>
            </w:r>
          </w:p>
        </w:tc>
        <w:tc>
          <w:tcPr>
            <w:tcW w:w="2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13.1 %</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13.8 %</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13.2 %</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Cost of sales includes the invoice cost of the product, direct employee and third party cost of services, direct costs of packaging, inbound and outbound freight, and provisions for inventory obsolescence, adjusted for discounts, rebates, and other vendor allowances.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reflects our more significant operating expenses for the last three years (in millions of dollars):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3"/>
              </w:rPr>
              <w:t>2015</w:t>
            </w:r>
          </w:p>
        </w:tc>
        <w:tc>
          <w:tcPr>
            <w:tcW w:w="180" w:type="dxa"/>
            <w:vAlign w:val="bottom"/>
            <w:tcBorders>
              <w:bottom w:val="single" w:sz="8" w:color="CCEEFF"/>
            </w:tcBorders>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200.5</w:t>
            </w:r>
          </w:p>
        </w:tc>
        <w:tc>
          <w:tcPr>
            <w:tcW w:w="1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Advertising</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Facilities operations</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Professional fees</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Credit card fees</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0</w:t>
            </w:r>
          </w:p>
        </w:tc>
        <w:tc>
          <w:tcPr>
            <w:tcW w:w="180" w:type="dxa"/>
            <w:vAlign w:val="bottom"/>
            <w:shd w:val="clear" w:color="auto" w:fill="CCEEFF"/>
          </w:tcPr>
          <w:p>
            <w:pPr>
              <w:spacing w:after="0"/>
              <w:rPr>
                <w:sz w:val="18"/>
                <w:szCs w:val="18"/>
                <w:color w:val="auto"/>
              </w:rPr>
            </w:pPr>
          </w:p>
        </w:tc>
      </w:tr>
      <w:tr>
        <w:trPr>
          <w:trHeight w:val="217"/>
        </w:trPr>
        <w:tc>
          <w:tcPr>
            <w:tcW w:w="4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262.5</w:t>
            </w:r>
          </w:p>
        </w:tc>
        <w:tc>
          <w:tcPr>
            <w:tcW w:w="180" w:type="dxa"/>
            <w:vAlign w:val="bottom"/>
            <w:tcBorders>
              <w:bottom w:val="single" w:sz="8" w:color="CCEEFF"/>
            </w:tcBorders>
          </w:tcPr>
          <w:p>
            <w:pPr>
              <w:spacing w:after="0"/>
              <w:rPr>
                <w:sz w:val="18"/>
                <w:szCs w:val="18"/>
                <w:color w:val="auto"/>
              </w:rPr>
            </w:pPr>
          </w:p>
        </w:tc>
      </w:tr>
      <w:tr>
        <w:trPr>
          <w:trHeight w:val="223"/>
        </w:trPr>
        <w:tc>
          <w:tcPr>
            <w:tcW w:w="4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Percentage of net sales</w:t>
            </w: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Personnel costs increased in 2017 compared to 2016 primarily due to investments in solutions sales personnel, increased variable compensation associated with higher gross profits, and the inclusion of the personnel costs of Softmart and GlobalServe since their respective May and October 2016 acquisition dates. Depreciation and amortization increased in 2016 and 2017 due to investments in our IT infrastructure and the amortization of intangible assets added in 2016 with our two acquisitions.</w:t>
      </w:r>
    </w:p>
    <w:p>
      <w:pPr>
        <w:spacing w:after="0" w:line="18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Personnel costs increased in 2016 compared to 2015 due to investments in our sales force and solution sales support, increased variable compensation associated with higher gross profits, and the inclusion of the personnel costs of Softmart and GlobalServe since their respective 2016 acquisition dates. Facilities operations increased year over year in 2016 due to the relocation of our Chicago-area facility, as lease expense for the previous facility overlapped the new lease.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YEAR-OVER-YEAR COMPARISONS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increased by 8.1% to $2,911.8 million in 2017 from $2,692.6 million in 2016. Changes in net sales and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by operating segment are shown in the following table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1"/>
              </w:rPr>
              <w:t>Years Ended December 31,</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0"/>
                <w:szCs w:val="10"/>
                <w:color w:val="auto"/>
              </w:rPr>
            </w:pPr>
          </w:p>
        </w:tc>
        <w:tc>
          <w:tcPr>
            <w:tcW w:w="580" w:type="dxa"/>
            <w:vAlign w:val="bottom"/>
          </w:tcPr>
          <w:p>
            <w:pPr>
              <w:jc w:val="right"/>
              <w:ind w:right="64"/>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88"/>
              </w:rPr>
              <w:t>Net Sales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5"/>
              </w:rPr>
              <w:t>Net Sales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8"/>
                <w:szCs w:val="18"/>
                <w:color w:val="auto"/>
              </w:rPr>
              <w:t>Business Solutions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1,158.6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39.8 %</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6"/>
              </w:rPr>
              <w:t>1,091.2</w:t>
            </w:r>
          </w:p>
        </w:tc>
        <w:tc>
          <w:tcPr>
            <w:tcW w:w="16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40.5 %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Enterprise Solutions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1,131.8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1,012.0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8"/>
                <w:szCs w:val="18"/>
                <w:color w:val="auto"/>
              </w:rPr>
              <w:t>Public Sector Solutions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621.</w:t>
            </w:r>
            <w:r>
              <w:rPr>
                <w:rFonts w:ascii="Arial" w:cs="Arial" w:eastAsia="Arial" w:hAnsi="Arial"/>
                <w:sz w:val="18"/>
                <w:szCs w:val="18"/>
                <w:u w:val="single" w:color="auto"/>
                <w:color w:val="auto"/>
              </w:rPr>
              <w:t>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589.4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2,911.</w:t>
            </w:r>
            <w:r>
              <w:rPr>
                <w:rFonts w:ascii="Arial" w:cs="Arial" w:eastAsia="Arial" w:hAnsi="Arial"/>
                <w:sz w:val="18"/>
                <w:szCs w:val="18"/>
                <w:u w:val="single" w:color="auto"/>
                <w:color w:val="auto"/>
                <w:w w:val="96"/>
              </w:rPr>
              <w:t>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2,692.6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Arial" w:cs="Arial" w:eastAsia="Arial" w:hAnsi="Arial"/>
                <w:sz w:val="18"/>
                <w:szCs w:val="18"/>
                <w:color w:val="auto"/>
              </w:rPr>
              <w:t>Gross Profit: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Business Solutions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15.8 %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8"/>
                <w:szCs w:val="18"/>
                <w:color w:val="auto"/>
              </w:rPr>
              <w:t>Enterprise Solutions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Public Sector Solutions</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40" w:type="dxa"/>
            <w:vAlign w:val="bottom"/>
          </w:tcPr>
          <w:p>
            <w:pPr>
              <w:ind w:left="32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13.1 %</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r>
              <w:rPr>
                <w:rFonts w:ascii="Arial" w:cs="Arial" w:eastAsia="Arial" w:hAnsi="Arial"/>
                <w:sz w:val="18"/>
                <w:szCs w:val="18"/>
                <w:u w:val="single" w:color="auto"/>
                <w:color w:val="auto"/>
              </w:rPr>
              <w:t>2</w:t>
            </w:r>
          </w:p>
        </w:tc>
        <w:tc>
          <w:tcPr>
            <w:tcW w:w="16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13.8 %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hanging="317"/>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sales for the Business Solutions segment increased due to higher sales of software, notebooks, and</w:t>
      </w:r>
    </w:p>
    <w:p>
      <w:pPr>
        <w:spacing w:after="0" w:line="23" w:lineRule="exact"/>
        <w:rPr>
          <w:rFonts w:ascii="Arial" w:cs="Arial" w:eastAsia="Arial" w:hAnsi="Arial"/>
          <w:sz w:val="18"/>
          <w:szCs w:val="18"/>
          <w:color w:val="auto"/>
        </w:rPr>
      </w:pPr>
    </w:p>
    <w:p>
      <w:pPr>
        <w:ind w:left="320" w:right="140"/>
        <w:spacing w:after="0" w:line="295" w:lineRule="auto"/>
        <w:rPr>
          <w:rFonts w:ascii="Arial" w:cs="Arial" w:eastAsia="Arial" w:hAnsi="Arial"/>
          <w:sz w:val="18"/>
          <w:szCs w:val="18"/>
          <w:color w:val="auto"/>
        </w:rPr>
      </w:pPr>
      <w:r>
        <w:rPr>
          <w:rFonts w:ascii="Arial" w:cs="Arial" w:eastAsia="Arial" w:hAnsi="Arial"/>
          <w:sz w:val="16"/>
          <w:szCs w:val="16"/>
          <w:color w:val="auto"/>
        </w:rPr>
        <w:t>desktops. Software sales for this segment increased by 11% due to our investments in additional security and software services technical specialists as well as our May 2016 acquisition of Softmart. Net sales of notebooks/mobility and desktops (collectively referred to as client devices) increased by 10% and 19%, respectively, as small- to medium-sized businesses upgraded client devices to improve productivity and enhance security.</w:t>
      </w:r>
    </w:p>
    <w:p>
      <w:pPr>
        <w:spacing w:after="0" w:line="161" w:lineRule="exact"/>
        <w:rPr>
          <w:rFonts w:ascii="Arial" w:cs="Arial" w:eastAsia="Arial" w:hAnsi="Arial"/>
          <w:sz w:val="18"/>
          <w:szCs w:val="18"/>
          <w:color w:val="auto"/>
        </w:rPr>
      </w:pPr>
    </w:p>
    <w:p>
      <w:pPr>
        <w:ind w:left="320" w:right="300" w:hanging="317"/>
        <w:spacing w:after="0" w:line="302"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sales for the Enterprise Solutions segment increased due to higher sales of software, servers, and net/com products. Software net sales for this segment increased year over year by 22% due to strong demand for security and office productivity tools as well as our May 2016 acquisition of Softmart. Sales of servers and net/com products increased by 21% and 22%, respectively, as large enterprises increased IT investments to transform their workplace.</w:t>
      </w:r>
    </w:p>
    <w:p>
      <w:pPr>
        <w:spacing w:after="0" w:line="154" w:lineRule="exact"/>
        <w:rPr>
          <w:rFonts w:ascii="Arial" w:cs="Arial" w:eastAsia="Arial" w:hAnsi="Arial"/>
          <w:sz w:val="16"/>
          <w:szCs w:val="16"/>
          <w:color w:val="auto"/>
        </w:rPr>
      </w:pPr>
    </w:p>
    <w:p>
      <w:pPr>
        <w:jc w:val="both"/>
        <w:ind w:left="320" w:right="100" w:hanging="317"/>
        <w:spacing w:after="0" w:line="259"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sales for the Public Sector Solutions segment increased to both federal government and state and local government and educational customers. Sales to federal government customers grew by 12% in part due to higher sales of desktops made under federal government contracts. Sales to state and local government and educational institutions increased by 2% due to modest sales growth across all its markets.</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2017 increased year over year in dollars but decreased as a percentage of net sales (gross margin),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below:</w:t>
      </w:r>
    </w:p>
    <w:p>
      <w:pPr>
        <w:spacing w:after="0" w:line="170" w:lineRule="exact"/>
        <w:rPr>
          <w:sz w:val="20"/>
          <w:szCs w:val="20"/>
          <w:color w:val="auto"/>
        </w:rPr>
      </w:pPr>
    </w:p>
    <w:p>
      <w:pPr>
        <w:ind w:left="320" w:right="40" w:hanging="317"/>
        <w:spacing w:after="0" w:line="273"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Gross profit for the Business Solutions segment increased as lower invoice selling margins were offset by higher net sales. Invoice selling margins decreased year over year by 74 basis points due to lower vendor funding and a shift in both client and product mix, which included increased sales of lower-margin client devices. We also receive agency fees from suppliers for certain software and hardware sales which are recorded as revenue with no corresponding cost of goods sold, and accordingly such fees have a positive impact on gross margin. A 30 basis-point increase in these agency revenues partially offset the decrease in invoice selling margins.</w:t>
      </w:r>
    </w:p>
    <w:p>
      <w:pPr>
        <w:spacing w:after="0" w:line="178" w:lineRule="exact"/>
        <w:rPr>
          <w:rFonts w:ascii="Arial" w:cs="Arial" w:eastAsia="Arial" w:hAnsi="Arial"/>
          <w:sz w:val="17"/>
          <w:szCs w:val="17"/>
          <w:color w:val="auto"/>
        </w:rPr>
      </w:pPr>
    </w:p>
    <w:p>
      <w:pPr>
        <w:ind w:left="320" w:right="120" w:hanging="317"/>
        <w:spacing w:after="0" w:line="264"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profit for the Enterprise Solutions segment increased as lower invoice selling margins were offset by an increase in net sales. Invoice selling margins decreased by 62 basis points due to a hyper-competitive marketplace. This margin decrease was offset by higher agency revenues (12 basis points).</w:t>
      </w:r>
    </w:p>
    <w:p>
      <w:pPr>
        <w:spacing w:after="0" w:line="181" w:lineRule="exact"/>
        <w:rPr>
          <w:rFonts w:ascii="Arial" w:cs="Arial" w:eastAsia="Arial" w:hAnsi="Arial"/>
          <w:sz w:val="18"/>
          <w:szCs w:val="18"/>
          <w:color w:val="auto"/>
        </w:rPr>
      </w:pPr>
    </w:p>
    <w:p>
      <w:pPr>
        <w:ind w:left="320" w:right="580" w:hanging="317"/>
        <w:spacing w:after="0" w:line="277"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profit for the Public Sector Solutions segment decreased due to a decrease in gross margin. Invoice selling margins decreased by 121 basis points due to a hyper-competitive marketplace.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420" w:firstLine="324"/>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in 2017 increased in dollars but decreased as a percentage of 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prior year. SG&amp;A expenses attributable to our three operating segments and the remaining unallocated Headquarters/Other group expenses are summarized below (dollars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40" w:type="dxa"/>
            <w:vAlign w:val="bottom"/>
            <w:gridSpan w:val="4"/>
          </w:tcPr>
          <w:p>
            <w:pPr>
              <w:jc w:val="right"/>
              <w:ind w:right="46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0" w:type="dxa"/>
            <w:vAlign w:val="bottom"/>
            <w:gridSpan w:val="4"/>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4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6"/>
              </w:rPr>
              <w:t>% of Net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6"/>
              </w:rPr>
              <w:t>% of Net</w:t>
            </w:r>
          </w:p>
        </w:tc>
        <w:tc>
          <w:tcPr>
            <w:tcW w:w="2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Sales</w:t>
            </w: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Sales</w:t>
            </w:r>
          </w:p>
        </w:tc>
        <w:tc>
          <w:tcPr>
            <w:tcW w:w="6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Business Solutions</w:t>
            </w:r>
          </w:p>
        </w:tc>
        <w:tc>
          <w:tcPr>
            <w:tcW w:w="1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$ 137.4</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$ 130.8</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Enterprise Solutions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Public Sector Solutions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Headquarters/Other, unallocated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1</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$ 304.5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gridSpan w:val="4"/>
            <w:shd w:val="clear" w:color="auto" w:fill="CCEEFF"/>
          </w:tcPr>
          <w:p>
            <w:pPr>
              <w:jc w:val="right"/>
              <w:ind w:right="14"/>
              <w:spacing w:after="0"/>
              <w:rPr>
                <w:sz w:val="20"/>
                <w:szCs w:val="20"/>
                <w:color w:val="auto"/>
              </w:rPr>
            </w:pPr>
            <w:r>
              <w:rPr>
                <w:rFonts w:ascii="Arial" w:cs="Arial" w:eastAsia="Arial" w:hAnsi="Arial"/>
                <w:sz w:val="18"/>
                <w:szCs w:val="18"/>
                <w:color w:val="auto"/>
              </w:rPr>
              <w:t>10.5 %</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10.8 %</w:t>
            </w:r>
          </w:p>
        </w:tc>
        <w:tc>
          <w:tcPr>
            <w:tcW w:w="6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right="80" w:hanging="317"/>
        <w:spacing w:after="0" w:line="293"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SG&amp;A expenses for the Business Solutions segment increased in dollars but decreased as a percentage of net sales. The dollar increase resulted from higher personnel costs ($4.0 million) and greater usage of Headquarters/Other ($3.2 million). Personnel costs increased due to the transfer in Q2 2017 of technical staff from Headquarters/Other as well as incremental variable compensation on higher gross profits. The increase in Headquarters/Other services was partially related to our investments in technical and engineering support provided to this segment. The decrease in SG&amp;A as a percentage of net sales was due to the leveraging of fixed costs over larger net sales.</w:t>
      </w:r>
    </w:p>
    <w:p>
      <w:pPr>
        <w:spacing w:after="0" w:line="164" w:lineRule="exact"/>
        <w:rPr>
          <w:rFonts w:ascii="Arial" w:cs="Arial" w:eastAsia="Arial" w:hAnsi="Arial"/>
          <w:sz w:val="16"/>
          <w:szCs w:val="16"/>
          <w:color w:val="auto"/>
        </w:rPr>
      </w:pPr>
    </w:p>
    <w:p>
      <w:pPr>
        <w:ind w:left="320" w:right="300" w:hanging="317"/>
        <w:spacing w:after="0" w:line="259"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SG&amp;A expenses for the Enterprise Solutions segment increased in dollars but decreased as a percentage of net sales. The increase in SG&amp;A dollars was due to the inclusion of $2.9 million of operating expenses for GlobalServe, which we acquired in Q4 2016. This increase related to GlobalServe was partially offset by cost expense savings initiated in Q2 2017.</w:t>
      </w:r>
    </w:p>
    <w:p>
      <w:pPr>
        <w:spacing w:after="0" w:line="186" w:lineRule="exact"/>
        <w:rPr>
          <w:rFonts w:ascii="Arial" w:cs="Arial" w:eastAsia="Arial" w:hAnsi="Arial"/>
          <w:sz w:val="18"/>
          <w:szCs w:val="18"/>
          <w:color w:val="auto"/>
        </w:rPr>
      </w:pPr>
    </w:p>
    <w:p>
      <w:pPr>
        <w:ind w:left="320" w:right="20" w:hanging="317"/>
        <w:spacing w:after="0" w:line="274"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SG&amp;A expenses for the Public Sector Solutions segment increased in dollars and as a percentage of net sales. The dollar increase resulted from higher personnel costs ($1.2 million) and greater usage of Headquarters/Other ($1.6</w:t>
      </w:r>
    </w:p>
    <w:p>
      <w:pPr>
        <w:ind w:left="320" w:right="120"/>
        <w:spacing w:after="0" w:line="277" w:lineRule="auto"/>
        <w:rPr>
          <w:rFonts w:ascii="Arial" w:cs="Arial" w:eastAsia="Arial" w:hAnsi="Arial"/>
          <w:sz w:val="17"/>
          <w:szCs w:val="17"/>
          <w:color w:val="auto"/>
        </w:rPr>
      </w:pPr>
      <w:r>
        <w:rPr>
          <w:rFonts w:ascii="Arial" w:cs="Arial" w:eastAsia="Arial" w:hAnsi="Arial"/>
          <w:sz w:val="17"/>
          <w:szCs w:val="17"/>
          <w:color w:val="auto"/>
        </w:rPr>
        <w:t>million). Personnel costs increased due to the transfer in Q2 2017 of technical staff from Headquarters/Other as well as incremental variable compensation on higher gross profits. The increase in Headquarters/Other services was partly related to our investments in technical and engineering support provided to this segment.</w:t>
      </w:r>
    </w:p>
    <w:p>
      <w:pPr>
        <w:spacing w:after="0" w:line="173" w:lineRule="exact"/>
        <w:rPr>
          <w:rFonts w:ascii="Arial" w:cs="Arial" w:eastAsia="Arial" w:hAnsi="Arial"/>
          <w:sz w:val="17"/>
          <w:szCs w:val="17"/>
          <w:color w:val="auto"/>
        </w:rPr>
      </w:pPr>
    </w:p>
    <w:p>
      <w:pPr>
        <w:ind w:left="320" w:right="40" w:hanging="317"/>
        <w:spacing w:after="0" w:line="254"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SG&amp;A expenses for the Headquarters/Other group increased due to an increase in allocated personnel and costs related to our investments in solution services. In the fourth quarter of 2017, we recorded a charge of $1.3 million relating to a one-time bonus paid to all non-executive employees, including those in this group. The impact of this one-time bonus on the three selling segments was not as meaningful to their overall SG&amp;A expense. The Headquarters/Other group provides services to the three segments in areas such as finance, human resources, IT, marketing, and product management. Most of the operating costs associated with such corporate headquarters services are charged to the operating segments based on their estimated usage of the underlying services. The amounts shown above represent the remaining unallocated costs.</w:t>
      </w:r>
    </w:p>
    <w:p>
      <w:pPr>
        <w:spacing w:after="0" w:line="1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decreased by $3.0 million to $77.5 million in 2017, compared to 2016. Income from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was 2.7% in 2017, compared to 3.0% in 2016. The decrease in operating income resulted primarily from the increase in SG&amp;A costs. The decrease in operating income as a percentage of net sales resulted primarily from the decrease in gross margin.</w:t>
      </w:r>
    </w:p>
    <w:p>
      <w:pPr>
        <w:spacing w:after="0" w:line="18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Our effective tax rate was 29.3% for the year ended December 31, 2017, compared to 40.2%</w:t>
      </w:r>
      <w:r>
        <w:rPr>
          <w:rFonts w:ascii="Arial" w:cs="Arial" w:eastAsia="Arial" w:hAnsi="Arial"/>
          <w:sz w:val="19"/>
          <w:szCs w:val="19"/>
          <w:i w:val="1"/>
          <w:iCs w:val="1"/>
          <w:color w:val="auto"/>
        </w:rPr>
        <w:t xml:space="preserve"> </w:t>
      </w:r>
      <w:r>
        <w:rPr>
          <w:rFonts w:ascii="Arial" w:cs="Arial" w:eastAsia="Arial" w:hAnsi="Arial"/>
          <w:sz w:val="19"/>
          <w:szCs w:val="19"/>
          <w:color w:val="auto"/>
        </w:rPr>
        <w:t>for the year ended December 31, 2016. In December 2017, the U.S. Tax Cuts and Jobs Act was enacted, which among other changes, reduced the federal corporate income tax rate. This rate reduction, which took effect on January 1, 2018, required the revaluation of our net deferred tax liability. The revaluation resulted in the recording of an income tax benefit of $7.7 million for the fourth quarter of 2017. We expect our corporate income tax rate for 2018 to range from 27% to 29%.</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increased by $6.7 million to $54.9 million in 2017, from $48.1 million in 2016, as the decrease 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was more than offset by the decrease in income tax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increased by 4.6% to $2,692.6 million in 2016 from $2,574.0 million in 2015. Changes in net sales and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by operating segment are shown in the following table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91"/>
              </w:rPr>
              <w:t>Years Ended December 31,</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0"/>
                <w:szCs w:val="10"/>
                <w:color w:val="auto"/>
              </w:rPr>
            </w:pPr>
          </w:p>
        </w:tc>
        <w:tc>
          <w:tcPr>
            <w:tcW w:w="580" w:type="dxa"/>
            <w:vAlign w:val="bottom"/>
          </w:tcPr>
          <w:p>
            <w:pPr>
              <w:jc w:val="right"/>
              <w:ind w:right="64"/>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Amount</w:t>
            </w:r>
          </w:p>
        </w:tc>
        <w:tc>
          <w:tcPr>
            <w:tcW w:w="58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5"/>
              </w:rPr>
              <w:t>Net Sales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5"/>
              </w:rPr>
              <w:t>Net Sales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20"/>
              <w:spacing w:after="0"/>
              <w:rPr>
                <w:sz w:val="20"/>
                <w:szCs w:val="20"/>
                <w:color w:val="auto"/>
              </w:rPr>
            </w:pPr>
            <w:r>
              <w:rPr>
                <w:rFonts w:ascii="Arial" w:cs="Arial" w:eastAsia="Arial" w:hAnsi="Arial"/>
                <w:sz w:val="18"/>
                <w:szCs w:val="18"/>
                <w:color w:val="auto"/>
              </w:rPr>
              <w:t>Business Solutions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1,091.2</w:t>
            </w: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40.5 %</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1,040.6</w:t>
            </w:r>
          </w:p>
        </w:tc>
        <w:tc>
          <w:tcPr>
            <w:tcW w:w="16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40.5 %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Enterprise Solutions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1,012.0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20"/>
              <w:spacing w:after="0"/>
              <w:rPr>
                <w:sz w:val="20"/>
                <w:szCs w:val="20"/>
                <w:color w:val="auto"/>
              </w:rPr>
            </w:pPr>
            <w:r>
              <w:rPr>
                <w:rFonts w:ascii="Arial" w:cs="Arial" w:eastAsia="Arial" w:hAnsi="Arial"/>
                <w:sz w:val="18"/>
                <w:szCs w:val="18"/>
                <w:color w:val="auto"/>
              </w:rPr>
              <w:t>Public Sector Solutions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w:t>
            </w:r>
            <w:r>
              <w:rPr>
                <w:rFonts w:ascii="Arial" w:cs="Arial" w:eastAsia="Arial" w:hAnsi="Arial"/>
                <w:sz w:val="18"/>
                <w:szCs w:val="18"/>
                <w:u w:val="single" w:color="auto"/>
                <w:color w:val="auto"/>
              </w:rPr>
              <w:t>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572.4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2,692.6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3"/>
        </w:trPr>
        <w:tc>
          <w:tcPr>
            <w:tcW w:w="3420" w:type="dxa"/>
            <w:vAlign w:val="bottom"/>
          </w:tcPr>
          <w:p>
            <w:pPr>
              <w:spacing w:after="0" w:line="203" w:lineRule="exact"/>
              <w:rPr>
                <w:sz w:val="20"/>
                <w:szCs w:val="20"/>
                <w:color w:val="auto"/>
              </w:rPr>
            </w:pPr>
            <w:r>
              <w:rPr>
                <w:rFonts w:ascii="Arial" w:cs="Arial" w:eastAsia="Arial" w:hAnsi="Arial"/>
                <w:sz w:val="18"/>
                <w:szCs w:val="18"/>
                <w:color w:val="auto"/>
              </w:rPr>
              <w:t>Gross Profit: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Business Solutions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9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15.8 %</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15.5 %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16"/>
        </w:trPr>
        <w:tc>
          <w:tcPr>
            <w:tcW w:w="3420" w:type="dxa"/>
            <w:vAlign w:val="bottom"/>
          </w:tcPr>
          <w:p>
            <w:pPr>
              <w:ind w:left="220"/>
              <w:spacing w:after="0"/>
              <w:rPr>
                <w:sz w:val="20"/>
                <w:szCs w:val="20"/>
                <w:color w:val="auto"/>
              </w:rPr>
            </w:pPr>
            <w:r>
              <w:rPr>
                <w:rFonts w:ascii="Arial" w:cs="Arial" w:eastAsia="Arial" w:hAnsi="Arial"/>
                <w:sz w:val="18"/>
                <w:szCs w:val="18"/>
                <w:color w:val="auto"/>
              </w:rPr>
              <w:t>Enterprise Solutions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Public Sector Solutions</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20" w:type="dxa"/>
            <w:vAlign w:val="bottom"/>
          </w:tcPr>
          <w:p>
            <w:pPr>
              <w:ind w:left="32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13.8 %</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r>
              <w:rPr>
                <w:rFonts w:ascii="Arial" w:cs="Arial" w:eastAsia="Arial" w:hAnsi="Arial"/>
                <w:sz w:val="18"/>
                <w:szCs w:val="18"/>
                <w:u w:val="single" w:color="auto"/>
                <w:color w:val="auto"/>
              </w:rPr>
              <w:t>0</w:t>
            </w:r>
          </w:p>
        </w:tc>
        <w:tc>
          <w:tcPr>
            <w:tcW w:w="16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13.2 %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right="100" w:hanging="317"/>
        <w:spacing w:after="0" w:line="259"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for the Business Solutions segment increased due to higher software and notebooks/mobility sales. Software sales increased due to our 2016 acquisition of Softmart as well as investments in additional security and software services technical specialists. Net sales of notebooks/mobility products increased as mobility continues to be a strategic focus for Business Solution customers.</w:t>
      </w:r>
    </w:p>
    <w:p>
      <w:pPr>
        <w:spacing w:after="0" w:line="186" w:lineRule="exact"/>
        <w:rPr>
          <w:rFonts w:ascii="Arial" w:cs="Arial" w:eastAsia="Arial" w:hAnsi="Arial"/>
          <w:sz w:val="18"/>
          <w:szCs w:val="18"/>
          <w:color w:val="auto"/>
        </w:rPr>
      </w:pPr>
    </w:p>
    <w:p>
      <w:pPr>
        <w:ind w:left="320" w:right="440" w:hanging="317"/>
        <w:spacing w:after="0" w:line="286"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Net sales for the Enterprise Solutions segment increased due to higher sales of software, accessories, and notebooks/mobility products. Net sales of software for this segment increased year over year by 28% due to strong demand for security and office productivity tools as well as our 2016 acquisition of Softmart.</w:t>
      </w:r>
    </w:p>
    <w:p>
      <w:pPr>
        <w:spacing w:after="0" w:line="165" w:lineRule="exact"/>
        <w:rPr>
          <w:rFonts w:ascii="Arial" w:cs="Arial" w:eastAsia="Arial" w:hAnsi="Arial"/>
          <w:sz w:val="17"/>
          <w:szCs w:val="17"/>
          <w:color w:val="auto"/>
        </w:rPr>
      </w:pPr>
    </w:p>
    <w:p>
      <w:pPr>
        <w:ind w:left="320" w:hanging="317"/>
        <w:spacing w:after="0" w:line="25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to the Public Sector Solutions segment increased due to increased sales to the federal government. Sales to the federal government grew by 16.4% due to higher sales of desktops and notebooks made under federal government contracts, while sales to state and local government and educational institutions decreased by 2.9% due to lower sales to K-12 customers. Sales of notebooks/mobility, desktops, and software increased in this segment, but were partly offset by decreased sales of server/storage products.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for 2016 increased year over year in dollars and as a percentage of net sales (gross margin), as explained below:</w:t>
      </w:r>
    </w:p>
    <w:p>
      <w:pPr>
        <w:spacing w:after="0" w:line="248" w:lineRule="exact"/>
        <w:rPr>
          <w:sz w:val="20"/>
          <w:szCs w:val="20"/>
          <w:color w:val="auto"/>
        </w:rPr>
      </w:pPr>
    </w:p>
    <w:p>
      <w:pPr>
        <w:ind w:left="320" w:hanging="317"/>
        <w:spacing w:after="0" w:line="286"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Gross profit for the Business Solutions segment increased due to an increase in net sales and gross margin. Gross margin increased year over year due to higher invoice selling margins (24 basis points) realized on larger sales of higher-margin advance solution sales, as well as an increase in vendor early-payment discounts (3 basis points).</w:t>
      </w:r>
    </w:p>
    <w:p>
      <w:pPr>
        <w:spacing w:after="0" w:line="165" w:lineRule="exact"/>
        <w:rPr>
          <w:rFonts w:ascii="Arial" w:cs="Arial" w:eastAsia="Arial" w:hAnsi="Arial"/>
          <w:sz w:val="17"/>
          <w:szCs w:val="17"/>
          <w:color w:val="auto"/>
        </w:rPr>
      </w:pPr>
    </w:p>
    <w:p>
      <w:pPr>
        <w:ind w:left="320" w:right="20" w:hanging="317"/>
        <w:spacing w:after="0" w:line="264"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profit for the Enterprise Solutions segment increased due to an increase in net sales and gross margin. Gross margin increased year over year due to higher invoice selling margins (95 basis points) associated with increased sales of higher-margin software sales, offset by lower agency revenues (32 basis points).</w:t>
      </w:r>
    </w:p>
    <w:p>
      <w:pPr>
        <w:spacing w:after="0" w:line="181" w:lineRule="exact"/>
        <w:rPr>
          <w:rFonts w:ascii="Arial" w:cs="Arial" w:eastAsia="Arial" w:hAnsi="Arial"/>
          <w:sz w:val="18"/>
          <w:szCs w:val="18"/>
          <w:color w:val="auto"/>
        </w:rPr>
      </w:pPr>
    </w:p>
    <w:p>
      <w:pPr>
        <w:ind w:left="320" w:right="100" w:hanging="317"/>
        <w:spacing w:after="0" w:line="342"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Gross profit for the Public Sector Solutions segment increased due to an increase in net sales and gross margin. Invoice selling margins increased by 40 basis points due to increased demand for higher-margin products such as software.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in 2016 increased in dollars and as a percentage of net sales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SG&amp;A expenses attributable to our three operating segments and the remaining unallocated Headquarters/Other group expenses are summarized below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5"/>
              </w:rPr>
              <w:t>Years Ended December 31,</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right"/>
              <w:ind w:right="46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4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6"/>
              </w:rPr>
              <w:t>% of Net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6"/>
              </w:rPr>
              <w:t>% of Net</w:t>
            </w:r>
          </w:p>
        </w:tc>
        <w:tc>
          <w:tcPr>
            <w:tcW w:w="2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Sales</w:t>
            </w:r>
          </w:p>
        </w:tc>
        <w:tc>
          <w:tcPr>
            <w:tcW w:w="6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Business Solutions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118.4</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Enterprise Solutions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87.1</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Public Sector Solutions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Headquarters/Other, unallocated</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4</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290.6</w:t>
            </w:r>
          </w:p>
        </w:tc>
        <w:tc>
          <w:tcPr>
            <w:tcW w:w="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10.8 %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262.5</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10.2 %</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hanging="317"/>
        <w:spacing w:after="0" w:line="259"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SG&amp;A expenses for the Business Solutions segment increased in dollars and as a percentage of net sales. Both increased due to incremental variable compensation associated with higher gross profits, the inclusion of Softmart’s operating expenses, and greater usage of Headquarter services. The increase in Headquarter services was partly related to our investments in technical and engineering support provided to this segment.</w:t>
      </w:r>
    </w:p>
    <w:p>
      <w:pPr>
        <w:spacing w:after="0" w:line="186" w:lineRule="exact"/>
        <w:rPr>
          <w:rFonts w:ascii="Arial" w:cs="Arial" w:eastAsia="Arial" w:hAnsi="Arial"/>
          <w:sz w:val="18"/>
          <w:szCs w:val="18"/>
          <w:color w:val="auto"/>
        </w:rPr>
      </w:pPr>
    </w:p>
    <w:p>
      <w:pPr>
        <w:ind w:left="320" w:right="60" w:hanging="317"/>
        <w:spacing w:after="0" w:line="257"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SG&amp;A expenses for the Enterprise Solutions segment increased in dollars and as a percentage of net sales. The increase in SG&amp;A dollars and as a percentage of net sales was due to the inclusion of Softmart’s operating expenses, incremental variable compensation associated with higher gross profits, and higher usage of Headquarter services. The increase in Headquarter services was partly related to our investments in technical and engineering support provided to this segment.</w:t>
      </w:r>
    </w:p>
    <w:p>
      <w:pPr>
        <w:spacing w:after="0" w:line="188" w:lineRule="exact"/>
        <w:rPr>
          <w:rFonts w:ascii="Arial" w:cs="Arial" w:eastAsia="Arial" w:hAnsi="Arial"/>
          <w:sz w:val="18"/>
          <w:szCs w:val="18"/>
          <w:color w:val="auto"/>
        </w:rPr>
      </w:pPr>
    </w:p>
    <w:p>
      <w:pPr>
        <w:ind w:left="320" w:right="400" w:hanging="317"/>
        <w:spacing w:after="0" w:line="259"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SG&amp;A expenses for the Public Sector Solutions segment increased in dollars and as a percentage of net sales. Both increased due to incremental variable compensation associated with higher gross profits and greater usage of Headquarter services. The increase in Headquarter services was partly related to our investments technical and engineering support provided to this segment.</w:t>
      </w:r>
    </w:p>
    <w:p>
      <w:pPr>
        <w:spacing w:after="0" w:line="186" w:lineRule="exact"/>
        <w:rPr>
          <w:rFonts w:ascii="Arial" w:cs="Arial" w:eastAsia="Arial" w:hAnsi="Arial"/>
          <w:sz w:val="18"/>
          <w:szCs w:val="18"/>
          <w:color w:val="auto"/>
        </w:rPr>
      </w:pPr>
    </w:p>
    <w:p>
      <w:pPr>
        <w:ind w:left="320" w:right="40" w:hanging="317"/>
        <w:spacing w:after="0" w:line="297" w:lineRule="auto"/>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SG&amp;A expenses for the Headquarters/Other group decreased due to an increase in allocated personnel and related costs related to our investments in solution services. The Headquarters/Other group provides services to the three segments in areas such as finance, human resources, IT, marketing, and product management. Most of the operating costs associated with such corporate headquarters services are charged to the operating segments based on their estimated usage of the underlying services. The amounts shown above represent the remaining unallocated costs.</w:t>
      </w:r>
    </w:p>
    <w:p>
      <w:pPr>
        <w:spacing w:after="0" w:line="15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increased by $2.0 million to $80.5 million in 2016, compared to 2015. Income from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remained unchanged at 3.0% for 2016 and 2015. The increase in operating income resulted primarily from an increase in gross profits.</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tax rate was 40.2% for the year ended December 31, 2016, compared to 40.3%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w:t>
      </w:r>
    </w:p>
    <w:p>
      <w:pPr>
        <w:spacing w:after="0" w:line="17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increased by $1.3 million to $48.1 million in 2016, from $46.8 million in 2015, principally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primary sources of liquidity have historically been internally generated funds from operations and borrowings under our bank line of credit. We have used those funds to meet our capital requirements, which consist primarily of working capital for operational needs, capital expenditures for computer equipment and software used in our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repurchases of common stock for treasury, dividend payments, and as opportunities arise, possible acquisitions of new businesses.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that funds generated from operations, together with available credit under our bank line of credit, will be sufficient to finance our working capital, capital expenditures, and other requirements for at least the next twelve calendar months. We expect our capital needs for the next twelve months to consist primarily of capital expenditures of $18.0 to $20.0 million and payments on leases and other contractual obligations of approximately $4.7 million. We completed in 2017 a comprehensive review and assessment of our entire business software needs, and in October 2017, we began a two-year initiative to upgrade our IT infrastructure. Accordingly we expect our related capital investments to range from $15.0 to $18.0 million over the next two years.</w:t>
      </w:r>
    </w:p>
    <w:p>
      <w:pPr>
        <w:spacing w:after="0" w:line="18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We expect to meet our cash requirements for 2018 through a combination of cash on hand, cash generated from operations, and borrowings on our bank line of credit, as follows:</w:t>
      </w:r>
    </w:p>
    <w:p>
      <w:pPr>
        <w:spacing w:after="0" w:line="170" w:lineRule="exact"/>
        <w:rPr>
          <w:sz w:val="20"/>
          <w:szCs w:val="20"/>
          <w:color w:val="auto"/>
        </w:rPr>
      </w:pPr>
    </w:p>
    <w:p>
      <w:pPr>
        <w:ind w:left="320" w:hanging="317"/>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Cash on Hand</w:t>
      </w:r>
      <w:r>
        <w:rPr>
          <w:rFonts w:ascii="Arial" w:cs="Arial" w:eastAsia="Arial" w:hAnsi="Arial"/>
          <w:sz w:val="18"/>
          <w:szCs w:val="18"/>
          <w:color w:val="auto"/>
        </w:rPr>
        <w:t>. At December 31, 2017, we had $50.0 million in cash and cash equivalents.</w:t>
      </w:r>
    </w:p>
    <w:p>
      <w:pPr>
        <w:spacing w:after="0" w:line="225" w:lineRule="exact"/>
        <w:rPr>
          <w:rFonts w:ascii="Arial" w:cs="Arial" w:eastAsia="Arial" w:hAnsi="Arial"/>
          <w:sz w:val="18"/>
          <w:szCs w:val="18"/>
          <w:color w:val="auto"/>
        </w:rPr>
      </w:pPr>
    </w:p>
    <w:p>
      <w:pPr>
        <w:jc w:val="both"/>
        <w:ind w:left="320" w:right="140" w:hanging="317"/>
        <w:spacing w:after="0" w:line="264"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Cash Generated from Operations</w:t>
      </w:r>
      <w:r>
        <w:rPr>
          <w:rFonts w:ascii="Arial" w:cs="Arial" w:eastAsia="Arial" w:hAnsi="Arial"/>
          <w:sz w:val="18"/>
          <w:szCs w:val="18"/>
          <w:color w:val="auto"/>
        </w:rPr>
        <w:t>. We expect to generate cash flows from operations in excess of operating cash needs</w:t>
      </w:r>
      <w:r>
        <w:rPr>
          <w:rFonts w:ascii="Arial" w:cs="Arial" w:eastAsia="Arial" w:hAnsi="Arial"/>
          <w:sz w:val="18"/>
          <w:szCs w:val="18"/>
          <w:i w:val="1"/>
          <w:iCs w:val="1"/>
          <w:color w:val="auto"/>
        </w:rPr>
        <w:t xml:space="preserve"> </w:t>
      </w:r>
      <w:r>
        <w:rPr>
          <w:rFonts w:ascii="Arial" w:cs="Arial" w:eastAsia="Arial" w:hAnsi="Arial"/>
          <w:sz w:val="18"/>
          <w:szCs w:val="18"/>
          <w:color w:val="auto"/>
        </w:rPr>
        <w:t>by generating earnings and managing net changes in inventories and receivables with changes in payables to generate a positive cash flow.</w:t>
      </w:r>
    </w:p>
    <w:p>
      <w:pPr>
        <w:spacing w:after="0" w:line="181" w:lineRule="exact"/>
        <w:rPr>
          <w:rFonts w:ascii="Arial" w:cs="Arial" w:eastAsia="Arial" w:hAnsi="Arial"/>
          <w:sz w:val="18"/>
          <w:szCs w:val="18"/>
          <w:color w:val="auto"/>
        </w:rPr>
      </w:pPr>
    </w:p>
    <w:p>
      <w:pPr>
        <w:ind w:left="320" w:right="180" w:hanging="317"/>
        <w:spacing w:after="0" w:line="25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As of December 31, 2017, no borrowings were outstanding against our $50.0 million bank line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which is available until February 10, 2022. Accordingly, our entire line of credit was available for borrowing at December 31, 2017. This line of credit can be increased, at our option, to $80.0 million for approved acquisitions or other uses authorized by the bank. Borrowings are, however, limited by certain minimum collateral and earnings requirements, as described more fully below.</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we do not anticipate needing any additional sources of financing to fund our operations at this time, if demand for IT products declines, our cash flows from operations may be substantially affected. See also related risks listed under “Item 1A. Risk Factors.”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Summary Sources and Uses of Cash</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sources and uses of cash over the last three years (in millions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9"/>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provided by financing activities</w:t>
            </w:r>
          </w:p>
        </w:tc>
        <w:tc>
          <w:tcPr>
            <w:tcW w:w="1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3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i w:val="1"/>
          <w:iCs w:val="1"/>
          <w:color w:val="auto"/>
        </w:rPr>
        <w:t xml:space="preserve">Cash provided by operating activities </w:t>
      </w:r>
      <w:r>
        <w:rPr>
          <w:rFonts w:ascii="Arial" w:cs="Arial" w:eastAsia="Arial" w:hAnsi="Arial"/>
          <w:sz w:val="16"/>
          <w:szCs w:val="16"/>
          <w:color w:val="auto"/>
        </w:rPr>
        <w:t>decreased $14.3 million in 2017. Operating cash flow in 2017 resulted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from net income before depreciation and amortization and an increase in accounts payable, offset partially by an increase in accounts receivable and inventory. Accounts receivable increased year over year by $37.8 million primarily due to our $26.7 million increase in sales in the fourth quarter of 2017 compared to the prior year period. Days sales outstanding were unchanged at 48 days at both December 31, 2017 and 2016. Inventory increased year over year by $16.2 million in 2017 due to inventory purchased for customer orders in backlog as of December 31, 2017. Inventory days, which is the measure of the average number of days goods remain in inventory before being sold, increased from 13 days at December 31, 2016, to 15 days at December 31, 2017. Operating cash in 2016 was primarily generated by net income before depreciation and amortization and a decrease in inventory, offset by an increase in accounts receivable.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Operating cash in 2015 was primarily generated by net income before depreciation and amortization and an increase in accounts payable offset by increases in accounts receivable and inventory.</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At December 31, 2017, we had $194.3 million in outstanding accounts payable. Such accounts are generally paid within 30 days of incurrence, or earlier when favorable cash discounts are offered. This balance will be financed by cash flows from operations or short-term borrowings under the line of credit. We believe we will be able to meet our obligations under our accounts payable with cash flows from operations and our existing line of credit.</w:t>
      </w:r>
    </w:p>
    <w:p>
      <w:pPr>
        <w:spacing w:after="0" w:line="17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i w:val="1"/>
          <w:iCs w:val="1"/>
          <w:color w:val="auto"/>
        </w:rPr>
        <w:t xml:space="preserve">Cash used for investing activities </w:t>
      </w:r>
      <w:r>
        <w:rPr>
          <w:rFonts w:ascii="Arial" w:cs="Arial" w:eastAsia="Arial" w:hAnsi="Arial"/>
          <w:sz w:val="18"/>
          <w:szCs w:val="18"/>
          <w:color w:val="auto"/>
        </w:rPr>
        <w:t>decreased $43.1 million in 2017, compared to 2016. 2016 included our acquisitions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Softmart, Inc. and GlobalServe, Inc., while in 2017 we did not enter into acquisitions. Cash used to purchase property and equipment less proceeds from the sale of equipment amounted to $11.8 million in 2017, compared to $11.9 million in 2016, and $12.3 million in 2015. These expenditures were primarily related to capitalized internally-developed software in connection with investments in our IT infrastructure, and in 2015, included our investment in a distribution center. The acquisitions of Softmart and GlobalServe represented a net use of cash of $31.9 million and $11.1 million, respectively, for the year ended December 31, 2016. In addition, in 2017 we invested $1.7 million in an ongoing upgrade of our internal IT systems, which we expect to complete mid-year 2019. We expect that the cost to complete this upgrade will be between $15.0 million and $18.0 million.</w:t>
      </w:r>
    </w:p>
    <w:p>
      <w:pPr>
        <w:spacing w:after="0" w:line="197"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i w:val="1"/>
          <w:iCs w:val="1"/>
          <w:color w:val="auto"/>
        </w:rPr>
        <w:t xml:space="preserve">Cash (used for) provided by financing activities </w:t>
      </w:r>
      <w:r>
        <w:rPr>
          <w:rFonts w:ascii="Arial" w:cs="Arial" w:eastAsia="Arial" w:hAnsi="Arial"/>
          <w:sz w:val="17"/>
          <w:szCs w:val="17"/>
          <w:color w:val="auto"/>
        </w:rPr>
        <w:t>decreased $3.0 million in 2017, compared to 2016. Financing uses of</w:t>
      </w:r>
      <w:r>
        <w:rPr>
          <w:rFonts w:ascii="Arial" w:cs="Arial" w:eastAsia="Arial" w:hAnsi="Arial"/>
          <w:sz w:val="17"/>
          <w:szCs w:val="17"/>
          <w:i w:val="1"/>
          <w:iCs w:val="1"/>
          <w:color w:val="auto"/>
        </w:rPr>
        <w:t xml:space="preserve"> </w:t>
      </w:r>
      <w:r>
        <w:rPr>
          <w:rFonts w:ascii="Arial" w:cs="Arial" w:eastAsia="Arial" w:hAnsi="Arial"/>
          <w:sz w:val="17"/>
          <w:szCs w:val="17"/>
          <w:color w:val="auto"/>
        </w:rPr>
        <w:t>cash in 2017 included dividends of $9.0 million declared in December 2016 and paid in January 2017, and in 2016 included dividends of $10.6 million declared in December 2015 and paid in January 2016. Cash provided by financing activities in 2015 related primarily to proceeds of $0.9 million from the issuance of stock under our employee stock purchase plan. In January 2018, the Company paid a dividend of $9.1 million which was declared in December 2017.</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 Instruments, Contractual Agreements, and Related Covenants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Below is a summary of certain provisions of our credit facilities and other contractual obligations. For more information about the restrictive covenants in our debt instruments and inventory financing agreements, see “Factors Affecting Sources of Liquidity” below. For more information about our obligations, commitments, and contingencies, see our consolidated financial statements and the accompanying notes included in this annual report.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Bank Line of Credit. </w:t>
      </w:r>
      <w:r>
        <w:rPr>
          <w:rFonts w:ascii="Arial" w:cs="Arial" w:eastAsia="Arial" w:hAnsi="Arial"/>
          <w:sz w:val="18"/>
          <w:szCs w:val="18"/>
          <w:color w:val="auto"/>
        </w:rPr>
        <w:t>Our bank line of credit extends until February 2022 and is collateralized by our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Our borrowing capacity is up to $50.0 million at the one-month London Interbank Offered Rate, or LIBOR, plus a spread based on our funded debt ratio, or in the absence of LIBOR, the prime rate (4.50% at December 31, 2017). The one-month LIBOR rate at December 31, 2017 was 1.56%. In addition, we have the option to increase the facility by an additional $30.0 million to meet additional borrowing requirements. Our credit facility is subject to certain covenant requirements which are described below under “Factors Affecting Sources of Liquidity.” We did not have any borrowings under the credit facility at December 31, 2017.</w:t>
      </w:r>
    </w:p>
    <w:p>
      <w:pPr>
        <w:spacing w:after="0" w:line="189"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In February of 2017, we renewed our credit facility, extending the expiration date to February 10, 2022, at which time any amounts outstanding become due. The credit facility was renewed with substantially the same terms and conditions as with the preceding agreement.</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Cash receipts are automatically applied against any outstanding borrowings. Any excess cash on account may either remain on account to generate earned credits to offset up to 100% of cash management fees, or may be invested in short-term qualified investments. Borrowings under the line of credit are classified as current. At December 31, 2017, the entire $50.0 million facility was available for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following table sets forth information with respect to our long-term obligations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as of December 31,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Payments Due By Period</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Less Than</w:t>
            </w:r>
          </w:p>
        </w:tc>
        <w:tc>
          <w:tcPr>
            <w:tcW w:w="6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1 – 3</w:t>
            </w:r>
          </w:p>
        </w:tc>
        <w:tc>
          <w:tcPr>
            <w:tcW w:w="6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3 – 5</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1 Year</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Years</w:t>
            </w: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Years</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8"/>
                <w:szCs w:val="8"/>
                <w:color w:val="auto"/>
              </w:rPr>
              <w:t>(1)</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$ 17,221</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4,665</w:t>
            </w:r>
          </w:p>
        </w:tc>
        <w:tc>
          <w:tcPr>
            <w:tcW w:w="1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6,607</w:t>
            </w:r>
          </w:p>
        </w:tc>
        <w:tc>
          <w:tcPr>
            <w:tcW w:w="14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3,734</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 Excluding taxes, insurance, and common area maintenance charges.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Due to the uncertainty with respect to the timing of future cash flows associated with our unrecognized tax benefits at December 31, 2017, we are unable to make reasonably reliable estimates of the period of cash settlement with the respective taxing authority. Therefore, $0.9 million of unrecognized tax benefits, including interest and penalties, have been excluded from the contractual obligations table above. See Note 8 to the Consolidated Financial Statements for a discussion on income taxes.</w:t>
      </w:r>
    </w:p>
    <w:p>
      <w:pPr>
        <w:spacing w:after="0" w:line="188"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lease facilities from our principal stockholders and facilities from third parties under non-cancelable operating leases. Certain leases require us to pay real estate taxes, insurance, and common area maintenance charges.</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We do not have any other off-balance sheet arrangements that have or are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likely to have, a current or future material effect on our financial condition, changes in financial condition, results of operations, liquidity, capital expenditures, or capital resources that is material to investors.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our internally generated funds are our ability to manage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fully achieve our operating efficiencies, timely collection of our customer receivables, and management of our inventory levels.</w:t>
      </w:r>
    </w:p>
    <w:p>
      <w:pPr>
        <w:spacing w:after="0" w:line="181" w:lineRule="exact"/>
        <w:rPr>
          <w:sz w:val="20"/>
          <w:szCs w:val="20"/>
          <w:color w:val="auto"/>
        </w:rPr>
      </w:pPr>
    </w:p>
    <w:p>
      <w:pPr>
        <w:ind w:right="300" w:firstLine="324"/>
        <w:spacing w:after="0" w:line="273" w:lineRule="auto"/>
        <w:rPr>
          <w:sz w:val="20"/>
          <w:szCs w:val="20"/>
          <w:color w:val="auto"/>
        </w:rPr>
      </w:pPr>
      <w:r>
        <w:rPr>
          <w:rFonts w:ascii="Arial" w:cs="Arial" w:eastAsia="Arial" w:hAnsi="Arial"/>
          <w:sz w:val="17"/>
          <w:szCs w:val="17"/>
          <w:i w:val="1"/>
          <w:iCs w:val="1"/>
          <w:color w:val="auto"/>
        </w:rPr>
        <w:t xml:space="preserve">Bank Line of Credit. </w:t>
      </w:r>
      <w:r>
        <w:rPr>
          <w:rFonts w:ascii="Arial" w:cs="Arial" w:eastAsia="Arial" w:hAnsi="Arial"/>
          <w:sz w:val="17"/>
          <w:szCs w:val="17"/>
          <w:color w:val="auto"/>
        </w:rPr>
        <w:t>Our bank line of credit extends until February 2022 and is collateralized by our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As of December 31, 2017, the entire $50.0 million facility was available for borrowing. Our credit facility contains certain financial ratios and operational covenants and other restrictions (including restrictions on additional debt, guarantees, and other distributions, investments, and liens) with which we and all of our subsidiaries must comply. Any failure to comply with these covenants would constitute a default and could prevent us from borrowing additional funds under this line of credit. This credit facility contains two financial tests:</w:t>
      </w:r>
    </w:p>
    <w:p>
      <w:pPr>
        <w:spacing w:after="0" w:line="178" w:lineRule="exact"/>
        <w:rPr>
          <w:sz w:val="20"/>
          <w:szCs w:val="20"/>
          <w:color w:val="auto"/>
        </w:rPr>
      </w:pPr>
    </w:p>
    <w:p>
      <w:pPr>
        <w:ind w:left="320" w:right="100" w:hanging="317"/>
        <w:spacing w:after="0" w:line="276"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funded debt ratio (defined as the average outstanding advances under the line for the quarter, divided by the consolidated Adjusted EBITDA for the trailing four quarters) must not be more than 2.0 to 1.0. Our outstanding borrowings under the credit facility during the fourth quarter of 2017 were immaterial, and accordingly, the funded debt ratio did not limit potential borrowings as of December 31, 2017. Future decreases in our consolidated Adjusted EBITDA, however, could limit our potential borrowings under the credit facility.</w:t>
      </w:r>
    </w:p>
    <w:p>
      <w:pPr>
        <w:spacing w:after="0" w:line="172" w:lineRule="exact"/>
        <w:rPr>
          <w:rFonts w:ascii="Arial" w:cs="Arial" w:eastAsia="Arial" w:hAnsi="Arial"/>
          <w:sz w:val="17"/>
          <w:szCs w:val="17"/>
          <w:color w:val="auto"/>
        </w:rPr>
      </w:pPr>
    </w:p>
    <w:p>
      <w:pPr>
        <w:ind w:left="320" w:right="240" w:hanging="317"/>
        <w:spacing w:after="0" w:line="286"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Minimum Consolidated Net Worth must be at least $346.7 million, plus 50% of consolidated net income for each quarter, beginning with the quarter ended December 31, 2017. Such amount was calculated at December 31, 2017, as $380.6 million, whereas our actual consolidated stockholders’ equity at this date was $482.3 million.</w:t>
      </w:r>
    </w:p>
    <w:p>
      <w:pPr>
        <w:spacing w:after="0" w:line="1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 xml:space="preserve">Capital Markets. </w:t>
      </w:r>
      <w:r>
        <w:rPr>
          <w:rFonts w:ascii="Arial" w:cs="Arial" w:eastAsia="Arial" w:hAnsi="Arial"/>
          <w:sz w:val="18"/>
          <w:szCs w:val="18"/>
          <w:color w:val="auto"/>
        </w:rPr>
        <w:t>Our ability to raise additional funds in the capital market depends upon, among other things,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conditions, the condition of the information technology industry, our financial performance and stock price, and the state of the capital markets.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 “critical accounting policy” has been defined as one that is both important to the portrayal of the registrant’s financial condition and results and requires management’s most difficult, subjective or complex judgments, often as a result of the need to make estimates about the effect of matters that are inherently uncertain. Further, “critical accounting policies” are those that are reflective of significant judgments and uncertainties, and potentially result in materially different results under different assumptions and conditions.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our accounting policies described below fit the definition of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Revenue on product sales is recognized at the point in time when persuasive evidence of an arrangement exists, the price is fixed or determinable,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in-transit despite title transferring at the point of shipment or (ii) have FOB–destination shipping terms specifically set out in our arrangements with federal agencies and certain commercial customers, delivery is deemed to have occurred at the point in time when the product is received by the customer. We use product delivery information regarding shipments at or near the end of the reporting period to estimate the products that have not reached the destination and recognize those revenues in the following period. This process requires us to make estimates of product that is in transit at the reporting date. These estimates are derived from current and historic shipping documentation and the volume of sales. The impact of the deferral of these revenues has not been material in the periods presented.</w:t>
      </w:r>
    </w:p>
    <w:p>
      <w:pPr>
        <w:spacing w:after="0" w:line="18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provide our customers with a limited thirty-day right of return generally limited to defective merchandise. Revenue is recognized at delivery and a reserve for sales returns is recorded. We make reasonable and reliable estimates of product returns based on significant historical experience and record our sales reserves as a reduction of revenues and either as offsets to accounts receivable or, for customers who have already paid, as offsets to accrued expenses. At December 31, 2017, we recorded sales reserves of $3.3 million and $0.2 million as components of accounts receivable and accrued expenses, respectively. At December 31, 2016, we recorded sales reserves of $3.7 million and $0.2 million as components of accounts receivable and accrued expenses, respectively.</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All amounts billed to a customer in a sales transaction related to shipping and handling, if any, represent revenues earned for the goods provided, and these amounts have been classified as “net sales.” Costs related to such shipping and handling billings are classified as “cost of sales.” Sales are reported net of sales, use, or other transaction taxes that are collected from customers and remitted to taxing authorities.</w:t>
      </w:r>
    </w:p>
    <w:p>
      <w:pPr>
        <w:spacing w:after="0" w:line="18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use our own engineering personnel in projects involving the design and installation of systems and networks, and we also engage third-party service providers to perform warranty maintenance, implementations, asset disposals, and other services. This service revenue represents a small percentage of our consolidated revenue. We evaluate such engagements to determine whether we or the third party assumes the general risk and reward of ownership in these transactions. For those transactions in which we do not assume the risk and reward but instead act as an agent, we recognize the transaction revenue on a net basis. Under net sales recognition, the cost of the third party is recorded as a reduction to the selling price, resulting in net sales being equal to the gross profit on the transaction. In those engagements in which we are the principal and primary obligor, we report the sale on a gross basis, and the cost of the service provider is recognized in cost of goods sold.</w:t>
      </w:r>
    </w:p>
    <w:p>
      <w:pPr>
        <w:spacing w:after="0" w:line="166" w:lineRule="exact"/>
        <w:rPr>
          <w:sz w:val="20"/>
          <w:szCs w:val="20"/>
          <w:color w:val="auto"/>
        </w:rPr>
      </w:pPr>
    </w:p>
    <w:p>
      <w:pPr>
        <w:ind w:right="260" w:firstLine="369"/>
        <w:spacing w:after="0" w:line="279" w:lineRule="auto"/>
        <w:rPr>
          <w:sz w:val="20"/>
          <w:szCs w:val="20"/>
          <w:color w:val="auto"/>
        </w:rPr>
      </w:pPr>
      <w:r>
        <w:rPr>
          <w:rFonts w:ascii="Arial" w:cs="Arial" w:eastAsia="Arial" w:hAnsi="Arial"/>
          <w:sz w:val="17"/>
          <w:szCs w:val="17"/>
          <w:color w:val="auto"/>
        </w:rPr>
        <w:t>Similarly, we recognize revenue from agency sales transactions on a net sales basis. In agency sales transactions, we facilitate product sales by equipment and software manufacturers directly to our customers and receive agency, or referral, fees for such transactions. We do not take title to the products or assume any maintenance or return obligations in these transactions; title is passed directly from the supplier to our customer.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Amounts recognized on a net basis included in net sales for such third-party services and agency sales transactions were $38.3 million, $30.2 million, and $24.2 million for the years ended December 31, 2017, 2016, and 2015, respectively.</w:t>
      </w:r>
    </w:p>
    <w:p>
      <w:pPr>
        <w:spacing w:after="0" w:line="12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certain revenue arrangements, our contracts require that we provide multiple units of hardware, software, or services deliverables. Under these multiple-element arrangements, each service performed and product delivered is considered a separate deliverable and qualifies as a separate unit of accounting. For multiple element arrangements, we allocate revenue based on vendor-specific objective evidence of fair value of the underlying services and products. If we were to enter into a multiple element arrangement in which vendor-specific objective evidence was not available, we would utilize third-party evidence to allocate the selling price. If neither vendor-specific objective evidence nor third-party evidence was available, we would estimate the selling price based on market price and company specific factors. Revenue is recognized when the product or service is delivered, consistent with our general revenue recognition policy.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perform ongoing credit evaluations of our customers and adjust credit limits based upon payment history and customers’ current creditworthiness. Our allowance is generally computed by (1) applying specific percentage reserves on accounts that are past due, and (2) specifically reserving for customers known to be in financial difficulty. Therefore, if the financial condition of certain of our customers were to deteriorate, or if we noted there was a lengthening of the timing of the settlement of receivables that was symptomatic of a general deterioration in the ability of our customers to pay, we would have to increase our allowance for doubtful accounts. This would negatively impact our earnings. Our cash flows would be impacted to the extent that receivables could not be collected.</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accounts receivable from customers, we record receivables from our vendors/suppliers for cooperative advertising, price protection, supplier reimbursements, rebates, and other similar arrangements. A portion of such receivables is estimated based on information available from our vendors at discrete points in time. While such estimates have historically approximated actual cash received, a change in estimates could give rise to a reduction in the receivable. This could negatively impact our earnings and our cash flows.</w:t>
      </w:r>
    </w:p>
    <w:p>
      <w:pPr>
        <w:spacing w:after="0" w:line="18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Considerable judgment is used in assessing the ultimate realization of customer receivables and vendor/supplier receivables, including reviewing the financial stability of a customer, vendor information, and gauging current market conditions. If our evaluations are incorrect, we may incur additional charges in the future on our consolidated statements of income. Our trade receivables are charged off in the period in which they are deemed uncollectible. Recoveries of trade receivables previously charged are recorded when received. Write offs of customer and vendor receivables totaled $1.2 million in 2017, and $0.3 million in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Allowances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receive allowances from merchandise vendors for price protections, discounts, product rebates, and other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programs. These allowances are treated as a reduction of the vendor’s prices and are recorded as adjustments to cost of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inventory, as applicable. We also receive vendor co-op advertising funding for our catalogs and other programs. Vendors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the ability to place advertisements in the catalogs or fund other advertising activities for which we receive advertising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allowances. These vendor allowances, to the extent that they represent specific reimbursements of incremental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identifiable costs, are offset against SG&amp;A expense on the consolidated statements of income. Advertising allowances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cannot be associated with a specific program funded by an individual vendor or that exceed the fair value of advertising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 associated with that program are classified as offsets to cost of sales. Our vendor partners generally consolidate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funding of advertising and other marketing programs, and as a result, we classify substantially all vendor allowances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reduction of cost of inventory purchases rather than a reduction of advertising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Inventories (all finished goods) consisting of software packages, computer systems, and peripheral equipment are stated at cost (determined under a weighted-average cost method which approximates the first-in, first-out method) or net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realizable value, whichever is lower. Inventory quantities on hand are reviewed regularly, and provisions are made for obsolete, slow moving, and non-saleable inventory, based primarily on management’s forecast of customer demand for those products in inventory. The IT industry is characterized by rapid technological change and new product development that could result in increased obsolescence of inventory on hand. Increased obsolescence or decreased customer demand beyond management’s expectations could require additional provisions, which could negatively impact our earnings. Our obsolescence charges have ranged between $4.0 million and $5.0 million per annum. Historically, there have been no unusual charges precipitated by specific technological or forecast issues.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of Goodwill and Long-Lived Assets, Including Intangibles</w:t>
      </w:r>
    </w:p>
    <w:p>
      <w:pPr>
        <w:spacing w:after="0" w:line="22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carry a variety of long-lived assets on our consolidated balance sheet. These are all currently classified as held for use. These include property and equipment, identifiable intangibles, and goodwill. An impairment review is undertaken on</w:t>
      </w:r>
    </w:p>
    <w:p>
      <w:pPr>
        <w:ind w:right="80" w:firstLine="3"/>
        <w:spacing w:after="0" w:line="292" w:lineRule="auto"/>
        <w:tabs>
          <w:tab w:leader="none" w:pos="2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annual basis for goodwill and an indefinite-lived intangible; and (2) on an event-driven basis for all long-lived assets when facts and circumstances suggest that cash flows from such assets may be diminished. We have historically reviewed the carrying value of all these assets based partly on our projections of anticipated cash flows. These projections are, in part, dependent upon anticipated market conditions, operational performance, and legal status. Any impairment charge that is recorded negatively impacts our earnings. Cash flows are generally not impacted by an impairment charge.</w:t>
      </w:r>
    </w:p>
    <w:p>
      <w:pPr>
        <w:spacing w:after="0" w:line="16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complete our annual impairment test of goodwill and the indefinite-lived domain name on the first day of each year. The two-step quantitative test for goodwill requires, under the first step, that we determine the fair value of the reporting unit holding goodwill and compare it to the reporting unit’s carrying value. We determine the fair value of a reporting unit by preparing a discounted cash flow analysis using projections of the reporting unit’s future operating results, as well as consideration of market valuation approaches.</w:t>
      </w:r>
    </w:p>
    <w:p>
      <w:pPr>
        <w:spacing w:after="0" w:line="18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Enterprise Solutions and Business Solutions segments hold $66.2 million and $7.4 million of goodwill, respectively. We concluded that the fair values of the two reporting units and the domain name each substantially exceeded the respective carrying value, and accordingly, an impairment was not identified in the annual test. While we believe that our estimates of fair value are reasonable, different assumptions regarding items such as future cash flows and the volatility inherent in markets which we serve could materially affect our valuations and result in impairment charges against the carrying values of those remaining assets in our Enterprise Solutions and Business Solutions segments. Please see Note 3, “Goodwill and Other Intangible Assets” to the Consolidated Financial Statements included in Item 8 of Part II of this report for a discussion of the significant assumptions used in our discounted cash flow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FINANCIAL ACCOUNTING STANDARDS</w:t>
      </w:r>
    </w:p>
    <w:p>
      <w:pPr>
        <w:spacing w:after="0" w:line="229"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Recently issued financial accounting standards are detailed in Note 1, “Summary of Significant Accounting Policies,” in the Notes to Consolidated Financial Statements included in Item 8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08"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We have historically offset any inflation in operating costs by a combination of increased productivity and price increases, where appropriate. We do not expect inflation to have a significant impact on our business in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invest cash balances in excess of operating requirements in short-term securities, generally with maturities of 90 days or less. In addition, our unsecured credit agreement provides for borrowings which bear interest at variable rates based on LIBOR plus a spread or the prime rate. We believe the effect, if any, of reasonably possible near-term changes in interest rates on our financial position, results of operations, and cash flows should not be material. Our credit agreement exposes earnings to changes in short-term interest rates since interest rates on the underlying obligations are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77" w:lineRule="auto"/>
        <w:rPr>
          <w:sz w:val="20"/>
          <w:szCs w:val="20"/>
          <w:color w:val="auto"/>
        </w:rPr>
      </w:pPr>
      <w:r>
        <w:rPr>
          <w:rFonts w:ascii="Arial" w:cs="Arial" w:eastAsia="Arial" w:hAnsi="Arial"/>
          <w:sz w:val="18"/>
          <w:szCs w:val="18"/>
          <w:color w:val="auto"/>
        </w:rPr>
        <w:t>variable. Our average outstanding borrowings during 2017 was minimal. Accordingly, the change in earnings resulting from a hypothetical 10% increase or decrease in interest rates is not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is included in this Report beginning at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ind w:right="99" w:firstLine="324"/>
        <w:spacing w:after="0" w:line="286" w:lineRule="auto"/>
        <w:rPr>
          <w:sz w:val="20"/>
          <w:szCs w:val="20"/>
          <w:color w:val="auto"/>
        </w:rPr>
      </w:pPr>
      <w:r>
        <w:rPr>
          <w:rFonts w:ascii="Arial" w:cs="Arial" w:eastAsia="Arial" w:hAnsi="Arial"/>
          <w:sz w:val="16"/>
          <w:szCs w:val="16"/>
          <w:color w:val="auto"/>
        </w:rPr>
        <w:t>The Company’s management, with the participation of the Chief Executive Officer and Interim Chief Financial Officer, evaluated the effectiveness of the Company’s disclosure controls and procedures as of December 31, 2017. The term “disclosure controls and procedures,” as defined in Rules 13a-15(e) and 15d-15(e) promulgated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The Company’s disclosure controls and procedures are designed to provide reasonable assurance of achieving their objectives as described above. Based on this evaluation, the Chief Executive Officer and Interim Chief Financial Officer concluded that, as of the end of the period covered by this report, the Company’s disclosure controls and procedures were effective at the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159" w:firstLine="324"/>
        <w:spacing w:after="0" w:line="284"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for the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 and includes those policies and procedures that:</w:t>
      </w:r>
    </w:p>
    <w:p>
      <w:pPr>
        <w:spacing w:after="0" w:line="5" w:lineRule="exact"/>
        <w:rPr>
          <w:sz w:val="20"/>
          <w:szCs w:val="20"/>
          <w:color w:val="auto"/>
        </w:rPr>
      </w:pPr>
    </w:p>
    <w:p>
      <w:pPr>
        <w:ind w:right="39" w:firstLine="3"/>
        <w:spacing w:after="0" w:line="290"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ind w:right="199" w:firstLine="324"/>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9" w:firstLine="324"/>
        <w:spacing w:after="0" w:line="312" w:lineRule="auto"/>
        <w:rPr>
          <w:sz w:val="20"/>
          <w:szCs w:val="20"/>
          <w:color w:val="auto"/>
        </w:rPr>
      </w:pPr>
      <w:r>
        <w:rPr>
          <w:rFonts w:ascii="Arial" w:cs="Arial" w:eastAsia="Arial" w:hAnsi="Arial"/>
          <w:sz w:val="16"/>
          <w:szCs w:val="16"/>
          <w:color w:val="auto"/>
        </w:rPr>
        <w:t xml:space="preserve">The Company’s management assessed the effectiveness of the Company’s internal controls over financial reporting as of December 31, 2017. In making this assessment, the Company’s management used the criteria set forth by the Committee of Sponsoring Organizations of the Treadway Commission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w:t>
      </w:r>
    </w:p>
    <w:p>
      <w:pPr>
        <w:spacing w:after="0" w:line="147" w:lineRule="exact"/>
        <w:rPr>
          <w:sz w:val="20"/>
          <w:szCs w:val="20"/>
          <w:color w:val="auto"/>
        </w:rPr>
      </w:pPr>
    </w:p>
    <w:p>
      <w:pPr>
        <w:ind w:right="219" w:firstLine="324"/>
        <w:spacing w:after="0" w:line="277" w:lineRule="auto"/>
        <w:rPr>
          <w:sz w:val="20"/>
          <w:szCs w:val="20"/>
          <w:color w:val="auto"/>
        </w:rPr>
      </w:pPr>
      <w:r>
        <w:rPr>
          <w:rFonts w:ascii="Arial" w:cs="Arial" w:eastAsia="Arial" w:hAnsi="Arial"/>
          <w:sz w:val="18"/>
          <w:szCs w:val="18"/>
          <w:color w:val="auto"/>
        </w:rPr>
        <w:t>Based on our assessment, management concluded that, as of December 31, 2017, the Company’s internal control over financial reporting is effective based on those criteria.</w:t>
      </w:r>
    </w:p>
    <w:p>
      <w:pPr>
        <w:spacing w:after="0" w:line="170" w:lineRule="exact"/>
        <w:rPr>
          <w:sz w:val="20"/>
          <w:szCs w:val="20"/>
          <w:color w:val="auto"/>
        </w:rPr>
      </w:pPr>
    </w:p>
    <w:p>
      <w:pPr>
        <w:ind w:right="199" w:firstLine="324"/>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Company’s internal control over financial reporting as of December 31, 2017. This report appears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 of PC Connection, Inc.</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12"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 xml:space="preserve">We have audited the internal control over financial reporting of PC Connection, Inc. and subsidiaries (the "Company") as of December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3" w:lineRule="exact"/>
        <w:rPr>
          <w:sz w:val="20"/>
          <w:szCs w:val="20"/>
          <w:color w:val="auto"/>
        </w:rPr>
      </w:pPr>
    </w:p>
    <w:p>
      <w:pPr>
        <w:ind w:firstLine="38"/>
        <w:spacing w:after="0" w:line="23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2017, of the Company and our report dated March 9, 2018, expressed an unqualified opinion on those financial statements.</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71" w:lineRule="exact"/>
        <w:rPr>
          <w:sz w:val="20"/>
          <w:szCs w:val="20"/>
          <w:color w:val="auto"/>
        </w:rPr>
      </w:pPr>
    </w:p>
    <w:p>
      <w:pPr>
        <w:jc w:val="both"/>
        <w:ind w:right="100"/>
        <w:spacing w:after="0" w:line="235"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right="180"/>
        <w:spacing w:after="0" w:line="278"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right="180"/>
        <w:spacing w:after="0" w:line="24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March 9, 2018</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ind w:right="179"/>
        <w:spacing w:after="0" w:line="264" w:lineRule="auto"/>
        <w:rPr>
          <w:sz w:val="20"/>
          <w:szCs w:val="20"/>
          <w:color w:val="auto"/>
        </w:rPr>
      </w:pPr>
      <w:r>
        <w:rPr>
          <w:rFonts w:ascii="Arial" w:cs="Arial" w:eastAsia="Arial" w:hAnsi="Arial"/>
          <w:sz w:val="18"/>
          <w:szCs w:val="18"/>
          <w:color w:val="auto"/>
        </w:rPr>
        <w:t>No change in the Company’s internal control over financial reporting (as defined in Rule 13a – 15(f) and 15d – 15(f) under the Exchange Act) occurred during the quarter ended December 31, 2017, which has materially affected, or is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information included under the headings, “Executive Officers of PC Connection” in Item 3 of Part I hereof and “Election of Directors,” “Information Concerning Directors, Nominees, and Executive Officers,” “Section 16(a) Beneficial Ownership Reporting Compliance,” “Code of Business Conduct and Ethics Policy,” and “Board Committees – Audit Committee” in our definitive Proxy Statement for our 2018 Annual Meeting of Stockholders to be filed with the SEC within 120 days of December 31, 2017 (the “Proxy Statement”) is incorporated herein by reference. With the exception of the foregoing information and other information specifically incorporated by reference into this Form 10-K, the Proxy Statement is not being filed as a part hereof.</w:t>
      </w:r>
    </w:p>
    <w:p>
      <w:pPr>
        <w:spacing w:after="0" w:line="18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have adopted a Code of Business Conduct and Ethics that applies to our officers, including our principal executive, financial and accounting officers, and our directors and employees. We have posted the text of our Code of Business Conduct and Ethics under the “Investor Relations” section of our website, www.connection.com. We intend to disclose on our website any amendments to, or waivers from, the Code of Business Conduct and Ethics that are required to be disclosed pursuant to the disclosure requirements of Item 5.05 of Form 8-K.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information included under the headings “Executive Compensation” and “Director Compensation” in the Proxy Statement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information included under the headings “Security Ownership of Certain Beneficial Owners and Management” and “Equity Compensation Plan Information” in the Proxy Statement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The information included under the headings “Certain Relationships and Related Transactions” and “Director Independence” in the Proxy Statement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information included under the heading “Principal Accounting Fees and Services” in the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60" w:hanging="357"/>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Consolidated Financial Statements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consolidated financial statements listed below are included in this document.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jc w:val="center"/>
              <w:ind w:left="890"/>
              <w:spacing w:after="0"/>
              <w:rPr>
                <w:sz w:val="20"/>
                <w:szCs w:val="20"/>
                <w:color w:val="auto"/>
              </w:rPr>
            </w:pPr>
            <w:r>
              <w:rPr>
                <w:rFonts w:ascii="Arial" w:cs="Arial" w:eastAsia="Arial" w:hAnsi="Arial"/>
                <w:sz w:val="18"/>
                <w:szCs w:val="18"/>
                <w:b w:val="1"/>
                <w:bCs w:val="1"/>
                <w:color w:val="auto"/>
                <w:w w:val="88"/>
              </w:rPr>
              <w:t>Page</w:t>
            </w:r>
          </w:p>
        </w:tc>
      </w:tr>
      <w:tr>
        <w:trPr>
          <w:trHeight w:val="220"/>
        </w:trPr>
        <w:tc>
          <w:tcPr>
            <w:tcW w:w="5320" w:type="dxa"/>
            <w:vAlign w:val="bottom"/>
            <w:gridSpan w:val="7"/>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840" w:type="dxa"/>
            <w:vAlign w:val="bottom"/>
          </w:tcPr>
          <w:p>
            <w:pPr>
              <w:jc w:val="center"/>
              <w:ind w:left="910"/>
              <w:spacing w:after="0"/>
              <w:rPr>
                <w:sz w:val="20"/>
                <w:szCs w:val="20"/>
                <w:color w:val="auto"/>
              </w:rPr>
            </w:pPr>
            <w:r>
              <w:rPr>
                <w:rFonts w:ascii="Arial" w:cs="Arial" w:eastAsia="Arial" w:hAnsi="Arial"/>
                <w:sz w:val="18"/>
                <w:szCs w:val="18"/>
                <w:b w:val="1"/>
                <w:bCs w:val="1"/>
                <w:color w:val="auto"/>
                <w:w w:val="86"/>
              </w:rPr>
              <w:t>References</w:t>
            </w:r>
          </w:p>
        </w:tc>
      </w:tr>
      <w:tr>
        <w:trPr>
          <w:trHeight w:val="190"/>
        </w:trPr>
        <w:tc>
          <w:tcPr>
            <w:tcW w:w="5320" w:type="dxa"/>
            <w:vAlign w:val="bottom"/>
            <w:gridSpan w:val="7"/>
          </w:tcPr>
          <w:p>
            <w:pPr>
              <w:spacing w:after="0" w:line="190" w:lineRule="exact"/>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1840" w:type="dxa"/>
            <w:vAlign w:val="bottom"/>
          </w:tcPr>
          <w:p>
            <w:pPr>
              <w:jc w:val="center"/>
              <w:ind w:left="890"/>
              <w:spacing w:after="0" w:line="190" w:lineRule="exact"/>
              <w:rPr>
                <w:sz w:val="20"/>
                <w:szCs w:val="20"/>
                <w:color w:val="auto"/>
              </w:rPr>
            </w:pPr>
            <w:r>
              <w:rPr>
                <w:rFonts w:ascii="Arial" w:cs="Arial" w:eastAsia="Arial" w:hAnsi="Arial"/>
                <w:sz w:val="18"/>
                <w:szCs w:val="18"/>
                <w:color w:val="auto"/>
                <w:w w:val="96"/>
              </w:rPr>
              <w:t>F-2</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7"/>
                <w:szCs w:val="17"/>
                <w:color w:val="auto"/>
              </w:rPr>
            </w:pPr>
          </w:p>
        </w:tc>
        <w:tc>
          <w:tcPr>
            <w:tcW w:w="1100" w:type="dxa"/>
            <w:vAlign w:val="bottom"/>
            <w:gridSpan w:val="2"/>
          </w:tcPr>
          <w:p>
            <w:pPr>
              <w:spacing w:after="0"/>
              <w:rPr>
                <w:sz w:val="17"/>
                <w:szCs w:val="17"/>
                <w:color w:val="auto"/>
              </w:rPr>
            </w:pPr>
          </w:p>
        </w:tc>
        <w:tc>
          <w:tcPr>
            <w:tcW w:w="1840" w:type="dxa"/>
            <w:vAlign w:val="bottom"/>
          </w:tcPr>
          <w:p>
            <w:pPr>
              <w:jc w:val="center"/>
              <w:ind w:left="890"/>
              <w:spacing w:after="0" w:line="196" w:lineRule="exact"/>
              <w:rPr>
                <w:sz w:val="20"/>
                <w:szCs w:val="20"/>
                <w:color w:val="auto"/>
              </w:rPr>
            </w:pPr>
            <w:r>
              <w:rPr>
                <w:rFonts w:ascii="Arial" w:cs="Arial" w:eastAsia="Arial" w:hAnsi="Arial"/>
                <w:sz w:val="18"/>
                <w:szCs w:val="18"/>
                <w:color w:val="auto"/>
                <w:w w:val="96"/>
              </w:rPr>
              <w:t>F-3</w:t>
            </w:r>
          </w:p>
        </w:tc>
      </w:tr>
      <w:tr>
        <w:trPr>
          <w:trHeight w:val="196"/>
        </w:trPr>
        <w:tc>
          <w:tcPr>
            <w:tcW w:w="532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Income</w:t>
              </w:r>
            </w:hyperlink>
          </w:p>
        </w:tc>
        <w:tc>
          <w:tcPr>
            <w:tcW w:w="1840" w:type="dxa"/>
            <w:vAlign w:val="bottom"/>
          </w:tcPr>
          <w:p>
            <w:pPr>
              <w:jc w:val="center"/>
              <w:ind w:left="890"/>
              <w:spacing w:after="0" w:line="196" w:lineRule="exact"/>
              <w:rPr>
                <w:sz w:val="20"/>
                <w:szCs w:val="20"/>
                <w:color w:val="auto"/>
              </w:rPr>
            </w:pPr>
            <w:r>
              <w:rPr>
                <w:rFonts w:ascii="Arial" w:cs="Arial" w:eastAsia="Arial" w:hAnsi="Arial"/>
                <w:sz w:val="18"/>
                <w:szCs w:val="18"/>
                <w:color w:val="auto"/>
                <w:w w:val="96"/>
              </w:rPr>
              <w:t>F-4</w:t>
            </w:r>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Consolidated Statement of Changes in Stockholders’ Equity</w:t>
              </w:r>
            </w:hyperlink>
          </w:p>
        </w:tc>
        <w:tc>
          <w:tcPr>
            <w:tcW w:w="980" w:type="dxa"/>
            <w:vAlign w:val="bottom"/>
          </w:tcPr>
          <w:p>
            <w:pPr>
              <w:spacing w:after="0"/>
              <w:rPr>
                <w:sz w:val="17"/>
                <w:szCs w:val="17"/>
                <w:color w:val="auto"/>
              </w:rPr>
            </w:pPr>
          </w:p>
        </w:tc>
        <w:tc>
          <w:tcPr>
            <w:tcW w:w="1840" w:type="dxa"/>
            <w:vAlign w:val="bottom"/>
          </w:tcPr>
          <w:p>
            <w:pPr>
              <w:jc w:val="center"/>
              <w:ind w:left="890"/>
              <w:spacing w:after="0" w:line="196" w:lineRule="exact"/>
              <w:rPr>
                <w:sz w:val="20"/>
                <w:szCs w:val="20"/>
                <w:color w:val="auto"/>
              </w:rPr>
            </w:pPr>
            <w:r>
              <w:rPr>
                <w:rFonts w:ascii="Arial" w:cs="Arial" w:eastAsia="Arial" w:hAnsi="Arial"/>
                <w:sz w:val="18"/>
                <w:szCs w:val="18"/>
                <w:color w:val="auto"/>
                <w:w w:val="96"/>
              </w:rPr>
              <w:t>F-5</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Cash Flows</w:t>
              </w:r>
            </w:hyperlink>
          </w:p>
        </w:tc>
        <w:tc>
          <w:tcPr>
            <w:tcW w:w="2440" w:type="dxa"/>
            <w:vAlign w:val="bottom"/>
            <w:gridSpan w:val="4"/>
          </w:tcPr>
          <w:p>
            <w:pPr>
              <w:spacing w:after="0"/>
              <w:rPr>
                <w:sz w:val="17"/>
                <w:szCs w:val="17"/>
                <w:color w:val="auto"/>
              </w:rPr>
            </w:pPr>
          </w:p>
        </w:tc>
        <w:tc>
          <w:tcPr>
            <w:tcW w:w="1840" w:type="dxa"/>
            <w:vAlign w:val="bottom"/>
          </w:tcPr>
          <w:p>
            <w:pPr>
              <w:jc w:val="center"/>
              <w:ind w:left="890"/>
              <w:spacing w:after="0" w:line="196" w:lineRule="exact"/>
              <w:rPr>
                <w:sz w:val="20"/>
                <w:szCs w:val="20"/>
                <w:color w:val="auto"/>
              </w:rPr>
            </w:pPr>
            <w:r>
              <w:rPr>
                <w:rFonts w:ascii="Arial" w:cs="Arial" w:eastAsia="Arial" w:hAnsi="Arial"/>
                <w:sz w:val="18"/>
                <w:szCs w:val="18"/>
                <w:color w:val="auto"/>
                <w:w w:val="96"/>
              </w:rPr>
              <w:t>F-6</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Notes to Consolidated Financial Statements</w:t>
              </w:r>
            </w:hyperlink>
          </w:p>
        </w:tc>
        <w:tc>
          <w:tcPr>
            <w:tcW w:w="2160" w:type="dxa"/>
            <w:vAlign w:val="bottom"/>
            <w:gridSpan w:val="3"/>
          </w:tcPr>
          <w:p>
            <w:pPr>
              <w:spacing w:after="0"/>
              <w:rPr>
                <w:sz w:val="17"/>
                <w:szCs w:val="17"/>
                <w:color w:val="auto"/>
              </w:rPr>
            </w:pPr>
          </w:p>
        </w:tc>
        <w:tc>
          <w:tcPr>
            <w:tcW w:w="1840" w:type="dxa"/>
            <w:vAlign w:val="bottom"/>
          </w:tcPr>
          <w:p>
            <w:pPr>
              <w:jc w:val="center"/>
              <w:ind w:left="890"/>
              <w:spacing w:after="0" w:line="196" w:lineRule="exact"/>
              <w:rPr>
                <w:sz w:val="20"/>
                <w:szCs w:val="20"/>
                <w:color w:val="auto"/>
              </w:rPr>
            </w:pPr>
            <w:r>
              <w:rPr>
                <w:rFonts w:ascii="Arial" w:cs="Arial" w:eastAsia="Arial" w:hAnsi="Arial"/>
                <w:sz w:val="18"/>
                <w:szCs w:val="18"/>
                <w:color w:val="auto"/>
                <w:w w:val="96"/>
              </w:rPr>
              <w:t>F-7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 Consolidated Financial Statement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 Schedule, as set forth below, is filed with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580" w:type="dxa"/>
            <w:vAlign w:val="bottom"/>
          </w:tcPr>
          <w:p>
            <w:pPr>
              <w:jc w:val="center"/>
              <w:ind w:left="2730"/>
              <w:spacing w:after="0"/>
              <w:rPr>
                <w:sz w:val="20"/>
                <w:szCs w:val="20"/>
                <w:color w:val="auto"/>
              </w:rPr>
            </w:pPr>
            <w:r>
              <w:rPr>
                <w:rFonts w:ascii="Arial" w:cs="Arial" w:eastAsia="Arial" w:hAnsi="Arial"/>
                <w:sz w:val="18"/>
                <w:szCs w:val="18"/>
                <w:b w:val="1"/>
                <w:bCs w:val="1"/>
                <w:color w:val="auto"/>
                <w:w w:val="83"/>
              </w:rPr>
              <w:t>Page</w:t>
            </w:r>
          </w:p>
        </w:tc>
      </w:tr>
      <w:tr>
        <w:trPr>
          <w:trHeight w:val="220"/>
        </w:trPr>
        <w:tc>
          <w:tcPr>
            <w:tcW w:w="3560" w:type="dxa"/>
            <w:vAlign w:val="bottom"/>
          </w:tcPr>
          <w:p>
            <w:pPr>
              <w:spacing w:after="0"/>
              <w:rPr>
                <w:sz w:val="20"/>
                <w:szCs w:val="20"/>
                <w:color w:val="auto"/>
              </w:rPr>
            </w:pPr>
            <w:r>
              <w:rPr>
                <w:rFonts w:ascii="Arial" w:cs="Arial" w:eastAsia="Arial" w:hAnsi="Arial"/>
                <w:sz w:val="18"/>
                <w:szCs w:val="18"/>
                <w:b w:val="1"/>
                <w:bCs w:val="1"/>
                <w:color w:val="auto"/>
              </w:rPr>
              <w:t>Schedule</w:t>
            </w:r>
          </w:p>
        </w:tc>
        <w:tc>
          <w:tcPr>
            <w:tcW w:w="3580" w:type="dxa"/>
            <w:vAlign w:val="bottom"/>
          </w:tcPr>
          <w:p>
            <w:pPr>
              <w:jc w:val="center"/>
              <w:ind w:left="2730"/>
              <w:spacing w:after="0"/>
              <w:rPr>
                <w:sz w:val="20"/>
                <w:szCs w:val="20"/>
                <w:color w:val="auto"/>
              </w:rPr>
            </w:pPr>
            <w:r>
              <w:rPr>
                <w:rFonts w:ascii="Arial" w:cs="Arial" w:eastAsia="Arial" w:hAnsi="Arial"/>
                <w:sz w:val="18"/>
                <w:szCs w:val="18"/>
                <w:b w:val="1"/>
                <w:bCs w:val="1"/>
                <w:color w:val="auto"/>
                <w:w w:val="87"/>
              </w:rPr>
              <w:t>Reference</w:t>
            </w:r>
          </w:p>
        </w:tc>
      </w:tr>
      <w:tr>
        <w:trPr>
          <w:trHeight w:val="190"/>
        </w:trPr>
        <w:tc>
          <w:tcPr>
            <w:tcW w:w="3560" w:type="dxa"/>
            <w:vAlign w:val="bottom"/>
            <w:tcBorders>
              <w:bottom w:val="single" w:sz="8" w:color="0000EE"/>
            </w:tcBorders>
          </w:tcPr>
          <w:p>
            <w:pPr>
              <w:spacing w:after="0" w:line="190"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Schedule II—Valuation and Qualifying Accounts</w:t>
              </w:r>
            </w:hyperlink>
          </w:p>
        </w:tc>
        <w:tc>
          <w:tcPr>
            <w:tcW w:w="3580" w:type="dxa"/>
            <w:vAlign w:val="bottom"/>
          </w:tcPr>
          <w:p>
            <w:pPr>
              <w:jc w:val="center"/>
              <w:ind w:left="2730"/>
              <w:spacing w:after="0" w:line="190" w:lineRule="exact"/>
              <w:rPr>
                <w:sz w:val="20"/>
                <w:szCs w:val="20"/>
                <w:color w:val="auto"/>
              </w:rPr>
            </w:pPr>
            <w:r>
              <w:rPr>
                <w:rFonts w:ascii="Arial" w:cs="Arial" w:eastAsia="Arial" w:hAnsi="Arial"/>
                <w:sz w:val="18"/>
                <w:szCs w:val="18"/>
                <w:color w:val="auto"/>
                <w:w w:val="85"/>
              </w:rPr>
              <w:t>S-1</w:t>
            </w:r>
          </w:p>
        </w:tc>
      </w:tr>
    </w:tbl>
    <w:p>
      <w:pPr>
        <w:spacing w:after="0" w:line="229"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All other schedules have been omitted because they are either not applicable or the relevant information has already been disclosed in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(3) The exhibits listed in the Exhibit Index in Item 15(b) below are filed as part of this Annual Report on Form 10-K.</w:t>
      </w:r>
    </w:p>
    <w:p>
      <w:pPr>
        <w:spacing w:after="0" w:line="23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Exhibits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exhibits listed below are filed herewith or are incorporated herein by reference to other filings.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40" w:type="dxa"/>
            <w:vAlign w:val="bottom"/>
            <w:gridSpan w:val="34"/>
          </w:tcPr>
          <w:p>
            <w:pPr>
              <w:jc w:val="center"/>
              <w:ind w:right="34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Exhibits</w:t>
            </w:r>
          </w:p>
        </w:tc>
        <w:tc>
          <w:tcPr>
            <w:tcW w:w="280" w:type="dxa"/>
            <w:vAlign w:val="bottom"/>
          </w:tcPr>
          <w:p>
            <w:pPr>
              <w:spacing w:after="0"/>
              <w:rPr>
                <w:sz w:val="24"/>
                <w:szCs w:val="24"/>
                <w:color w:val="auto"/>
              </w:rPr>
            </w:pPr>
          </w:p>
        </w:tc>
        <w:tc>
          <w:tcPr>
            <w:tcW w:w="7720" w:type="dxa"/>
            <w:vAlign w:val="bottom"/>
            <w:gridSpan w:val="39"/>
            <w:vMerge w:val="restart"/>
          </w:tcPr>
          <w:p>
            <w:pPr>
              <w:spacing w:after="0"/>
              <w:rPr>
                <w:rFonts w:ascii="Arial" w:cs="Arial" w:eastAsia="Arial" w:hAnsi="Arial"/>
                <w:sz w:val="18"/>
                <w:szCs w:val="18"/>
                <w:color w:val="0000EE"/>
              </w:rPr>
            </w:pPr>
            <w:hyperlink r:id="rId55">
              <w:r>
                <w:rPr>
                  <w:rFonts w:ascii="Arial" w:cs="Arial" w:eastAsia="Arial" w:hAnsi="Arial"/>
                  <w:sz w:val="18"/>
                  <w:szCs w:val="18"/>
                  <w:color w:val="0000EE"/>
                </w:rPr>
                <w:t>Amended and Restated Certificate of Incorporation of Registrant, as amended.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line="142" w:lineRule="exact"/>
              <w:rPr>
                <w:sz w:val="20"/>
                <w:szCs w:val="20"/>
                <w:color w:val="auto"/>
              </w:rPr>
            </w:pPr>
            <w:r>
              <w:rPr>
                <w:rFonts w:ascii="Arial" w:cs="Arial" w:eastAsia="Arial" w:hAnsi="Arial"/>
                <w:sz w:val="16"/>
                <w:szCs w:val="16"/>
                <w:color w:val="auto"/>
              </w:rPr>
              <w:t>3.1(5)</w:t>
            </w:r>
          </w:p>
        </w:tc>
        <w:tc>
          <w:tcPr>
            <w:tcW w:w="280" w:type="dxa"/>
            <w:vAlign w:val="bottom"/>
          </w:tcPr>
          <w:p>
            <w:pPr>
              <w:spacing w:after="0"/>
              <w:rPr>
                <w:sz w:val="13"/>
                <w:szCs w:val="13"/>
                <w:color w:val="auto"/>
              </w:rPr>
            </w:pPr>
          </w:p>
        </w:tc>
        <w:tc>
          <w:tcPr>
            <w:tcW w:w="7720" w:type="dxa"/>
            <w:vAlign w:val="bottom"/>
            <w:gridSpan w:val="3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auto"/>
              </w:rPr>
              <w:t>3.2(10)</w:t>
            </w:r>
          </w:p>
        </w:tc>
        <w:tc>
          <w:tcPr>
            <w:tcW w:w="280" w:type="dxa"/>
            <w:vAlign w:val="bottom"/>
          </w:tcPr>
          <w:p>
            <w:pPr>
              <w:spacing w:after="0"/>
              <w:rPr>
                <w:sz w:val="18"/>
                <w:szCs w:val="18"/>
                <w:color w:val="auto"/>
              </w:rPr>
            </w:pPr>
          </w:p>
        </w:tc>
        <w:tc>
          <w:tcPr>
            <w:tcW w:w="3280" w:type="dxa"/>
            <w:vAlign w:val="bottom"/>
            <w:tcBorders>
              <w:bottom w:val="single" w:sz="8" w:color="0000EE"/>
            </w:tcBorders>
            <w:gridSpan w:val="8"/>
          </w:tcPr>
          <w:p>
            <w:pPr>
              <w:spacing w:after="0"/>
              <w:rPr>
                <w:rFonts w:ascii="Arial" w:cs="Arial" w:eastAsia="Arial" w:hAnsi="Arial"/>
                <w:sz w:val="18"/>
                <w:szCs w:val="18"/>
                <w:color w:val="0000EE"/>
                <w:w w:val="89"/>
              </w:rPr>
            </w:pPr>
            <w:hyperlink r:id="rId56">
              <w:r>
                <w:rPr>
                  <w:rFonts w:ascii="Arial" w:cs="Arial" w:eastAsia="Arial" w:hAnsi="Arial"/>
                  <w:sz w:val="18"/>
                  <w:szCs w:val="18"/>
                  <w:color w:val="0000EE"/>
                  <w:w w:val="89"/>
                </w:rPr>
                <w:t>Amended and Restated Bylaws of Registrant.</w:t>
              </w:r>
            </w:hyperlink>
          </w:p>
        </w:tc>
        <w:tc>
          <w:tcPr>
            <w:tcW w:w="4440" w:type="dxa"/>
            <w:vAlign w:val="bottom"/>
            <w:gridSpan w:val="3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4.1(1)</w:t>
            </w: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w w:val="93"/>
              </w:rPr>
            </w:pPr>
            <w:hyperlink r:id="rId57">
              <w:r>
                <w:rPr>
                  <w:rFonts w:ascii="Arial" w:cs="Arial" w:eastAsia="Arial" w:hAnsi="Arial"/>
                  <w:sz w:val="18"/>
                  <w:szCs w:val="18"/>
                  <w:color w:val="0000EE"/>
                  <w:w w:val="93"/>
                </w:rPr>
                <w:t xml:space="preserve">Form of specimen certificate for shares of Common Stock, </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0.01 par value per share, of the Registrant.</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9.1(1)*</w:t>
            </w: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w w:val="93"/>
              </w:rPr>
            </w:pPr>
            <w:hyperlink r:id="rId57">
              <w:r>
                <w:rPr>
                  <w:rFonts w:ascii="Arial" w:cs="Arial" w:eastAsia="Arial" w:hAnsi="Arial"/>
                  <w:sz w:val="18"/>
                  <w:szCs w:val="18"/>
                  <w:color w:val="0000EE"/>
                  <w:w w:val="93"/>
                </w:rPr>
                <w:t>Form of 1998 PC Connection Voting Trust Agreement among the Registrant, Patricia Gallup individually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and as a trustee, and David Hall individually and as trustee.</w:t>
              </w:r>
            </w:hyperlink>
          </w:p>
        </w:tc>
        <w:tc>
          <w:tcPr>
            <w:tcW w:w="3300" w:type="dxa"/>
            <w:vAlign w:val="bottom"/>
            <w:tcBorders>
              <w:top w:val="single" w:sz="8" w:color="0000EE"/>
            </w:tcBorders>
            <w:gridSpan w:val="25"/>
          </w:tcPr>
          <w:p>
            <w:pPr>
              <w:spacing w:after="0"/>
              <w:rPr>
                <w:sz w:val="17"/>
                <w:szCs w:val="17"/>
                <w:color w:val="auto"/>
              </w:rPr>
            </w:pP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10.1(1)*</w:t>
            </w:r>
          </w:p>
        </w:tc>
        <w:tc>
          <w:tcPr>
            <w:tcW w:w="280" w:type="dxa"/>
            <w:vAlign w:val="bottom"/>
          </w:tcPr>
          <w:p>
            <w:pPr>
              <w:spacing w:after="0"/>
              <w:rPr>
                <w:sz w:val="17"/>
                <w:szCs w:val="17"/>
                <w:color w:val="auto"/>
              </w:rPr>
            </w:pPr>
          </w:p>
        </w:tc>
        <w:tc>
          <w:tcPr>
            <w:tcW w:w="754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Form of Registration Rights Agreement among the Registrant, Patricia Gallup, David Hall, and the 1998</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PC Connection Voting Trust.</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10.2(4)*</w:t>
            </w:r>
          </w:p>
        </w:tc>
        <w:tc>
          <w:tcPr>
            <w:tcW w:w="28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58">
              <w:r>
                <w:rPr>
                  <w:rFonts w:ascii="Arial" w:cs="Arial" w:eastAsia="Arial" w:hAnsi="Arial"/>
                  <w:sz w:val="18"/>
                  <w:szCs w:val="18"/>
                  <w:color w:val="0000EE"/>
                  <w:w w:val="89"/>
                </w:rPr>
                <w:t>Amended and Restated 1997 Stock Incentive Plan.</w:t>
              </w:r>
            </w:hyperlink>
          </w:p>
        </w:tc>
        <w:tc>
          <w:tcPr>
            <w:tcW w:w="406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10.3(21)*</w:t>
            </w: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Amended and Restated 2007 Stock Incentive Plan, as amended.</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10.4(23)*</w:t>
            </w: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Amended and Restated 1997 Employee Stock Purchase Plan, as amended.</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10.5(9)*</w:t>
            </w: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Form of Incentive Stock Option Agreement for 2007 Stock Incentive Plan.</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2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10.6(9)*</w:t>
            </w:r>
          </w:p>
        </w:tc>
        <w:tc>
          <w:tcPr>
            <w:tcW w:w="280" w:type="dxa"/>
            <w:vAlign w:val="bottom"/>
          </w:tcPr>
          <w:p>
            <w:pPr>
              <w:spacing w:after="0"/>
              <w:rPr>
                <w:sz w:val="17"/>
                <w:szCs w:val="17"/>
                <w:color w:val="auto"/>
              </w:rPr>
            </w:pPr>
          </w:p>
        </w:tc>
        <w:tc>
          <w:tcPr>
            <w:tcW w:w="56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Form of Nonstatutory Stock Option Agreement for 2007 Stock Incentive Plan.</w:t>
              </w:r>
            </w:hyperlink>
          </w:p>
        </w:tc>
        <w:tc>
          <w:tcPr>
            <w:tcW w:w="20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10.7(15)*</w:t>
            </w: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w w:val="96"/>
              </w:rPr>
            </w:pPr>
            <w:hyperlink r:id="rId63">
              <w:r>
                <w:rPr>
                  <w:rFonts w:ascii="Arial" w:cs="Arial" w:eastAsia="Arial" w:hAnsi="Arial"/>
                  <w:sz w:val="18"/>
                  <w:szCs w:val="18"/>
                  <w:color w:val="0000EE"/>
                  <w:w w:val="96"/>
                </w:rPr>
                <w:t>Amended and Restated Form of Restricted Stock Agreement for Amended and Restated 2007 Stock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63">
              <w:r>
                <w:rPr>
                  <w:rFonts w:ascii="Arial" w:cs="Arial" w:eastAsia="Arial" w:hAnsi="Arial"/>
                  <w:sz w:val="18"/>
                  <w:szCs w:val="18"/>
                  <w:color w:val="0000EE"/>
                  <w:w w:val="89"/>
                </w:rPr>
                <w:t>Incentive Plan.</w:t>
              </w:r>
            </w:hyperlink>
          </w:p>
        </w:tc>
        <w:tc>
          <w:tcPr>
            <w:tcW w:w="6120" w:type="dxa"/>
            <w:vAlign w:val="bottom"/>
            <w:tcBorders>
              <w:top w:val="single" w:sz="8" w:color="0000EE"/>
            </w:tcBorders>
            <w:gridSpan w:val="24"/>
          </w:tcPr>
          <w:p>
            <w:pPr>
              <w:spacing w:after="0"/>
              <w:rPr>
                <w:sz w:val="17"/>
                <w:szCs w:val="17"/>
                <w:color w:val="auto"/>
              </w:rPr>
            </w:pPr>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10.8(15)*</w:t>
            </w:r>
          </w:p>
        </w:tc>
        <w:tc>
          <w:tcPr>
            <w:tcW w:w="280" w:type="dxa"/>
            <w:vAlign w:val="bottom"/>
          </w:tcPr>
          <w:p>
            <w:pPr>
              <w:spacing w:after="0"/>
              <w:rPr>
                <w:sz w:val="17"/>
                <w:szCs w:val="17"/>
                <w:color w:val="auto"/>
              </w:rPr>
            </w:pPr>
          </w:p>
        </w:tc>
        <w:tc>
          <w:tcPr>
            <w:tcW w:w="70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Form of Restricted Stock Unit Agreement for Amended and Restated 2007 Stock Incentive Plan.</w:t>
              </w:r>
            </w:hyperlink>
          </w:p>
        </w:tc>
        <w:tc>
          <w:tcPr>
            <w:tcW w:w="7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10.9(17)</w:t>
            </w:r>
          </w:p>
        </w:tc>
        <w:tc>
          <w:tcPr>
            <w:tcW w:w="280" w:type="dxa"/>
            <w:vAlign w:val="bottom"/>
          </w:tcPr>
          <w:p>
            <w:pPr>
              <w:spacing w:after="0"/>
              <w:rPr>
                <w:sz w:val="17"/>
                <w:szCs w:val="17"/>
                <w:color w:val="auto"/>
              </w:rPr>
            </w:pPr>
          </w:p>
        </w:tc>
        <w:tc>
          <w:tcPr>
            <w:tcW w:w="70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Form of Stock Equivalent Unit Agreement for 2007 Amended and Restated Stock Incentive Plan.</w:t>
              </w:r>
            </w:hyperlink>
          </w:p>
        </w:tc>
        <w:tc>
          <w:tcPr>
            <w:tcW w:w="6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10.10(19)*</w:t>
            </w: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Executive Bonus Plan, as amended.</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10.11(1)*</w:t>
            </w:r>
          </w:p>
        </w:tc>
        <w:tc>
          <w:tcPr>
            <w:tcW w:w="280" w:type="dxa"/>
            <w:vAlign w:val="bottom"/>
          </w:tcPr>
          <w:p>
            <w:pPr>
              <w:spacing w:after="0"/>
              <w:rPr>
                <w:sz w:val="17"/>
                <w:szCs w:val="17"/>
                <w:color w:val="auto"/>
              </w:rPr>
            </w:pPr>
          </w:p>
        </w:tc>
        <w:tc>
          <w:tcPr>
            <w:tcW w:w="70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67">
              <w:r>
                <w:rPr>
                  <w:rFonts w:ascii="Arial" w:cs="Arial" w:eastAsia="Arial" w:hAnsi="Arial"/>
                  <w:sz w:val="18"/>
                  <w:szCs w:val="18"/>
                  <w:color w:val="0000EE"/>
                  <w:w w:val="89"/>
                </w:rPr>
                <w:t>Employment Agreement, dated as of January 1, 1998, between the Registrant and Patricia Gallup.</w:t>
              </w:r>
            </w:hyperlink>
          </w:p>
        </w:tc>
        <w:tc>
          <w:tcPr>
            <w:tcW w:w="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10.12(11)*</w:t>
            </w:r>
          </w:p>
        </w:tc>
        <w:tc>
          <w:tcPr>
            <w:tcW w:w="280" w:type="dxa"/>
            <w:vAlign w:val="bottom"/>
          </w:tcPr>
          <w:p>
            <w:pPr>
              <w:spacing w:after="0"/>
              <w:rPr>
                <w:sz w:val="17"/>
                <w:szCs w:val="17"/>
                <w:color w:val="auto"/>
              </w:rPr>
            </w:pPr>
          </w:p>
        </w:tc>
        <w:tc>
          <w:tcPr>
            <w:tcW w:w="71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Employment Agreement, dated as of May 12, 2008, between the Registrant and Timothy McGrath.</w:t>
              </w:r>
            </w:hyperlink>
          </w:p>
        </w:tc>
        <w:tc>
          <w:tcPr>
            <w:tcW w:w="5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10.13(7)</w:t>
            </w:r>
          </w:p>
        </w:tc>
        <w:tc>
          <w:tcPr>
            <w:tcW w:w="280" w:type="dxa"/>
            <w:vAlign w:val="bottom"/>
          </w:tcPr>
          <w:p>
            <w:pPr>
              <w:spacing w:after="0"/>
              <w:rPr>
                <w:sz w:val="17"/>
                <w:szCs w:val="17"/>
                <w:color w:val="auto"/>
              </w:rPr>
            </w:pPr>
          </w:p>
        </w:tc>
        <w:tc>
          <w:tcPr>
            <w:tcW w:w="69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Agreement for Inventory Financing, dated as of October 31, 2002, by and among the Registrant,</w:t>
              </w:r>
            </w:hyperlink>
          </w:p>
        </w:tc>
        <w:tc>
          <w:tcPr>
            <w:tcW w:w="7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Merrimack Services Corporation, GovConnection, Inc., MoreDirect, Inc., and IBM Credit Corporation.</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10.14(7)</w:t>
            </w:r>
          </w:p>
        </w:tc>
        <w:tc>
          <w:tcPr>
            <w:tcW w:w="280" w:type="dxa"/>
            <w:vAlign w:val="bottom"/>
          </w:tcPr>
          <w:p>
            <w:pPr>
              <w:spacing w:after="0"/>
              <w:rPr>
                <w:sz w:val="17"/>
                <w:szCs w:val="17"/>
                <w:color w:val="auto"/>
              </w:rPr>
            </w:pPr>
          </w:p>
        </w:tc>
        <w:tc>
          <w:tcPr>
            <w:tcW w:w="772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Guaranty, dated as of November 14, 2002, entered into by Registrant in connection with the Agreement for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34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Inventory Financing, dated as of October 31, 2002, by and among the Registrant, Merrimack Services</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Corporation, GovConnection, Inc., MoreDirect, Inc., and IBM Credit Corporation.</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08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10.15(7)</w:t>
            </w:r>
          </w:p>
        </w:tc>
        <w:tc>
          <w:tcPr>
            <w:tcW w:w="280" w:type="dxa"/>
            <w:vAlign w:val="bottom"/>
          </w:tcPr>
          <w:p>
            <w:pPr>
              <w:spacing w:after="0"/>
              <w:rPr>
                <w:sz w:val="17"/>
                <w:szCs w:val="17"/>
                <w:color w:val="auto"/>
              </w:rPr>
            </w:pPr>
          </w:p>
        </w:tc>
        <w:tc>
          <w:tcPr>
            <w:tcW w:w="768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Guaranty, dated as of November 14, 2002, entered into by PC Connection Sales Corporation in connection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with the Agreement for Inventory Financing, dated as of October 31, 2002, by and among the Registrant,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32"/>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Merrimack Services Corporation, GovConnection, Inc., MoreDirect, Inc., and IBM Credit Corporation.</w:t>
              </w:r>
            </w:hyperlink>
          </w:p>
        </w:tc>
        <w:tc>
          <w:tcPr>
            <w:tcW w:w="100" w:type="dxa"/>
            <w:vAlign w:val="bottom"/>
            <w:tcBorders>
              <w:top w:val="single" w:sz="8" w:color="0000EE"/>
            </w:tcBorders>
            <w:gridSpan w:val="2"/>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10.16(7)</w:t>
            </w:r>
          </w:p>
        </w:tc>
        <w:tc>
          <w:tcPr>
            <w:tcW w:w="280" w:type="dxa"/>
            <w:vAlign w:val="bottom"/>
          </w:tcPr>
          <w:p>
            <w:pPr>
              <w:spacing w:after="0"/>
              <w:rPr>
                <w:sz w:val="17"/>
                <w:szCs w:val="17"/>
                <w:color w:val="auto"/>
              </w:rPr>
            </w:pPr>
          </w:p>
        </w:tc>
        <w:tc>
          <w:tcPr>
            <w:tcW w:w="7720" w:type="dxa"/>
            <w:vAlign w:val="bottom"/>
            <w:tcBorders>
              <w:bottom w:val="single" w:sz="8" w:color="0000EE"/>
            </w:tcBorders>
            <w:gridSpan w:val="39"/>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Acknowledgement, Waiver, and Amendment to Agreement for Inventory Financing, dated as of November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25, 2003, by and among the Registrant, Merrimack Services Corporation, GovConnection,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MoreDirect, Inc., and IBM Credit LLC.</w:t>
              </w:r>
            </w:hyperlink>
          </w:p>
        </w:tc>
        <w:tc>
          <w:tcPr>
            <w:tcW w:w="8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10.17(8)</w:t>
            </w: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Second Amendment, dated May 9, 2004, to the Agreement for Inventory Financing between the Registrant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240" w:type="dxa"/>
            <w:vAlign w:val="bottom"/>
            <w:gridSpan w:val="1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tcBorders>
              <w:bottom w:val="single" w:sz="8" w:color="0000EE"/>
            </w:tcBorders>
            <w:gridSpan w:val="39"/>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and its subsidiaries Merrimack Services Corporation, GovConnection, Inc., and MoreDirect, Inc., and IBM</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73">
              <w:r>
                <w:rPr>
                  <w:rFonts w:ascii="Arial" w:cs="Arial" w:eastAsia="Arial" w:hAnsi="Arial"/>
                  <w:sz w:val="18"/>
                  <w:szCs w:val="18"/>
                  <w:color w:val="0000EE"/>
                  <w:w w:val="94"/>
                </w:rPr>
                <w:t>Credit LLC.</w:t>
              </w:r>
            </w:hyperlink>
          </w:p>
        </w:tc>
        <w:tc>
          <w:tcPr>
            <w:tcW w:w="684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10.18(8)</w:t>
            </w: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Third Amendment, dated May 27, 2005, to the Agreement for Inventory Financing between the Registrant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4240" w:type="dxa"/>
            <w:vAlign w:val="bottom"/>
            <w:gridSpan w:val="1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tcBorders>
              <w:bottom w:val="single" w:sz="8" w:color="0000EE"/>
            </w:tcBorders>
            <w:gridSpan w:val="39"/>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and its subsidiaries Merrimack Services Corporation, GovConnection, Inc., and MoreDirect, Inc., and IBM</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74">
              <w:r>
                <w:rPr>
                  <w:rFonts w:ascii="Arial" w:cs="Arial" w:eastAsia="Arial" w:hAnsi="Arial"/>
                  <w:sz w:val="18"/>
                  <w:szCs w:val="18"/>
                  <w:color w:val="0000EE"/>
                  <w:w w:val="94"/>
                </w:rPr>
                <w:t>Credit LLC.</w:t>
              </w:r>
            </w:hyperlink>
          </w:p>
        </w:tc>
        <w:tc>
          <w:tcPr>
            <w:tcW w:w="684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10.19(18)</w:t>
            </w:r>
          </w:p>
        </w:tc>
        <w:tc>
          <w:tcPr>
            <w:tcW w:w="280" w:type="dxa"/>
            <w:vAlign w:val="bottom"/>
          </w:tcPr>
          <w:p>
            <w:pPr>
              <w:spacing w:after="0"/>
              <w:rPr>
                <w:sz w:val="17"/>
                <w:szCs w:val="17"/>
                <w:color w:val="auto"/>
              </w:rPr>
            </w:pPr>
          </w:p>
        </w:tc>
        <w:tc>
          <w:tcPr>
            <w:tcW w:w="69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Fourth Amendment, dated May 11, 2006, to the Agreement for Inventory Financing between the</w:t>
              </w:r>
            </w:hyperlink>
          </w:p>
        </w:tc>
        <w:tc>
          <w:tcPr>
            <w:tcW w:w="7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w w:val="94"/>
              </w:rPr>
            </w:pPr>
            <w:hyperlink r:id="rId75">
              <w:r>
                <w:rPr>
                  <w:rFonts w:ascii="Arial" w:cs="Arial" w:eastAsia="Arial" w:hAnsi="Arial"/>
                  <w:sz w:val="18"/>
                  <w:szCs w:val="18"/>
                  <w:color w:val="0000EE"/>
                  <w:w w:val="94"/>
                </w:rPr>
                <w:t>Registrant and its subsidiaries Merrimack Services Corporation, GovConnection, Inc., and MoreDirect,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r:id="rId75">
              <w:r>
                <w:rPr>
                  <w:rFonts w:ascii="Arial" w:cs="Arial" w:eastAsia="Arial" w:hAnsi="Arial"/>
                  <w:sz w:val="18"/>
                  <w:szCs w:val="18"/>
                  <w:color w:val="0000EE"/>
                  <w:w w:val="94"/>
                </w:rPr>
                <w:t>Inc., and IBM Credit LLC.</w:t>
              </w:r>
            </w:hyperlink>
          </w:p>
        </w:tc>
        <w:tc>
          <w:tcPr>
            <w:tcW w:w="5500" w:type="dxa"/>
            <w:vAlign w:val="bottom"/>
            <w:tcBorders>
              <w:top w:val="single" w:sz="8" w:color="0000EE"/>
            </w:tcBorders>
            <w:gridSpan w:val="27"/>
          </w:tcPr>
          <w:p>
            <w:pPr>
              <w:spacing w:after="0"/>
              <w:rPr>
                <w:sz w:val="17"/>
                <w:szCs w:val="17"/>
                <w:color w:val="auto"/>
              </w:rPr>
            </w:pPr>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10.20(18)</w:t>
            </w: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w w:val="96"/>
              </w:rPr>
            </w:pPr>
            <w:hyperlink r:id="rId76">
              <w:r>
                <w:rPr>
                  <w:rFonts w:ascii="Arial" w:cs="Arial" w:eastAsia="Arial" w:hAnsi="Arial"/>
                  <w:sz w:val="18"/>
                  <w:szCs w:val="18"/>
                  <w:color w:val="0000EE"/>
                  <w:w w:val="96"/>
                </w:rPr>
                <w:t>Fifth Amendment, dated September 19, 2010, to the Agreement for Inventory Financing between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80" w:type="dxa"/>
            <w:vAlign w:val="bottom"/>
            <w:gridSpan w:val="16"/>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w w:val="94"/>
              </w:rPr>
            </w:pPr>
            <w:hyperlink r:id="rId76">
              <w:r>
                <w:rPr>
                  <w:rFonts w:ascii="Arial" w:cs="Arial" w:eastAsia="Arial" w:hAnsi="Arial"/>
                  <w:sz w:val="18"/>
                  <w:szCs w:val="18"/>
                  <w:color w:val="0000EE"/>
                  <w:w w:val="94"/>
                </w:rPr>
                <w:t>Registrant and its subsidiaries Merrimack Services Corporation, GovConnection, Inc., and MoreDirect,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r:id="rId76">
              <w:r>
                <w:rPr>
                  <w:rFonts w:ascii="Arial" w:cs="Arial" w:eastAsia="Arial" w:hAnsi="Arial"/>
                  <w:sz w:val="18"/>
                  <w:szCs w:val="18"/>
                  <w:color w:val="0000EE"/>
                  <w:w w:val="94"/>
                </w:rPr>
                <w:t>Inc., and IBM Credit LLC.</w:t>
              </w:r>
            </w:hyperlink>
          </w:p>
        </w:tc>
        <w:tc>
          <w:tcPr>
            <w:tcW w:w="5500" w:type="dxa"/>
            <w:vAlign w:val="bottom"/>
            <w:tcBorders>
              <w:top w:val="single" w:sz="8" w:color="0000EE"/>
            </w:tcBorders>
            <w:gridSpan w:val="27"/>
          </w:tcPr>
          <w:p>
            <w:pPr>
              <w:spacing w:after="0"/>
              <w:rPr>
                <w:sz w:val="17"/>
                <w:szCs w:val="17"/>
                <w:color w:val="auto"/>
              </w:rPr>
            </w:pPr>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10.21(18)</w:t>
            </w: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w w:val="98"/>
              </w:rPr>
            </w:pPr>
            <w:hyperlink r:id="rId77">
              <w:r>
                <w:rPr>
                  <w:rFonts w:ascii="Arial" w:cs="Arial" w:eastAsia="Arial" w:hAnsi="Arial"/>
                  <w:sz w:val="18"/>
                  <w:szCs w:val="18"/>
                  <w:color w:val="0000EE"/>
                  <w:w w:val="98"/>
                </w:rPr>
                <w:t>Sixth Amendment, dated January 10, 2012, to the Agreement for Inventory Financing between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Registrant and its subsidiaries GovConnection, Inc., and MoreDirect, Inc., and IBM Credit LLC.</w:t>
              </w:r>
            </w:hyperlink>
          </w:p>
        </w:tc>
        <w:tc>
          <w:tcPr>
            <w:tcW w:w="100" w:type="dxa"/>
            <w:vAlign w:val="bottom"/>
            <w:tcBorders>
              <w:top w:val="single" w:sz="8" w:color="0000EE"/>
            </w:tcBorders>
            <w:gridSpan w:val="5"/>
          </w:tcPr>
          <w:p>
            <w:pPr>
              <w:spacing w:after="0"/>
              <w:rPr>
                <w:sz w:val="17"/>
                <w:szCs w:val="17"/>
                <w:color w:val="auto"/>
              </w:rPr>
            </w:pPr>
          </w:p>
        </w:tc>
        <w:tc>
          <w:tcPr>
            <w:tcW w:w="6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10.22(25)</w:t>
            </w: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w w:val="99"/>
              </w:rPr>
            </w:pPr>
            <w:hyperlink r:id="rId78">
              <w:r>
                <w:rPr>
                  <w:rFonts w:ascii="Arial" w:cs="Arial" w:eastAsia="Arial" w:hAnsi="Arial"/>
                  <w:sz w:val="18"/>
                  <w:szCs w:val="18"/>
                  <w:color w:val="0000EE"/>
                  <w:w w:val="99"/>
                </w:rPr>
                <w:t>Seventh Amendment, dated July 16, 2014, to the Agreement for Inventory Financing between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20" w:type="dxa"/>
            <w:vAlign w:val="bottom"/>
            <w:tcBorders>
              <w:top w:val="single" w:sz="8" w:color="0000EE"/>
            </w:tcBorders>
            <w:gridSpan w:val="22"/>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Registrant and its subsidiaries GovConnection, Inc., and MoreDirect, Inc., and IBM Credit LLC.</w:t>
              </w:r>
            </w:hyperlink>
          </w:p>
        </w:tc>
        <w:tc>
          <w:tcPr>
            <w:tcW w:w="7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80" w:type="dxa"/>
            <w:vAlign w:val="bottom"/>
            <w:gridSpan w:val="16"/>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6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10.23(25)</w:t>
            </w:r>
          </w:p>
        </w:tc>
        <w:tc>
          <w:tcPr>
            <w:tcW w:w="280" w:type="dxa"/>
            <w:vAlign w:val="bottom"/>
          </w:tcPr>
          <w:p>
            <w:pPr>
              <w:spacing w:after="0"/>
              <w:rPr>
                <w:sz w:val="17"/>
                <w:szCs w:val="17"/>
                <w:color w:val="auto"/>
              </w:rPr>
            </w:pPr>
          </w:p>
        </w:tc>
        <w:tc>
          <w:tcPr>
            <w:tcW w:w="772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Eighth Amendment, dated July 13, 2015, to the Agreement for Inventory Financing between the Registrant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gridSpan w:val="39"/>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and its subsidiaries GovConnection, Inc., and MoreDirect, Inc., and IBM Credit LLC.</w:t>
              </w:r>
            </w:hyperlink>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3640" w:type="dxa"/>
            <w:vAlign w:val="bottom"/>
            <w:tcBorders>
              <w:top w:val="single" w:sz="8" w:color="0000EE"/>
            </w:tcBorders>
            <w:gridSpan w:val="8"/>
          </w:tcPr>
          <w:p>
            <w:pPr>
              <w:jc w:val="right"/>
              <w:ind w:right="380"/>
              <w:spacing w:after="0"/>
              <w:rPr>
                <w:sz w:val="20"/>
                <w:szCs w:val="20"/>
                <w:color w:val="auto"/>
              </w:rPr>
            </w:pPr>
            <w:r>
              <w:rPr>
                <w:rFonts w:ascii="Arial" w:cs="Arial" w:eastAsia="Arial" w:hAnsi="Arial"/>
                <w:sz w:val="18"/>
                <w:szCs w:val="18"/>
                <w:color w:val="auto"/>
              </w:rPr>
              <w:t>40</w:t>
            </w:r>
          </w:p>
        </w:tc>
        <w:tc>
          <w:tcPr>
            <w:tcW w:w="6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36"/>
        </w:trPr>
        <w:tc>
          <w:tcPr>
            <w:tcW w:w="1280" w:type="dxa"/>
            <w:vAlign w:val="bottom"/>
          </w:tcPr>
          <w:p>
            <w:pPr>
              <w:spacing w:after="0"/>
              <w:rPr>
                <w:sz w:val="20"/>
                <w:szCs w:val="20"/>
                <w:color w:val="auto"/>
              </w:rPr>
            </w:pPr>
            <w:r>
              <w:rPr>
                <w:rFonts w:ascii="Arial" w:cs="Arial" w:eastAsia="Arial" w:hAnsi="Arial"/>
                <w:sz w:val="18"/>
                <w:szCs w:val="18"/>
                <w:color w:val="auto"/>
              </w:rPr>
              <w:t>10.24(25)</w:t>
            </w:r>
          </w:p>
        </w:tc>
        <w:tc>
          <w:tcPr>
            <w:tcW w:w="80" w:type="dxa"/>
            <w:vAlign w:val="bottom"/>
          </w:tcPr>
          <w:p>
            <w:pPr>
              <w:spacing w:after="0"/>
              <w:rPr>
                <w:sz w:val="24"/>
                <w:szCs w:val="24"/>
                <w:color w:val="auto"/>
              </w:rPr>
            </w:pPr>
          </w:p>
        </w:tc>
        <w:tc>
          <w:tcPr>
            <w:tcW w:w="7020" w:type="dxa"/>
            <w:vAlign w:val="bottom"/>
            <w:tcBorders>
              <w:bottom w:val="single" w:sz="8" w:color="0000EE"/>
            </w:tcBorders>
            <w:gridSpan w:val="14"/>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Ninth Amendment, dated January 4, 2017, to the Agreement for Inventory Financing between the</w:t>
              </w:r>
            </w:hyperlink>
          </w:p>
        </w:tc>
        <w:tc>
          <w:tcPr>
            <w:tcW w:w="680" w:type="dxa"/>
            <w:vAlign w:val="bottom"/>
            <w:gridSpan w:val="1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Registrant and its subsidiaries GovConnection, Inc., and MoreDirect, Inc., and IBM Credit LLC.</w:t>
              </w:r>
            </w:hyperlink>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10.25(25)</w:t>
            </w: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7"/>
              </w:rPr>
            </w:pPr>
            <w:hyperlink r:id="rId81">
              <w:r>
                <w:rPr>
                  <w:rFonts w:ascii="Arial" w:cs="Arial" w:eastAsia="Arial" w:hAnsi="Arial"/>
                  <w:sz w:val="18"/>
                  <w:szCs w:val="18"/>
                  <w:color w:val="0000EE"/>
                  <w:w w:val="97"/>
                </w:rPr>
                <w:t>Agreement for Credit, dated January 1, 2014, by and among the Registrant, and its subsidiaries PC</w:t>
              </w:r>
            </w:hyperlink>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Connection Sales Corporation, GovConnection, Inc., and MoreDirect, Inc., and Castle Pines Capital LLC.</w:t>
              </w:r>
            </w:hyperlink>
          </w:p>
        </w:tc>
        <w:tc>
          <w:tcPr>
            <w:tcW w:w="80" w:type="dxa"/>
            <w:vAlign w:val="bottom"/>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10.26(16)</w:t>
            </w: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Third Amended and Restated Credit and Security Agreement, dated February 24, 2012, among Citizens</w:t>
              </w:r>
            </w:hyperlink>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Bank of Massachusetts, as lender and as agent, other financial institutions party thereto from time to time,</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0" w:type="dxa"/>
            <w:vAlign w:val="bottom"/>
            <w:tcBorders>
              <w:top w:val="single" w:sz="8" w:color="0000EE"/>
            </w:tcBorders>
            <w:gridSpan w:val="29"/>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as lenders, PC Connection, Inc., as borrower, GovConnection, Inc., PC Connection Sales Corporation,</w:t>
              </w:r>
            </w:hyperlink>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MoreDirect, Inc., and Professional Computer Center, Inc., each as guarantors.</w:t>
              </w:r>
            </w:hyperlink>
          </w:p>
        </w:tc>
        <w:tc>
          <w:tcPr>
            <w:tcW w:w="360" w:type="dxa"/>
            <w:vAlign w:val="bottom"/>
            <w:gridSpan w:val="11"/>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10.27(25)</w:t>
            </w:r>
          </w:p>
        </w:tc>
        <w:tc>
          <w:tcPr>
            <w:tcW w:w="80" w:type="dxa"/>
            <w:vAlign w:val="bottom"/>
          </w:tcPr>
          <w:p>
            <w:pPr>
              <w:spacing w:after="0"/>
              <w:rPr>
                <w:sz w:val="17"/>
                <w:szCs w:val="17"/>
                <w:color w:val="auto"/>
              </w:rPr>
            </w:pP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First Amendment, dated December 24, 2013, to the Third Amended and Restated Credit and Security</w:t>
              </w:r>
            </w:hyperlink>
          </w:p>
        </w:tc>
        <w:tc>
          <w:tcPr>
            <w:tcW w:w="40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3"/>
              </w:rPr>
            </w:pPr>
            <w:hyperlink r:id="rId83">
              <w:r>
                <w:rPr>
                  <w:rFonts w:ascii="Arial" w:cs="Arial" w:eastAsia="Arial" w:hAnsi="Arial"/>
                  <w:sz w:val="18"/>
                  <w:szCs w:val="18"/>
                  <w:color w:val="0000EE"/>
                  <w:w w:val="93"/>
                </w:rPr>
                <w:t>Agreement, among Citizens Bank of Massachusetts, as lender and as agent, other financial institutions</w:t>
              </w:r>
            </w:hyperlink>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party thereto from time to time, as lenders, PC Connection, Inc., as borrower, GovConnection, Inc., PC</w:t>
              </w:r>
            </w:hyperlink>
          </w:p>
        </w:tc>
        <w:tc>
          <w:tcPr>
            <w:tcW w:w="2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Connection Sales Corporation, MoreDirect, Inc., and Professional Computer Center, Inc., each as</w:t>
              </w:r>
            </w:hyperlink>
          </w:p>
        </w:tc>
        <w:tc>
          <w:tcPr>
            <w:tcW w:w="700" w:type="dxa"/>
            <w:vAlign w:val="bottom"/>
            <w:gridSpan w:val="1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guarantors.</w:t>
              </w:r>
            </w:hyperlink>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10.28(24)</w:t>
            </w:r>
          </w:p>
        </w:tc>
        <w:tc>
          <w:tcPr>
            <w:tcW w:w="80" w:type="dxa"/>
            <w:vAlign w:val="bottom"/>
          </w:tcPr>
          <w:p>
            <w:pPr>
              <w:spacing w:after="0"/>
              <w:rPr>
                <w:sz w:val="17"/>
                <w:szCs w:val="17"/>
                <w:color w:val="auto"/>
              </w:rPr>
            </w:pPr>
          </w:p>
        </w:tc>
        <w:tc>
          <w:tcPr>
            <w:tcW w:w="74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Second Amendment, dated February 10, 2017, to the Third Amended and Restated Credit and Security</w:t>
              </w:r>
            </w:hyperlink>
          </w:p>
        </w:tc>
        <w:tc>
          <w:tcPr>
            <w:tcW w:w="30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Agreement, among Citizens Bank of Massachusetts, as lender and as agent, other financial institutions</w:t>
              </w:r>
            </w:hyperlink>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party thereto from time to time, as lenders, PC Connection, Inc., as borrower, GovConnection, Inc., PC</w:t>
              </w:r>
            </w:hyperlink>
          </w:p>
        </w:tc>
        <w:tc>
          <w:tcPr>
            <w:tcW w:w="2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Connection Sales Corporation, MoreDirect, Inc., and Professional Computer Center, Inc., each as</w:t>
              </w:r>
            </w:hyperlink>
          </w:p>
        </w:tc>
        <w:tc>
          <w:tcPr>
            <w:tcW w:w="700" w:type="dxa"/>
            <w:vAlign w:val="bottom"/>
            <w:gridSpan w:val="1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guarantors.</w:t>
              </w:r>
            </w:hyperlink>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10.29(1)</w:t>
            </w: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Amended and Restated Lease between the Registrant and G&amp;H Post, LLC, dated December 29, 1997, for</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property located at Route 101A, Merrimack, New Hampshire.</w:t>
              </w:r>
            </w:hyperlink>
          </w:p>
        </w:tc>
        <w:tc>
          <w:tcPr>
            <w:tcW w:w="12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10.30(2)</w:t>
            </w: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Amendment No. 1 to Amended and Restated Lease between the Registrant and G&amp;H Post, LLC, dated</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December 29, 1998, for property located at Route 101A, Merrimack, New Hampshire.</w:t>
              </w:r>
            </w:hyperlink>
          </w:p>
        </w:tc>
        <w:tc>
          <w:tcPr>
            <w:tcW w:w="320" w:type="dxa"/>
            <w:vAlign w:val="bottom"/>
            <w:gridSpan w:val="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10.31(14)</w:t>
            </w: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Amendment No. 2 to Amended and Restated Lease between the Registrant and G&amp;H Post, LLC, dated</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December 29, 1998, for property located at Route 101A, Merrimack, New Hampshire.</w:t>
              </w:r>
            </w:hyperlink>
          </w:p>
        </w:tc>
        <w:tc>
          <w:tcPr>
            <w:tcW w:w="320" w:type="dxa"/>
            <w:vAlign w:val="bottom"/>
            <w:gridSpan w:val="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10.32(20)</w:t>
            </w: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Amendment No. 3, dated May 9, 2014, to Amended and Restated Lease between the Registrant and G&amp;H</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Post, LLC, dated December 29, 1998, for property located at Route 101A, Merrimack, New Hampshire.</w:t>
              </w:r>
            </w:hyperlink>
          </w:p>
        </w:tc>
        <w:tc>
          <w:tcPr>
            <w:tcW w:w="120" w:type="dxa"/>
            <w:vAlign w:val="bottom"/>
            <w:tcBorders>
              <w:top w:val="single" w:sz="8" w:color="0000EE"/>
            </w:tcBorders>
            <w:gridSpan w:val="4"/>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10.33(12)</w:t>
            </w: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6"/>
              </w:rPr>
            </w:pPr>
            <w:hyperlink r:id="rId88">
              <w:r>
                <w:rPr>
                  <w:rFonts w:ascii="Arial" w:cs="Arial" w:eastAsia="Arial" w:hAnsi="Arial"/>
                  <w:sz w:val="18"/>
                  <w:szCs w:val="18"/>
                  <w:color w:val="0000EE"/>
                  <w:w w:val="96"/>
                </w:rPr>
                <w:t>Lease between the Merrimack Services Corporation and G&amp;H Post LLC, dated August 11, 2008, for</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property located at Merrimack, New Hampshire.</w:t>
              </w:r>
            </w:hyperlink>
          </w:p>
        </w:tc>
        <w:tc>
          <w:tcPr>
            <w:tcW w:w="480" w:type="dxa"/>
            <w:vAlign w:val="bottom"/>
            <w:gridSpan w:val="1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10.34(22)</w:t>
            </w: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5"/>
              </w:rPr>
            </w:pPr>
            <w:hyperlink r:id="rId89">
              <w:r>
                <w:rPr>
                  <w:rFonts w:ascii="Arial" w:cs="Arial" w:eastAsia="Arial" w:hAnsi="Arial"/>
                  <w:sz w:val="18"/>
                  <w:szCs w:val="18"/>
                  <w:color w:val="0000EE"/>
                  <w:w w:val="95"/>
                </w:rPr>
                <w:t>Lease Agreement between the Registrant and Wilmington Investors, LLC, dated August 27, 2014, for</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property located at 3188 Progress Way, Building 11, Wilmington, Ohio.</w:t>
              </w:r>
            </w:hyperlink>
          </w:p>
        </w:tc>
        <w:tc>
          <w:tcPr>
            <w:tcW w:w="400" w:type="dxa"/>
            <w:vAlign w:val="bottom"/>
            <w:gridSpan w:val="1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10.35(3)</w:t>
            </w:r>
          </w:p>
        </w:tc>
        <w:tc>
          <w:tcPr>
            <w:tcW w:w="80" w:type="dxa"/>
            <w:vAlign w:val="bottom"/>
          </w:tcPr>
          <w:p>
            <w:pPr>
              <w:spacing w:after="0"/>
              <w:rPr>
                <w:sz w:val="17"/>
                <w:szCs w:val="17"/>
                <w:color w:val="auto"/>
              </w:rPr>
            </w:pPr>
          </w:p>
        </w:tc>
        <w:tc>
          <w:tcPr>
            <w:tcW w:w="770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Lease between ComTeq Federal, Inc. and Rockville Office/Industrial Associates dated December 14, 1993,</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for property located at 7503 Standish Place, Rockville, Maryland.</w:t>
              </w:r>
            </w:hyperlink>
          </w:p>
        </w:tc>
        <w:tc>
          <w:tcPr>
            <w:tcW w:w="2980" w:type="dxa"/>
            <w:vAlign w:val="bottom"/>
            <w:gridSpan w:val="25"/>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10.36(3)</w:t>
            </w:r>
          </w:p>
        </w:tc>
        <w:tc>
          <w:tcPr>
            <w:tcW w:w="80" w:type="dxa"/>
            <w:vAlign w:val="bottom"/>
          </w:tcPr>
          <w:p>
            <w:pPr>
              <w:spacing w:after="0"/>
              <w:rPr>
                <w:sz w:val="17"/>
                <w:szCs w:val="17"/>
                <w:color w:val="auto"/>
              </w:rPr>
            </w:pPr>
          </w:p>
        </w:tc>
        <w:tc>
          <w:tcPr>
            <w:tcW w:w="750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First Amendment, dated November 1, 1996, to the Lease Agreement between ComTeq Federal, Inc. and</w:t>
              </w:r>
            </w:hyperlink>
          </w:p>
        </w:tc>
        <w:tc>
          <w:tcPr>
            <w:tcW w:w="20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8"/>
              </w:rPr>
            </w:pPr>
            <w:hyperlink r:id="rId91">
              <w:r>
                <w:rPr>
                  <w:rFonts w:ascii="Arial" w:cs="Arial" w:eastAsia="Arial" w:hAnsi="Arial"/>
                  <w:sz w:val="18"/>
                  <w:szCs w:val="18"/>
                  <w:color w:val="0000EE"/>
                  <w:w w:val="98"/>
                </w:rPr>
                <w:t>Rockville Office/Industrial Associates, dated December 14, 1993, for property located in Rockville,</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Maryland.</w:t>
              </w:r>
            </w:hyperlink>
          </w:p>
        </w:tc>
        <w:tc>
          <w:tcPr>
            <w:tcW w:w="540" w:type="dxa"/>
            <w:vAlign w:val="bottom"/>
            <w:gridSpan w:val="1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10.37(3)</w:t>
            </w:r>
          </w:p>
        </w:tc>
        <w:tc>
          <w:tcPr>
            <w:tcW w:w="80" w:type="dxa"/>
            <w:vAlign w:val="bottom"/>
          </w:tcPr>
          <w:p>
            <w:pPr>
              <w:spacing w:after="0"/>
              <w:rPr>
                <w:sz w:val="17"/>
                <w:szCs w:val="17"/>
                <w:color w:val="auto"/>
              </w:rPr>
            </w:pPr>
          </w:p>
        </w:tc>
        <w:tc>
          <w:tcPr>
            <w:tcW w:w="74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92">
              <w:r>
                <w:rPr>
                  <w:rFonts w:ascii="Arial" w:cs="Arial" w:eastAsia="Arial" w:hAnsi="Arial"/>
                  <w:sz w:val="18"/>
                  <w:szCs w:val="18"/>
                  <w:color w:val="0000EE"/>
                  <w:w w:val="89"/>
                </w:rPr>
                <w:t>Second Amendment, dated March 31, 1998, to the Lease Agreement between ComTeq Federal, Inc. and</w:t>
              </w:r>
            </w:hyperlink>
          </w:p>
        </w:tc>
        <w:tc>
          <w:tcPr>
            <w:tcW w:w="22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8"/>
              </w:rPr>
            </w:pPr>
            <w:hyperlink r:id="rId92">
              <w:r>
                <w:rPr>
                  <w:rFonts w:ascii="Arial" w:cs="Arial" w:eastAsia="Arial" w:hAnsi="Arial"/>
                  <w:sz w:val="18"/>
                  <w:szCs w:val="18"/>
                  <w:color w:val="0000EE"/>
                  <w:w w:val="98"/>
                </w:rPr>
                <w:t>Rockville Office/Industrial Associates, dated December 14, 1993, for property located in Rockville,</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Maryland.</w:t>
              </w:r>
            </w:hyperlink>
          </w:p>
        </w:tc>
        <w:tc>
          <w:tcPr>
            <w:tcW w:w="540" w:type="dxa"/>
            <w:vAlign w:val="bottom"/>
            <w:gridSpan w:val="1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10.38(3)</w:t>
            </w:r>
          </w:p>
        </w:tc>
        <w:tc>
          <w:tcPr>
            <w:tcW w:w="80" w:type="dxa"/>
            <w:vAlign w:val="bottom"/>
          </w:tcPr>
          <w:p>
            <w:pPr>
              <w:spacing w:after="0"/>
              <w:rPr>
                <w:sz w:val="17"/>
                <w:szCs w:val="17"/>
                <w:color w:val="auto"/>
              </w:rPr>
            </w:pPr>
          </w:p>
        </w:tc>
        <w:tc>
          <w:tcPr>
            <w:tcW w:w="74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93">
              <w:r>
                <w:rPr>
                  <w:rFonts w:ascii="Arial" w:cs="Arial" w:eastAsia="Arial" w:hAnsi="Arial"/>
                  <w:sz w:val="18"/>
                  <w:szCs w:val="18"/>
                  <w:color w:val="0000EE"/>
                  <w:w w:val="89"/>
                </w:rPr>
                <w:t>Third Amendment, dated August 31, 2000, to the Lease Agreement between ComTeq Federal, Inc. and</w:t>
              </w:r>
            </w:hyperlink>
          </w:p>
        </w:tc>
        <w:tc>
          <w:tcPr>
            <w:tcW w:w="30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Rockville Office/Industrial Associates, dated December 14, 1993, property located in Rockville, Maryland.</w:t>
              </w:r>
            </w:hyperlink>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10.39(6)</w:t>
            </w:r>
          </w:p>
        </w:tc>
        <w:tc>
          <w:tcPr>
            <w:tcW w:w="80" w:type="dxa"/>
            <w:vAlign w:val="bottom"/>
          </w:tcPr>
          <w:p>
            <w:pPr>
              <w:spacing w:after="0"/>
              <w:rPr>
                <w:sz w:val="17"/>
                <w:szCs w:val="17"/>
                <w:color w:val="auto"/>
              </w:rPr>
            </w:pPr>
          </w:p>
        </w:tc>
        <w:tc>
          <w:tcPr>
            <w:tcW w:w="73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Fourth Amendment, dated November 20, 2002, to the Lease Agreement between GovConnection, Inc.</w:t>
              </w:r>
            </w:hyperlink>
          </w:p>
        </w:tc>
        <w:tc>
          <w:tcPr>
            <w:tcW w:w="34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(formerly known as ComTeq Federal, Inc.) and Metro Park I, LLC (formerly known as Rockville</w:t>
              </w:r>
            </w:hyperlink>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20" w:type="dxa"/>
            <w:vAlign w:val="bottom"/>
            <w:gridSpan w:val="7"/>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Office/Industrial Associates), dated December 14, 1993, for property located in Rockville, Maryland.</w:t>
              </w:r>
            </w:hyperlink>
          </w:p>
        </w:tc>
        <w:tc>
          <w:tcPr>
            <w:tcW w:w="420" w:type="dxa"/>
            <w:vAlign w:val="bottom"/>
            <w:gridSpan w:val="13"/>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10.40(8)</w:t>
            </w: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Fifth Amendment, dated December 12, 2005, to the Lease Agreement between GovConnection, Inc. and</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Metro Park I, LLC, dated December 14, 1993, for property located in Rockville, Maryland.</w:t>
              </w:r>
            </w:hyperlink>
          </w:p>
        </w:tc>
        <w:tc>
          <w:tcPr>
            <w:tcW w:w="940" w:type="dxa"/>
            <w:vAlign w:val="bottom"/>
            <w:tcBorders>
              <w:top w:val="single" w:sz="8" w:color="0000EE"/>
            </w:tcBorders>
            <w:gridSpan w:val="16"/>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10.41(13)</w:t>
            </w: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Sixth Amendment, dated September 18, 2008, to the Lease Agreement between GovConnection, Inc. and</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Metro Park I, LLC, dated December 14, 1993, for property located in Rockville, Maryland.</w:t>
              </w:r>
            </w:hyperlink>
          </w:p>
        </w:tc>
        <w:tc>
          <w:tcPr>
            <w:tcW w:w="1000" w:type="dxa"/>
            <w:vAlign w:val="bottom"/>
            <w:tcBorders>
              <w:top w:val="single" w:sz="8" w:color="0000EE"/>
            </w:tcBorders>
            <w:gridSpan w:val="17"/>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10.42(17)</w:t>
            </w: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w w:val="94"/>
              </w:rPr>
            </w:pPr>
            <w:hyperlink r:id="rId97">
              <w:r>
                <w:rPr>
                  <w:rFonts w:ascii="Arial" w:cs="Arial" w:eastAsia="Arial" w:hAnsi="Arial"/>
                  <w:sz w:val="18"/>
                  <w:szCs w:val="18"/>
                  <w:color w:val="0000EE"/>
                  <w:w w:val="94"/>
                </w:rPr>
                <w:t>Seventh Amendment, dated May 21, 2012, to the Lease Agreement between GovConnection, Inc. and</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Metro Park I, LLC, dated December 14, 1993, for property located in Rockville, Maryland.</w:t>
              </w:r>
            </w:hyperlink>
          </w:p>
        </w:tc>
        <w:tc>
          <w:tcPr>
            <w:tcW w:w="780" w:type="dxa"/>
            <w:vAlign w:val="bottom"/>
            <w:tcBorders>
              <w:top w:val="single" w:sz="8" w:color="0000EE"/>
            </w:tcBorders>
            <w:gridSpan w:val="10"/>
          </w:tcPr>
          <w:p>
            <w:pPr>
              <w:spacing w:after="0"/>
              <w:rPr>
                <w:sz w:val="17"/>
                <w:szCs w:val="17"/>
                <w:color w:val="auto"/>
              </w:rPr>
            </w:pPr>
          </w:p>
        </w:tc>
        <w:tc>
          <w:tcPr>
            <w:tcW w:w="360" w:type="dxa"/>
            <w:vAlign w:val="bottom"/>
            <w:gridSpan w:val="11"/>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Subsidiaries of Registrant.</w:t>
              </w:r>
            </w:hyperlink>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160" w:type="dxa"/>
            <w:vAlign w:val="bottom"/>
            <w:gridSpan w:val="28"/>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80" w:type="dxa"/>
            <w:vAlign w:val="bottom"/>
          </w:tcPr>
          <w:p>
            <w:pPr>
              <w:spacing w:after="0"/>
              <w:rPr>
                <w:sz w:val="17"/>
                <w:szCs w:val="17"/>
                <w:color w:val="auto"/>
              </w:rPr>
            </w:pPr>
          </w:p>
        </w:tc>
        <w:tc>
          <w:tcPr>
            <w:tcW w:w="7700" w:type="dxa"/>
            <w:vAlign w:val="bottom"/>
            <w:gridSpan w:val="3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Consent of Deloitte &amp; Touche LLP.</w:t>
              </w:r>
            </w:hyperlink>
          </w:p>
        </w:tc>
      </w:tr>
      <w:tr>
        <w:trPr>
          <w:trHeight w:val="669"/>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Borders>
              <w:top w:val="single" w:sz="8" w:color="0000EE"/>
            </w:tcBorders>
            <w:gridSpan w:val="3"/>
          </w:tcPr>
          <w:p>
            <w:pPr>
              <w:spacing w:after="0"/>
              <w:rPr>
                <w:sz w:val="24"/>
                <w:szCs w:val="24"/>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736"/>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Certification of the Company’s President and Chief Executive Officer pursuant to Section 302 of the</w:t>
              </w:r>
            </w:hyperlink>
          </w:p>
        </w:tc>
        <w:tc>
          <w:tcPr>
            <w:tcW w:w="4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Sarbanes-Oxley Act of 2002.</w:t>
              </w:r>
            </w:hyperlink>
          </w:p>
        </w:tc>
        <w:tc>
          <w:tcPr>
            <w:tcW w:w="5560" w:type="dxa"/>
            <w:vAlign w:val="bottom"/>
            <w:gridSpan w:val="5"/>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Certification of the Company’s Vice President, and Interim Treasurer and Chief Financial Officer pursuant</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60" w:type="dxa"/>
            <w:vAlign w:val="bottom"/>
            <w:gridSpan w:val="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to Section 302 of the Sarbanes-Oxley Act of 2002.</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Certification of the Company’s President and Chief Executive Officer pursuant to 18 U.S.C. Section 1350,</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as adopted pursuant to Section 906 of the Sarbanes-Oxley Act of 2002.</w:t>
              </w:r>
            </w:hyperlink>
          </w:p>
        </w:tc>
        <w:tc>
          <w:tcPr>
            <w:tcW w:w="2540" w:type="dxa"/>
            <w:vAlign w:val="bottom"/>
            <w:gridSpan w:val="3"/>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Certification of the Company’s Vice President, and Interim Treasurer and Chief Financial Officer pursuant</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1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to 18 U.S.C. Section 1350, as adopted pursuant to Section 906 of the Sarbanes-Oxley Act of 2002.</w:t>
              </w:r>
            </w:hyperlink>
          </w:p>
        </w:tc>
        <w:tc>
          <w:tcPr>
            <w:tcW w:w="560" w:type="dxa"/>
            <w:vAlign w:val="bottom"/>
            <w:gridSpan w:val="2"/>
          </w:tcPr>
          <w:p>
            <w:pPr>
              <w:spacing w:after="0"/>
              <w:rPr>
                <w:sz w:val="17"/>
                <w:szCs w:val="17"/>
                <w:color w:val="auto"/>
              </w:rPr>
            </w:pP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6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101.CAL **</w:t>
            </w:r>
          </w:p>
        </w:tc>
        <w:tc>
          <w:tcPr>
            <w:tcW w:w="60" w:type="dxa"/>
            <w:vAlign w:val="bottom"/>
          </w:tcPr>
          <w:p>
            <w:pPr>
              <w:spacing w:after="0"/>
              <w:rPr>
                <w:sz w:val="18"/>
                <w:szCs w:val="18"/>
                <w:color w:val="auto"/>
              </w:rPr>
            </w:pPr>
          </w:p>
        </w:tc>
        <w:tc>
          <w:tcPr>
            <w:tcW w:w="766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101.LAB **</w:t>
            </w:r>
          </w:p>
        </w:tc>
        <w:tc>
          <w:tcPr>
            <w:tcW w:w="60" w:type="dxa"/>
            <w:vAlign w:val="bottom"/>
          </w:tcPr>
          <w:p>
            <w:pPr>
              <w:spacing w:after="0"/>
              <w:rPr>
                <w:sz w:val="18"/>
                <w:szCs w:val="18"/>
                <w:color w:val="auto"/>
              </w:rPr>
            </w:pPr>
          </w:p>
        </w:tc>
        <w:tc>
          <w:tcPr>
            <w:tcW w:w="766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60" w:type="dxa"/>
            <w:vAlign w:val="bottom"/>
            <w:gridSpan w:val="6"/>
          </w:tcPr>
          <w:p>
            <w:pPr>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6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320" w:right="220" w:hanging="317"/>
        <w:spacing w:after="0" w:line="258"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exhibits filed with the Company’s registration statement (333-41171) on Form S-1 filed under the Securities Act of 1933.</w:t>
      </w:r>
    </w:p>
    <w:p>
      <w:pPr>
        <w:spacing w:after="0" w:line="1" w:lineRule="exact"/>
        <w:rPr>
          <w:rFonts w:ascii="Arial" w:cs="Arial" w:eastAsia="Arial" w:hAnsi="Arial"/>
          <w:sz w:val="18"/>
          <w:szCs w:val="18"/>
          <w:color w:val="auto"/>
        </w:rPr>
      </w:pPr>
    </w:p>
    <w:p>
      <w:pPr>
        <w:ind w:left="320" w:right="200" w:hanging="317"/>
        <w:spacing w:after="0" w:line="250"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annual report on Form 10-K, File Number 0-23827, filed on March 31, 1999.</w:t>
      </w:r>
    </w:p>
    <w:p>
      <w:pPr>
        <w:ind w:left="320" w:right="200" w:hanging="317"/>
        <w:spacing w:after="0" w:line="250"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annual report on Form 10-K, File Number 0-23827, filed on March 30, 2001.</w:t>
      </w:r>
    </w:p>
    <w:p>
      <w:pPr>
        <w:ind w:left="320" w:right="540" w:hanging="317"/>
        <w:spacing w:after="0" w:line="250"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proxy statement pursuant to Section 14(a), File Number 0-23827, filed on April 17, 2001.</w:t>
      </w:r>
    </w:p>
    <w:p>
      <w:pPr>
        <w:ind w:left="320" w:right="220" w:hanging="317"/>
        <w:spacing w:after="0" w:line="250"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exhibits filed with the Company’s registration statement (333-63272) on Form S-4 filed under the Securities Act of 1933.</w:t>
      </w:r>
    </w:p>
    <w:p>
      <w:pPr>
        <w:ind w:left="320" w:right="200" w:hanging="317"/>
        <w:spacing w:after="0" w:line="250"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annual report on Form 10-K, File Number 0-23827, filed on March 31, 2003.</w:t>
      </w:r>
    </w:p>
    <w:p>
      <w:pPr>
        <w:ind w:left="320" w:right="200" w:hanging="317"/>
        <w:spacing w:after="0" w:line="250"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annual report on Form 10-K, File Number 0-23827, filed on March 30, 2004.</w:t>
      </w:r>
    </w:p>
    <w:p>
      <w:pPr>
        <w:ind w:left="320" w:right="200" w:hanging="317"/>
        <w:spacing w:after="0" w:line="216" w:lineRule="exact"/>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annual report on Form 10-K, File Number 0</w:t>
      </w:r>
      <w:r>
        <w:rPr>
          <w:rFonts w:ascii="MS PGothic" w:cs="MS PGothic" w:eastAsia="MS PGothic" w:hAnsi="MS PGothic"/>
          <w:sz w:val="18"/>
          <w:szCs w:val="18"/>
          <w:color w:val="auto"/>
        </w:rPr>
        <w:t>‑</w:t>
      </w:r>
      <w:r>
        <w:rPr>
          <w:rFonts w:ascii="Arial" w:cs="Arial" w:eastAsia="Arial" w:hAnsi="Arial"/>
          <w:sz w:val="18"/>
          <w:szCs w:val="18"/>
          <w:color w:val="auto"/>
        </w:rPr>
        <w:t>23827, filed on March 30, 2006.</w:t>
      </w:r>
    </w:p>
    <w:p>
      <w:pPr>
        <w:ind w:left="320" w:right="260" w:hanging="317"/>
        <w:spacing w:after="0" w:line="250"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quarterly report on Form 10-Q, filed on August 10, 2007.</w:t>
      </w:r>
    </w:p>
    <w:p>
      <w:pPr>
        <w:ind w:left="320" w:hanging="317"/>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current report on Form 8-K, filed on January 9, 2008.</w:t>
      </w:r>
    </w:p>
    <w:p>
      <w:pPr>
        <w:spacing w:after="0" w:line="32" w:lineRule="exact"/>
        <w:rPr>
          <w:rFonts w:ascii="Arial" w:cs="Arial" w:eastAsia="Arial" w:hAnsi="Arial"/>
          <w:sz w:val="16"/>
          <w:szCs w:val="16"/>
          <w:color w:val="auto"/>
        </w:rPr>
      </w:pPr>
    </w:p>
    <w:p>
      <w:pPr>
        <w:ind w:left="320" w:hanging="317"/>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quarterly report on Form 10-Q, filed on May 12, 2008.</w:t>
      </w:r>
    </w:p>
    <w:p>
      <w:pPr>
        <w:spacing w:after="0" w:line="32" w:lineRule="exact"/>
        <w:rPr>
          <w:rFonts w:ascii="Arial" w:cs="Arial" w:eastAsia="Arial" w:hAnsi="Arial"/>
          <w:sz w:val="16"/>
          <w:szCs w:val="16"/>
          <w:color w:val="auto"/>
        </w:rPr>
      </w:pPr>
    </w:p>
    <w:p>
      <w:pPr>
        <w:ind w:left="320" w:right="280" w:hanging="317"/>
        <w:spacing w:after="0" w:line="265"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Incorporated by reference from exhibits filed with the Company's quarterly report on Form 10-Q, filed on August 11, 2008.</w:t>
      </w:r>
    </w:p>
    <w:p>
      <w:pPr>
        <w:ind w:left="320" w:right="20" w:hanging="317"/>
        <w:spacing w:after="0" w:line="265"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Incorporated by reference from exhibits filed with the Company's quarterly report on Form 10-Q, filed on November 10, 2008.</w:t>
      </w:r>
    </w:p>
    <w:p>
      <w:pPr>
        <w:ind w:left="320" w:right="200" w:hanging="317"/>
        <w:spacing w:after="0" w:line="216" w:lineRule="exact"/>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Incorporated by reference from exhibits filed with the Company’s annual report on Form 10-K, File Number 0</w:t>
      </w:r>
      <w:r>
        <w:rPr>
          <w:rFonts w:ascii="MS PGothic" w:cs="MS PGothic" w:eastAsia="MS PGothic" w:hAnsi="MS PGothic"/>
          <w:sz w:val="17"/>
          <w:szCs w:val="17"/>
          <w:color w:val="auto"/>
        </w:rPr>
        <w:t>‑</w:t>
      </w:r>
      <w:r>
        <w:rPr>
          <w:rFonts w:ascii="Arial" w:cs="Arial" w:eastAsia="Arial" w:hAnsi="Arial"/>
          <w:sz w:val="17"/>
          <w:szCs w:val="17"/>
          <w:color w:val="auto"/>
        </w:rPr>
        <w:t>23827, filed on March 16, 2009.</w:t>
      </w:r>
    </w:p>
    <w:p>
      <w:pPr>
        <w:ind w:left="320" w:right="20" w:hanging="317"/>
        <w:spacing w:after="0" w:line="265"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Incorporated by reference from exhibits filed with the Company's quarterly report on Form 10-Q, filed on November 10, 2010.</w:t>
      </w:r>
    </w:p>
    <w:p>
      <w:pPr>
        <w:ind w:left="320" w:right="200" w:hanging="317"/>
        <w:spacing w:after="0" w:line="216" w:lineRule="exact"/>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Incorporated by reference from exhibits filed with the Company’s annual report on Form 10-K, File Number 0</w:t>
      </w:r>
      <w:r>
        <w:rPr>
          <w:rFonts w:ascii="MS PGothic" w:cs="MS PGothic" w:eastAsia="MS PGothic" w:hAnsi="MS PGothic"/>
          <w:sz w:val="17"/>
          <w:szCs w:val="17"/>
          <w:color w:val="auto"/>
        </w:rPr>
        <w:t>‑</w:t>
      </w:r>
      <w:r>
        <w:rPr>
          <w:rFonts w:ascii="Arial" w:cs="Arial" w:eastAsia="Arial" w:hAnsi="Arial"/>
          <w:sz w:val="17"/>
          <w:szCs w:val="17"/>
          <w:color w:val="auto"/>
        </w:rPr>
        <w:t>23827, filed on February 28, 2012.</w:t>
      </w:r>
    </w:p>
    <w:p>
      <w:pPr>
        <w:ind w:left="320" w:right="360" w:hanging="317"/>
        <w:spacing w:after="0" w:line="265"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Incorporated by reference from exhibits filed with the Company's quarterly report on Form 10-Q, filed on August 8, 2012.</w:t>
      </w:r>
    </w:p>
    <w:p>
      <w:pPr>
        <w:ind w:left="320" w:right="220" w:hanging="317"/>
        <w:spacing w:after="0" w:line="265"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Incorporated by reference from exhibits filed with the Company's annual report on Form 10-K, File Number 0-23827, filed on March 4, 2013.</w:t>
      </w:r>
    </w:p>
    <w:p>
      <w:pPr>
        <w:ind w:left="320" w:hanging="317"/>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Incorporated by reference from exhibits filed with the Company’s current report on Form 8-K, filed on May 29, 2013.</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hanging="317"/>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quarterly report on Form 10-Q, filed on May 9, 2014.</w:t>
      </w:r>
    </w:p>
    <w:p>
      <w:pPr>
        <w:spacing w:after="0" w:line="46" w:lineRule="exact"/>
        <w:rPr>
          <w:rFonts w:ascii="Arial" w:cs="Arial" w:eastAsia="Arial" w:hAnsi="Arial"/>
          <w:sz w:val="16"/>
          <w:szCs w:val="16"/>
          <w:color w:val="auto"/>
        </w:rPr>
      </w:pPr>
    </w:p>
    <w:p>
      <w:pPr>
        <w:ind w:left="320" w:hanging="317"/>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current report on Form 8-K, filed on May 27, 2014.</w:t>
      </w:r>
    </w:p>
    <w:p>
      <w:pPr>
        <w:spacing w:after="0" w:line="32" w:lineRule="exact"/>
        <w:rPr>
          <w:rFonts w:ascii="Arial" w:cs="Arial" w:eastAsia="Arial" w:hAnsi="Arial"/>
          <w:sz w:val="16"/>
          <w:szCs w:val="16"/>
          <w:color w:val="auto"/>
        </w:rPr>
      </w:pPr>
    </w:p>
    <w:p>
      <w:pPr>
        <w:ind w:left="320" w:right="199" w:hanging="317"/>
        <w:spacing w:after="0" w:line="265"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Incorporated by reference from exhibits filed with the Company's quarterly report on Form 10-Q, filed on October 31, 2014.</w:t>
      </w:r>
    </w:p>
    <w:p>
      <w:pPr>
        <w:ind w:left="320" w:hanging="317"/>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current report on Form 8-K, filed on May 21, 2015.</w:t>
      </w:r>
    </w:p>
    <w:p>
      <w:pPr>
        <w:spacing w:after="0" w:line="32" w:lineRule="exact"/>
        <w:rPr>
          <w:rFonts w:ascii="Arial" w:cs="Arial" w:eastAsia="Arial" w:hAnsi="Arial"/>
          <w:sz w:val="16"/>
          <w:szCs w:val="16"/>
          <w:color w:val="auto"/>
        </w:rPr>
      </w:pPr>
    </w:p>
    <w:p>
      <w:pPr>
        <w:ind w:left="320" w:right="359" w:hanging="317"/>
        <w:spacing w:after="0" w:line="265"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Incorporated by reference from exhibits filed with the Company’s current report on Form 8-K, filed on February 16, 2017.</w:t>
      </w:r>
    </w:p>
    <w:p>
      <w:pPr>
        <w:ind w:left="320" w:right="219" w:hanging="317"/>
        <w:spacing w:after="0" w:line="265"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Incorporated by reference from exhibits filed with the Company's annual report on Form 10-K, File Number 0-23827, filed on March 3, 2017.</w:t>
      </w:r>
    </w:p>
    <w:p>
      <w:pPr>
        <w:ind w:right="4359" w:firstLine="3"/>
        <w:spacing w:after="0" w:line="261"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Submitted electronically herewith.</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w:t>
      </w:r>
    </w:p>
    <w:p>
      <w:pPr>
        <w:spacing w:after="0" w:line="46" w:lineRule="exact"/>
        <w:rPr>
          <w:sz w:val="20"/>
          <w:szCs w:val="20"/>
          <w:color w:val="auto"/>
        </w:rPr>
      </w:pPr>
    </w:p>
    <w:p>
      <w:pPr>
        <w:jc w:val="both"/>
        <w:ind w:right="119" w:firstLine="3"/>
        <w:spacing w:after="0" w:line="273"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Balance Sheets at December 31, 2017 and December 31, 2016, (ii) Consolidated Statements of Income for the years ended December 31, 2017, 2016, and 2015, (iii) Consolidated Statements of Changes in Stockholders’ Equity for the years ended December 31, 2017, 2016, and 2015, (iv) Consolidated Statements of Cash Flows for the years ended December 31, 2017, 2016, and 2015, and (v) Notes to Consolidated Financial Statements.</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79" w:firstLine="441"/>
        <w:spacing w:after="0" w:line="347" w:lineRule="auto"/>
        <w:rPr>
          <w:sz w:val="20"/>
          <w:szCs w:val="20"/>
          <w:color w:val="auto"/>
        </w:rPr>
      </w:pPr>
      <w:r>
        <w:rPr>
          <w:rFonts w:ascii="Arial" w:cs="Arial" w:eastAsia="Arial" w:hAnsi="Arial"/>
          <w:sz w:val="16"/>
          <w:szCs w:val="16"/>
          <w:b w:val="1"/>
          <w:bCs w:val="1"/>
          <w:color w:val="auto"/>
        </w:rPr>
        <w:t>Pursuant to the requirements of Section 13 or 15 (d)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PC CONNECTION, INC.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2018</w:t>
      </w:r>
    </w:p>
    <w:p>
      <w:pPr>
        <w:spacing w:after="0" w:line="23" w:lineRule="exact"/>
        <w:rPr>
          <w:sz w:val="20"/>
          <w:szCs w:val="20"/>
          <w:color w:val="auto"/>
        </w:rPr>
      </w:pPr>
    </w:p>
    <w:p>
      <w:pPr>
        <w:ind w:left="406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3"/>
          <w:szCs w:val="13"/>
          <w:color w:val="auto"/>
        </w:rPr>
        <w:t>TIMOTHY MCGRATH</w:t>
      </w:r>
    </w:p>
    <w:p>
      <w:pPr>
        <w:spacing w:after="0" w:line="9" w:lineRule="exact"/>
        <w:rPr>
          <w:sz w:val="20"/>
          <w:szCs w:val="20"/>
          <w:color w:val="auto"/>
        </w:rPr>
      </w:pPr>
    </w:p>
    <w:p>
      <w:pPr>
        <w:jc w:val="center"/>
        <w:ind w:left="4840"/>
        <w:spacing w:after="0"/>
        <w:rPr>
          <w:sz w:val="20"/>
          <w:szCs w:val="20"/>
          <w:color w:val="auto"/>
        </w:rPr>
      </w:pPr>
      <w:r>
        <w:rPr>
          <w:rFonts w:ascii="Arial" w:cs="Arial" w:eastAsia="Arial" w:hAnsi="Arial"/>
          <w:sz w:val="18"/>
          <w:szCs w:val="18"/>
          <w:b w:val="1"/>
          <w:bCs w:val="1"/>
          <w:color w:val="auto"/>
        </w:rPr>
        <w:t>Timothy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-130810</wp:posOffset>
            </wp:positionV>
            <wp:extent cx="2693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jc w:val="center"/>
        <w:ind w:left="4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7" w:lineRule="exact"/>
        <w:rPr>
          <w:sz w:val="20"/>
          <w:szCs w:val="20"/>
          <w:color w:val="auto"/>
        </w:rPr>
      </w:pPr>
    </w:p>
    <w:p>
      <w:pPr>
        <w:ind w:right="199" w:firstLine="441"/>
        <w:spacing w:after="0" w:line="313" w:lineRule="auto"/>
        <w:rPr>
          <w:sz w:val="20"/>
          <w:szCs w:val="20"/>
          <w:color w:val="auto"/>
        </w:rPr>
      </w:pPr>
      <w:r>
        <w:rPr>
          <w:rFonts w:ascii="Arial" w:cs="Arial" w:eastAsia="Arial" w:hAnsi="Arial"/>
          <w:sz w:val="17"/>
          <w:szCs w:val="17"/>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34" w:lineRule="exact"/>
        <w:rPr>
          <w:sz w:val="20"/>
          <w:szCs w:val="20"/>
          <w:color w:val="auto"/>
        </w:rPr>
      </w:pPr>
    </w:p>
    <w:p>
      <w:pPr>
        <w:ind w:left="1420"/>
        <w:spacing w:after="0"/>
        <w:tabs>
          <w:tab w:leader="none" w:pos="5140" w:val="left"/>
          <w:tab w:leader="none" w:pos="812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9039"/>
          </w:cols>
          <w:pgMar w:left="1420" w:top="125"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3"/>
          <w:szCs w:val="13"/>
          <w:color w:val="auto"/>
        </w:rPr>
        <w:t>TIMOTHY MCGRATH</w:t>
      </w:r>
    </w:p>
    <w:p>
      <w:pPr>
        <w:spacing w:after="0" w:line="3"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Timothy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19380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3"/>
          <w:szCs w:val="13"/>
          <w:color w:val="auto"/>
        </w:rPr>
        <w:t>G. WILLIAM SCHULZE</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G. William Schulze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19380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3"/>
          <w:szCs w:val="13"/>
          <w:color w:val="auto"/>
        </w:rPr>
        <w:t>PATRICIA GALLUP</w:t>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Patricia Gallup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1938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3"/>
          <w:szCs w:val="13"/>
          <w:color w:val="auto"/>
        </w:rPr>
        <w:t>JOSEPH BAUTE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9380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48"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Joseph Baute</w:t>
      </w:r>
    </w:p>
    <w:p>
      <w:pPr>
        <w:spacing w:after="0" w:line="200" w:lineRule="exact"/>
        <w:rPr>
          <w:sz w:val="20"/>
          <w:szCs w:val="20"/>
          <w:color w:val="auto"/>
        </w:rPr>
      </w:pPr>
    </w:p>
    <w:p>
      <w:pPr>
        <w:spacing w:after="0" w:line="269"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2"/>
          <w:szCs w:val="12"/>
          <w:color w:val="auto"/>
        </w:rPr>
        <w:t>DAVID BEFFA-NEGRINI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19380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David Beffa-Negrini</w:t>
      </w:r>
    </w:p>
    <w:p>
      <w:pPr>
        <w:spacing w:after="0" w:line="200" w:lineRule="exact"/>
        <w:rPr>
          <w:sz w:val="20"/>
          <w:szCs w:val="20"/>
          <w:color w:val="auto"/>
        </w:rPr>
      </w:pPr>
    </w:p>
    <w:p>
      <w:pPr>
        <w:spacing w:after="0" w:line="24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3"/>
          <w:szCs w:val="13"/>
          <w:color w:val="auto"/>
        </w:rPr>
        <w:t>BARBARA DUCKETT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9380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Barbara Duckett</w:t>
      </w:r>
    </w:p>
    <w:p>
      <w:pPr>
        <w:spacing w:after="0" w:line="200" w:lineRule="exact"/>
        <w:rPr>
          <w:sz w:val="20"/>
          <w:szCs w:val="20"/>
          <w:color w:val="auto"/>
        </w:rPr>
      </w:pPr>
    </w:p>
    <w:p>
      <w:pPr>
        <w:spacing w:after="0" w:line="25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3"/>
          <w:szCs w:val="13"/>
          <w:color w:val="auto"/>
        </w:rPr>
        <w:t>JACK FERGUSON</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19380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3"/>
          <w:szCs w:val="13"/>
          <w:color w:val="auto"/>
        </w:rPr>
        <w:t>DAVID HALL</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David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19380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w:t>
            </w:r>
          </w:p>
        </w:tc>
        <w:tc>
          <w:tcPr>
            <w:tcW w:w="1400" w:type="dxa"/>
            <w:vAlign w:val="bottom"/>
          </w:tcPr>
          <w:p>
            <w:pPr>
              <w:spacing w:after="0"/>
              <w:rPr>
                <w:sz w:val="18"/>
                <w:szCs w:val="18"/>
                <w:color w:val="auto"/>
              </w:rPr>
            </w:pPr>
          </w:p>
        </w:tc>
      </w:tr>
      <w:tr>
        <w:trPr>
          <w:trHeight w:val="257"/>
        </w:trPr>
        <w:tc>
          <w:tcPr>
            <w:tcW w:w="4160" w:type="dxa"/>
            <w:vAlign w:val="bottom"/>
          </w:tcPr>
          <w:p>
            <w:pPr>
              <w:ind w:left="20"/>
              <w:spacing w:after="0"/>
              <w:rPr>
                <w:sz w:val="20"/>
                <w:szCs w:val="20"/>
                <w:color w:val="auto"/>
              </w:rPr>
            </w:pPr>
            <w:r>
              <w:rPr>
                <w:rFonts w:ascii="Arial" w:cs="Arial" w:eastAsia="Arial" w:hAnsi="Arial"/>
                <w:sz w:val="18"/>
                <w:szCs w:val="18"/>
                <w:color w:val="auto"/>
              </w:rPr>
              <w:t>Executive Officer)</w:t>
            </w:r>
          </w:p>
        </w:tc>
        <w:tc>
          <w:tcPr>
            <w:tcW w:w="1400" w:type="dxa"/>
            <w:vAlign w:val="bottom"/>
          </w:tcPr>
          <w:p>
            <w:pPr>
              <w:ind w:left="340"/>
              <w:spacing w:after="0"/>
              <w:rPr>
                <w:sz w:val="20"/>
                <w:szCs w:val="20"/>
                <w:color w:val="auto"/>
              </w:rPr>
            </w:pPr>
            <w:r>
              <w:rPr>
                <w:rFonts w:ascii="Arial" w:cs="Arial" w:eastAsia="Arial" w:hAnsi="Arial"/>
                <w:sz w:val="18"/>
                <w:szCs w:val="18"/>
                <w:color w:val="auto"/>
                <w:w w:val="90"/>
              </w:rPr>
              <w:t>March 9, 2018</w:t>
            </w:r>
          </w:p>
        </w:tc>
      </w:tr>
      <w:tr>
        <w:trPr>
          <w:trHeight w:val="823"/>
        </w:trPr>
        <w:tc>
          <w:tcPr>
            <w:tcW w:w="4160" w:type="dxa"/>
            <w:vAlign w:val="bottom"/>
          </w:tcPr>
          <w:p>
            <w:pPr>
              <w:ind w:left="20"/>
              <w:spacing w:after="0"/>
              <w:rPr>
                <w:sz w:val="20"/>
                <w:szCs w:val="20"/>
                <w:color w:val="auto"/>
              </w:rPr>
            </w:pPr>
            <w:r>
              <w:rPr>
                <w:rFonts w:ascii="Arial" w:cs="Arial" w:eastAsia="Arial" w:hAnsi="Arial"/>
                <w:sz w:val="18"/>
                <w:szCs w:val="18"/>
                <w:color w:val="auto"/>
                <w:w w:val="97"/>
              </w:rPr>
              <w:t>Vice President, Interim Treasurer and Chief Financial</w:t>
            </w:r>
          </w:p>
        </w:tc>
        <w:tc>
          <w:tcPr>
            <w:tcW w:w="1400" w:type="dxa"/>
            <w:vAlign w:val="bottom"/>
          </w:tcPr>
          <w:p>
            <w:pPr>
              <w:ind w:left="280"/>
              <w:spacing w:after="0"/>
              <w:rPr>
                <w:sz w:val="20"/>
                <w:szCs w:val="20"/>
                <w:color w:val="auto"/>
              </w:rPr>
            </w:pPr>
            <w:r>
              <w:rPr>
                <w:rFonts w:ascii="Arial" w:cs="Arial" w:eastAsia="Arial" w:hAnsi="Arial"/>
                <w:sz w:val="18"/>
                <w:szCs w:val="18"/>
                <w:color w:val="auto"/>
                <w:w w:val="95"/>
              </w:rPr>
              <w:t>March 9, 2018</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Officer (Principal Financial and Accounting Officer)</w:t>
            </w:r>
          </w:p>
        </w:tc>
        <w:tc>
          <w:tcPr>
            <w:tcW w:w="1400" w:type="dxa"/>
            <w:vAlign w:val="bottom"/>
          </w:tcPr>
          <w:p>
            <w:pPr>
              <w:spacing w:after="0"/>
              <w:rPr>
                <w:sz w:val="20"/>
                <w:szCs w:val="20"/>
                <w:color w:val="auto"/>
              </w:rPr>
            </w:pPr>
          </w:p>
        </w:tc>
      </w:tr>
      <w:tr>
        <w:trPr>
          <w:trHeight w:val="864"/>
        </w:trPr>
        <w:tc>
          <w:tcPr>
            <w:tcW w:w="4160" w:type="dxa"/>
            <w:vAlign w:val="bottom"/>
          </w:tcPr>
          <w:p>
            <w:pPr>
              <w:spacing w:after="0"/>
              <w:rPr>
                <w:sz w:val="20"/>
                <w:szCs w:val="20"/>
                <w:color w:val="auto"/>
              </w:rPr>
            </w:pPr>
            <w:r>
              <w:rPr>
                <w:rFonts w:ascii="Arial" w:cs="Arial" w:eastAsia="Arial" w:hAnsi="Arial"/>
                <w:sz w:val="18"/>
                <w:szCs w:val="18"/>
                <w:color w:val="auto"/>
              </w:rPr>
              <w:t>Chairman of the Board</w:t>
            </w:r>
          </w:p>
        </w:tc>
        <w:tc>
          <w:tcPr>
            <w:tcW w:w="1400" w:type="dxa"/>
            <w:vAlign w:val="bottom"/>
          </w:tcPr>
          <w:p>
            <w:pPr>
              <w:ind w:left="280"/>
              <w:spacing w:after="0"/>
              <w:rPr>
                <w:sz w:val="20"/>
                <w:szCs w:val="20"/>
                <w:color w:val="auto"/>
              </w:rPr>
            </w:pPr>
            <w:r>
              <w:rPr>
                <w:rFonts w:ascii="Arial" w:cs="Arial" w:eastAsia="Arial" w:hAnsi="Arial"/>
                <w:sz w:val="18"/>
                <w:szCs w:val="18"/>
                <w:color w:val="auto"/>
                <w:w w:val="95"/>
              </w:rPr>
              <w:t>March 9, 2018</w:t>
            </w:r>
          </w:p>
        </w:tc>
      </w:tr>
      <w:tr>
        <w:trPr>
          <w:trHeight w:val="891"/>
        </w:trPr>
        <w:tc>
          <w:tcPr>
            <w:tcW w:w="4160" w:type="dxa"/>
            <w:vAlign w:val="bottom"/>
          </w:tcPr>
          <w:p>
            <w:pPr>
              <w:ind w:left="20"/>
              <w:spacing w:after="0"/>
              <w:rPr>
                <w:sz w:val="20"/>
                <w:szCs w:val="20"/>
                <w:color w:val="auto"/>
              </w:rPr>
            </w:pPr>
            <w:r>
              <w:rPr>
                <w:rFonts w:ascii="Arial" w:cs="Arial" w:eastAsia="Arial" w:hAnsi="Arial"/>
                <w:sz w:val="18"/>
                <w:szCs w:val="18"/>
                <w:color w:val="auto"/>
              </w:rPr>
              <w:t>Vice Chairman of the Board</w:t>
            </w:r>
          </w:p>
        </w:tc>
        <w:tc>
          <w:tcPr>
            <w:tcW w:w="1400" w:type="dxa"/>
            <w:vAlign w:val="bottom"/>
          </w:tcPr>
          <w:p>
            <w:pPr>
              <w:ind w:left="280"/>
              <w:spacing w:after="0"/>
              <w:rPr>
                <w:sz w:val="20"/>
                <w:szCs w:val="20"/>
                <w:color w:val="auto"/>
              </w:rPr>
            </w:pPr>
            <w:r>
              <w:rPr>
                <w:rFonts w:ascii="Arial" w:cs="Arial" w:eastAsia="Arial" w:hAnsi="Arial"/>
                <w:sz w:val="18"/>
                <w:szCs w:val="18"/>
                <w:color w:val="auto"/>
                <w:w w:val="95"/>
              </w:rPr>
              <w:t>March 9, 2018</w:t>
            </w:r>
          </w:p>
        </w:tc>
      </w:tr>
      <w:tr>
        <w:trPr>
          <w:trHeight w:val="878"/>
        </w:trPr>
        <w:tc>
          <w:tcPr>
            <w:tcW w:w="41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280"/>
              <w:spacing w:after="0"/>
              <w:rPr>
                <w:sz w:val="20"/>
                <w:szCs w:val="20"/>
                <w:color w:val="auto"/>
              </w:rPr>
            </w:pPr>
            <w:r>
              <w:rPr>
                <w:rFonts w:ascii="Arial" w:cs="Arial" w:eastAsia="Arial" w:hAnsi="Arial"/>
                <w:sz w:val="18"/>
                <w:szCs w:val="18"/>
                <w:color w:val="auto"/>
                <w:w w:val="95"/>
              </w:rPr>
              <w:t>March 9, 2018</w:t>
            </w:r>
          </w:p>
        </w:tc>
      </w:tr>
      <w:tr>
        <w:trPr>
          <w:trHeight w:val="837"/>
        </w:trPr>
        <w:tc>
          <w:tcPr>
            <w:tcW w:w="41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280"/>
              <w:spacing w:after="0"/>
              <w:rPr>
                <w:sz w:val="20"/>
                <w:szCs w:val="20"/>
                <w:color w:val="auto"/>
              </w:rPr>
            </w:pPr>
            <w:r>
              <w:rPr>
                <w:rFonts w:ascii="Arial" w:cs="Arial" w:eastAsia="Arial" w:hAnsi="Arial"/>
                <w:sz w:val="18"/>
                <w:szCs w:val="18"/>
                <w:color w:val="auto"/>
                <w:w w:val="95"/>
              </w:rPr>
              <w:t>March 9, 2018</w:t>
            </w:r>
          </w:p>
        </w:tc>
      </w:tr>
      <w:tr>
        <w:trPr>
          <w:trHeight w:val="864"/>
        </w:trPr>
        <w:tc>
          <w:tcPr>
            <w:tcW w:w="41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280"/>
              <w:spacing w:after="0"/>
              <w:rPr>
                <w:sz w:val="20"/>
                <w:szCs w:val="20"/>
                <w:color w:val="auto"/>
              </w:rPr>
            </w:pPr>
            <w:r>
              <w:rPr>
                <w:rFonts w:ascii="Arial" w:cs="Arial" w:eastAsia="Arial" w:hAnsi="Arial"/>
                <w:sz w:val="18"/>
                <w:szCs w:val="18"/>
                <w:color w:val="auto"/>
                <w:w w:val="95"/>
              </w:rPr>
              <w:t>March 9, 2018</w:t>
            </w:r>
          </w:p>
        </w:tc>
      </w:tr>
      <w:tr>
        <w:trPr>
          <w:trHeight w:val="864"/>
        </w:trPr>
        <w:tc>
          <w:tcPr>
            <w:tcW w:w="41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280"/>
              <w:spacing w:after="0"/>
              <w:rPr>
                <w:sz w:val="20"/>
                <w:szCs w:val="20"/>
                <w:color w:val="auto"/>
              </w:rPr>
            </w:pPr>
            <w:r>
              <w:rPr>
                <w:rFonts w:ascii="Arial" w:cs="Arial" w:eastAsia="Arial" w:hAnsi="Arial"/>
                <w:sz w:val="18"/>
                <w:szCs w:val="18"/>
                <w:color w:val="auto"/>
                <w:w w:val="95"/>
              </w:rPr>
              <w:t>March 9, 2018</w:t>
            </w:r>
          </w:p>
        </w:tc>
      </w:tr>
    </w:tbl>
    <w:p>
      <w:pPr>
        <w:spacing w:after="0" w:line="200" w:lineRule="exact"/>
        <w:rPr>
          <w:sz w:val="20"/>
          <w:szCs w:val="20"/>
          <w:color w:val="auto"/>
        </w:rPr>
      </w:pPr>
    </w:p>
    <w:p>
      <w:pPr>
        <w:sectPr>
          <w:pgSz w:w="11900" w:h="16838" w:orient="portrait"/>
          <w:cols w:equalWidth="0" w:num="2">
            <w:col w:w="2540" w:space="720"/>
            <w:col w:w="5779"/>
          </w:cols>
          <w:pgMar w:left="142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8300" w:type="dxa"/>
            <w:vAlign w:val="bottom"/>
            <w:gridSpan w:val="9"/>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360" w:type="dxa"/>
            <w:vAlign w:val="bottom"/>
            <w:tcBorders>
              <w:top w:val="single" w:sz="8" w:color="0563C1"/>
            </w:tcBorders>
          </w:tcPr>
          <w:p>
            <w:pPr>
              <w:spacing w:after="0"/>
              <w:rPr>
                <w:sz w:val="24"/>
                <w:szCs w:val="24"/>
                <w:color w:val="auto"/>
              </w:rPr>
            </w:pPr>
          </w:p>
        </w:tc>
        <w:tc>
          <w:tcPr>
            <w:tcW w:w="920" w:type="dxa"/>
            <w:vAlign w:val="bottom"/>
            <w:tcBorders>
              <w:top w:val="single" w:sz="8" w:color="0563C1"/>
            </w:tcBorders>
          </w:tcPr>
          <w:p>
            <w:pPr>
              <w:spacing w:after="0"/>
              <w:rPr>
                <w:sz w:val="24"/>
                <w:szCs w:val="24"/>
                <w:color w:val="auto"/>
              </w:rPr>
            </w:pPr>
          </w:p>
        </w:tc>
        <w:tc>
          <w:tcPr>
            <w:tcW w:w="702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99"/>
              </w:rPr>
              <w:t>PC CONNECTION, INC. AND SUBSIDIARIES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20" w:type="dxa"/>
            <w:vAlign w:val="bottom"/>
            <w:gridSpan w:val="7"/>
          </w:tcPr>
          <w:p>
            <w:pPr>
              <w:jc w:val="center"/>
              <w:ind w:right="500"/>
              <w:spacing w:after="0"/>
              <w:rPr>
                <w:sz w:val="20"/>
                <w:szCs w:val="20"/>
                <w:color w:val="auto"/>
              </w:rPr>
            </w:pPr>
            <w:r>
              <w:rPr>
                <w:rFonts w:ascii="Arial" w:cs="Arial" w:eastAsia="Arial" w:hAnsi="Arial"/>
                <w:sz w:val="18"/>
                <w:szCs w:val="18"/>
                <w:b w:val="1"/>
                <w:bCs w:val="1"/>
                <w:color w:val="auto"/>
              </w:rPr>
              <w:t>INDEX TO CONSOLIDATED FINANCIAL STATEMENTS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gridSpan w:val="9"/>
            <w:vMerge w:val="restart"/>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56"/>
        </w:trPr>
        <w:tc>
          <w:tcPr>
            <w:tcW w:w="8300" w:type="dxa"/>
            <w:vAlign w:val="bottom"/>
            <w:gridSpan w:val="9"/>
            <w:vMerge w:val="continue"/>
          </w:tcPr>
          <w:p>
            <w:pPr>
              <w:spacing w:after="0"/>
              <w:rPr>
                <w:sz w:val="13"/>
                <w:szCs w:val="13"/>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Consolidated Balance Sheets as of December 31, 2017 and 2016</w:t>
              </w:r>
            </w:hyperlink>
          </w:p>
        </w:tc>
        <w:tc>
          <w:tcPr>
            <w:tcW w:w="3640" w:type="dxa"/>
            <w:vAlign w:val="bottom"/>
            <w:gridSpan w:val="4"/>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96"/>
        </w:trPr>
        <w:tc>
          <w:tcPr>
            <w:tcW w:w="8300" w:type="dxa"/>
            <w:vAlign w:val="bottom"/>
            <w:gridSpan w:val="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Income for the years ended December 31, 2017, 2016 and 2015</w:t>
              </w:r>
            </w:hyperlink>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gridSpan w:val="9"/>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Consolidated Statement of Changes in Stockholders’ Equity for the years ended December 31, 2017, 2016 and</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2">
              <w:r>
                <w:rPr>
                  <w:rFonts w:ascii="Arial" w:cs="Arial" w:eastAsia="Arial" w:hAnsi="Arial"/>
                  <w:sz w:val="18"/>
                  <w:szCs w:val="18"/>
                  <w:color w:val="0000EE"/>
                  <w:w w:val="84"/>
                </w:rPr>
                <w:t>2015</w:t>
              </w:r>
            </w:hyperlink>
          </w:p>
        </w:tc>
        <w:tc>
          <w:tcPr>
            <w:tcW w:w="92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Cash Flows for the years ended December 31, 2017, 2016 and 2015</w:t>
              </w:r>
            </w:hyperlink>
          </w:p>
        </w:tc>
        <w:tc>
          <w:tcPr>
            <w:tcW w:w="1380" w:type="dxa"/>
            <w:vAlign w:val="bottom"/>
            <w:gridSpan w:val="2"/>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96"/>
        </w:trPr>
        <w:tc>
          <w:tcPr>
            <w:tcW w:w="8300" w:type="dxa"/>
            <w:vAlign w:val="bottom"/>
            <w:gridSpan w:val="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Notes to Consolidated Financial Statements</w:t>
              </w:r>
            </w:hyperlink>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898"/>
        </w:trPr>
        <w:tc>
          <w:tcPr>
            <w:tcW w:w="3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8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080" w:type="dxa"/>
            <w:vAlign w:val="bottom"/>
            <w:gridSpan w:val="5"/>
          </w:tcPr>
          <w:p>
            <w:pPr>
              <w:jc w:val="center"/>
              <w:ind w:right="3460"/>
              <w:spacing w:after="0"/>
              <w:rPr>
                <w:sz w:val="20"/>
                <w:szCs w:val="20"/>
                <w:color w:val="auto"/>
              </w:rPr>
            </w:pPr>
            <w:r>
              <w:rPr>
                <w:rFonts w:ascii="Arial" w:cs="Arial" w:eastAsia="Arial" w:hAnsi="Arial"/>
                <w:sz w:val="18"/>
                <w:szCs w:val="18"/>
                <w:color w:val="auto"/>
                <w:w w:val="96"/>
              </w:rPr>
              <w:t>F-1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 of PC Connection,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25" w:lineRule="exact"/>
        <w:rPr>
          <w:sz w:val="20"/>
          <w:szCs w:val="20"/>
          <w:color w:val="auto"/>
        </w:rPr>
      </w:pPr>
    </w:p>
    <w:p>
      <w:pPr>
        <w:ind w:right="80"/>
        <w:spacing w:after="0" w:line="315" w:lineRule="auto"/>
        <w:rPr>
          <w:sz w:val="20"/>
          <w:szCs w:val="20"/>
          <w:color w:val="auto"/>
        </w:rPr>
      </w:pPr>
      <w:r>
        <w:rPr>
          <w:rFonts w:ascii="Arial" w:cs="Arial" w:eastAsia="Arial" w:hAnsi="Arial"/>
          <w:sz w:val="14"/>
          <w:szCs w:val="14"/>
          <w:color w:val="auto"/>
        </w:rPr>
        <w:t>We have audited the accompanying consolidated balance sheets of PC Connection, Inc. and subsidiaries (the "Company") as of December 31, 2017 and 2016, the related consolidated statements of income, changes in stockholders’ equity, and cash flows, for each of the three years in the period ended December 31, 2017, and the related notes and the schedule listed in the Index at item 15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50"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5"/>
          <w:szCs w:val="15"/>
          <w:i w:val="1"/>
          <w:iCs w:val="1"/>
          <w:color w:val="auto"/>
        </w:rPr>
        <w:t>Internal Control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Integrated Framework (2013) </w:t>
      </w:r>
      <w:r>
        <w:rPr>
          <w:rFonts w:ascii="Arial" w:cs="Arial" w:eastAsia="Arial" w:hAnsi="Arial"/>
          <w:sz w:val="15"/>
          <w:szCs w:val="15"/>
          <w:color w:val="auto"/>
        </w:rPr>
        <w:t>issued by the Committee of Sponsoring Organizations of the Treadway Commission and our report dated</w:t>
      </w:r>
      <w:r>
        <w:rPr>
          <w:rFonts w:ascii="Arial" w:cs="Arial" w:eastAsia="Arial" w:hAnsi="Arial"/>
          <w:sz w:val="15"/>
          <w:szCs w:val="15"/>
          <w:i w:val="1"/>
          <w:iCs w:val="1"/>
          <w:color w:val="auto"/>
        </w:rPr>
        <w:t xml:space="preserve"> </w:t>
      </w:r>
      <w:r>
        <w:rPr>
          <w:rFonts w:ascii="Arial" w:cs="Arial" w:eastAsia="Arial" w:hAnsi="Arial"/>
          <w:sz w:val="15"/>
          <w:szCs w:val="15"/>
          <w:color w:val="auto"/>
        </w:rPr>
        <w:t>March 9, 2018, expressed an unqualified opinion on the Company's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March 9, 2018</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1984.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210"/>
        </w:trPr>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31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49,180</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449,682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411,883</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106,753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90,535</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receivable</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8"/>
                <w:szCs w:val="18"/>
                <w:color w:val="auto"/>
              </w:rPr>
            </w:pPr>
          </w:p>
        </w:tc>
      </w:tr>
      <w:tr>
        <w:trPr>
          <w:trHeight w:val="210"/>
        </w:trPr>
        <w:tc>
          <w:tcPr>
            <w:tcW w:w="67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616,095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559,171</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39,402</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73,602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73,602</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tcPr>
          <w:p>
            <w:pPr>
              <w:spacing w:after="0"/>
              <w:rPr>
                <w:sz w:val="18"/>
                <w:szCs w:val="18"/>
                <w:color w:val="auto"/>
              </w:rPr>
            </w:pPr>
          </w:p>
        </w:tc>
      </w:tr>
      <w:tr>
        <w:trPr>
          <w:trHeight w:val="230"/>
        </w:trPr>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747,851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686,134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3"/>
        </w:trPr>
        <w:tc>
          <w:tcPr>
            <w:tcW w:w="6720" w:type="dxa"/>
            <w:vAlign w:val="bottom"/>
          </w:tcPr>
          <w:p>
            <w:pPr>
              <w:ind w:left="150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194,257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177,862</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31,047</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payroll</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21,345</w:t>
            </w:r>
          </w:p>
        </w:tc>
        <w:tc>
          <w:tcPr>
            <w:tcW w:w="10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248,015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230,254</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19,602</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18"/>
                <w:szCs w:val="18"/>
                <w:color w:val="auto"/>
              </w:rPr>
            </w:pPr>
          </w:p>
        </w:tc>
      </w:tr>
      <w:tr>
        <w:trPr>
          <w:trHeight w:val="210"/>
        </w:trPr>
        <w:tc>
          <w:tcPr>
            <w:tcW w:w="67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265,599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252,692</w:t>
            </w:r>
          </w:p>
        </w:tc>
        <w:tc>
          <w:tcPr>
            <w:tcW w:w="10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$.01 par value, 10,000 shares authorized, none issued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6720" w:type="dxa"/>
            <w:vAlign w:val="bottom"/>
          </w:tcPr>
          <w:p>
            <w:pPr>
              <w:ind w:left="220"/>
              <w:spacing w:after="0" w:line="201" w:lineRule="exact"/>
              <w:rPr>
                <w:sz w:val="20"/>
                <w:szCs w:val="20"/>
                <w:color w:val="auto"/>
              </w:rPr>
            </w:pPr>
            <w:r>
              <w:rPr>
                <w:rFonts w:ascii="Arial" w:cs="Arial" w:eastAsia="Arial" w:hAnsi="Arial"/>
                <w:sz w:val="18"/>
                <w:szCs w:val="18"/>
                <w:color w:val="auto"/>
                <w:w w:val="93"/>
              </w:rPr>
              <w:t>Common Stock, $.01 par value, 100,000 shares authorized, 28,709 and 28,465 issued,</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26,853 and 26,609 outstanding at December 31, 2017 and 2016, respectively</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114,154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111,081</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383,673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337,938</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 1,856 shares at December 31, 2017 and 2016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(15,862)</w:t>
            </w:r>
          </w:p>
        </w:tc>
      </w:tr>
      <w:tr>
        <w:trPr>
          <w:trHeight w:val="210"/>
        </w:trPr>
        <w:tc>
          <w:tcPr>
            <w:tcW w:w="67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482,252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433,442</w:t>
            </w:r>
          </w:p>
        </w:tc>
        <w:tc>
          <w:tcPr>
            <w:tcW w:w="100" w:type="dxa"/>
            <w:vAlign w:val="bottom"/>
            <w:tcBorders>
              <w:bottom w:val="single" w:sz="8" w:color="CCEEFF"/>
            </w:tcBorders>
          </w:tcPr>
          <w:p>
            <w:pPr>
              <w:spacing w:after="0"/>
              <w:rPr>
                <w:sz w:val="18"/>
                <w:szCs w:val="18"/>
                <w:color w:val="auto"/>
              </w:rPr>
            </w:pPr>
          </w:p>
        </w:tc>
      </w:tr>
      <w:tr>
        <w:trPr>
          <w:trHeight w:val="217"/>
        </w:trPr>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747,851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686,134</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9"/>
          </w:tcPr>
          <w:p>
            <w:pPr>
              <w:ind w:left="6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2,911,883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2,692,592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2,573,973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2,529,807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2,321,435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2,232,954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304,549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290,637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262,465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 (expense)</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before taxes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tax provision</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(22,768)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(31,640)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Basic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earnings per common share: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Basic</w:t>
            </w: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26,398</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26,891</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26,719</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26,616</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1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Retained</w:t>
            </w:r>
          </w:p>
        </w:tc>
        <w:tc>
          <w:tcPr>
            <w:tcW w:w="1340" w:type="dxa"/>
            <w:vAlign w:val="bottom"/>
            <w:gridSpan w:val="6"/>
          </w:tcPr>
          <w:p>
            <w:pPr>
              <w:ind w:left="140"/>
              <w:spacing w:after="0"/>
              <w:rPr>
                <w:sz w:val="20"/>
                <w:szCs w:val="20"/>
                <w:color w:val="auto"/>
              </w:rPr>
            </w:pPr>
            <w:r>
              <w:rPr>
                <w:rFonts w:ascii="Arial" w:cs="Arial" w:eastAsia="Arial" w:hAnsi="Arial"/>
                <w:sz w:val="14"/>
                <w:szCs w:val="14"/>
                <w:b w:val="1"/>
                <w:bCs w:val="1"/>
                <w:color w:val="auto"/>
              </w:rPr>
              <w:t>Treasury 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66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8"/>
              </w:rPr>
              <w:t>Paid-In Capital</w:t>
            </w:r>
          </w:p>
        </w:tc>
        <w:tc>
          <w:tcPr>
            <w:tcW w:w="14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3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 January 1, 2015</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28,199</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106,956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262,632</w:t>
            </w: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(15,862)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354,008</w:t>
            </w:r>
          </w:p>
        </w:tc>
        <w:tc>
          <w:tcPr>
            <w:tcW w:w="40" w:type="dxa"/>
            <w:vAlign w:val="bottom"/>
            <w:tcBorders>
              <w:top w:val="single" w:sz="8" w:color="CCEEFF"/>
            </w:tcBorders>
            <w:shd w:val="clear" w:color="auto" w:fill="CCEEFF"/>
          </w:tcPr>
          <w:p>
            <w:pPr>
              <w:spacing w:after="0"/>
              <w:rPr>
                <w:sz w:val="12"/>
                <w:szCs w:val="12"/>
                <w:color w:val="auto"/>
              </w:rPr>
            </w:pP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4"/>
                <w:szCs w:val="14"/>
                <w:color w:val="auto"/>
              </w:rPr>
              <w:t>Issuance of common stock under stock incentive plans</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41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436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437</w:t>
            </w:r>
          </w:p>
        </w:tc>
        <w:tc>
          <w:tcPr>
            <w:tcW w:w="40" w:type="dxa"/>
            <w:vAlign w:val="bottom"/>
          </w:tcPr>
          <w:p>
            <w:pPr>
              <w:spacing w:after="0"/>
              <w:rPr>
                <w:sz w:val="12"/>
                <w:szCs w:val="12"/>
                <w:color w:val="auto"/>
              </w:rPr>
            </w:pPr>
          </w:p>
        </w:tc>
      </w:tr>
      <w:tr>
        <w:trPr>
          <w:trHeight w:val="130"/>
        </w:trPr>
        <w:tc>
          <w:tcPr>
            <w:tcW w:w="3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common stock under Employee Stock Purchase</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Plan</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40" w:type="dxa"/>
            <w:vAlign w:val="bottom"/>
            <w:shd w:val="clear" w:color="auto" w:fill="CCEEFF"/>
          </w:tcPr>
          <w:p>
            <w:pPr>
              <w:spacing w:after="0"/>
              <w:rPr>
                <w:sz w:val="14"/>
                <w:szCs w:val="14"/>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994</w:t>
            </w:r>
          </w:p>
        </w:tc>
        <w:tc>
          <w:tcPr>
            <w:tcW w:w="40" w:type="dxa"/>
            <w:vAlign w:val="bottom"/>
          </w:tcPr>
          <w:p>
            <w:pPr>
              <w:spacing w:after="0"/>
              <w:rPr>
                <w:sz w:val="12"/>
                <w:szCs w:val="12"/>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Nonvested stock awards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Shares withheld for taxes paid on stock awards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40" w:type="dxa"/>
            <w:vAlign w:val="bottom"/>
          </w:tcPr>
          <w:p>
            <w:pPr>
              <w:spacing w:after="0"/>
              <w:rPr>
                <w:sz w:val="12"/>
                <w:szCs w:val="12"/>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stock-based compensation</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w:t>
            </w:r>
          </w:p>
        </w:tc>
        <w:tc>
          <w:tcPr>
            <w:tcW w:w="40" w:type="dxa"/>
            <w:vAlign w:val="bottom"/>
            <w:shd w:val="clear" w:color="auto" w:fill="CCEEFF"/>
          </w:tcPr>
          <w:p>
            <w:pPr>
              <w:spacing w:after="0"/>
              <w:rPr>
                <w:sz w:val="12"/>
                <w:szCs w:val="12"/>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Dividend payment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9"/>
              </w:rPr>
              <w:t>(10,591)</w:t>
            </w:r>
          </w:p>
        </w:tc>
        <w:tc>
          <w:tcPr>
            <w:tcW w:w="1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(10,591)</w:t>
            </w:r>
          </w:p>
        </w:tc>
      </w:tr>
      <w:tr>
        <w:trPr>
          <w:trHeight w:val="149"/>
        </w:trPr>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46,827</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46,827</w:t>
            </w:r>
          </w:p>
        </w:tc>
        <w:tc>
          <w:tcPr>
            <w:tcW w:w="40" w:type="dxa"/>
            <w:vAlign w:val="bottom"/>
            <w:shd w:val="clear" w:color="auto" w:fill="CCEEFF"/>
          </w:tcPr>
          <w:p>
            <w:pPr>
              <w:spacing w:after="0"/>
              <w:rPr>
                <w:sz w:val="12"/>
                <w:szCs w:val="12"/>
                <w:color w:val="auto"/>
              </w:rPr>
            </w:pPr>
          </w:p>
        </w:tc>
      </w:tr>
      <w:tr>
        <w:trPr>
          <w:trHeight w:val="142"/>
        </w:trPr>
        <w:tc>
          <w:tcPr>
            <w:tcW w:w="36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 December 31, 2015</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28,353</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284</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109,161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298,868</w:t>
            </w:r>
          </w:p>
        </w:tc>
        <w:tc>
          <w:tcPr>
            <w:tcW w:w="16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(1,856)</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(15,862)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392,451</w:t>
            </w:r>
          </w:p>
        </w:tc>
        <w:tc>
          <w:tcPr>
            <w:tcW w:w="40" w:type="dxa"/>
            <w:vAlign w:val="bottom"/>
            <w:tcBorders>
              <w:bottom w:val="single" w:sz="8" w:color="CCEEFF"/>
            </w:tcBorders>
          </w:tcPr>
          <w:p>
            <w:pPr>
              <w:spacing w:after="0"/>
              <w:rPr>
                <w:sz w:val="12"/>
                <w:szCs w:val="12"/>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Issuance of common stock under stock incentive plans</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135</w:t>
            </w:r>
          </w:p>
        </w:tc>
        <w:tc>
          <w:tcPr>
            <w:tcW w:w="40" w:type="dxa"/>
            <w:vAlign w:val="bottom"/>
            <w:shd w:val="clear" w:color="auto" w:fill="CCEEFF"/>
          </w:tcPr>
          <w:p>
            <w:pPr>
              <w:spacing w:after="0"/>
              <w:rPr>
                <w:sz w:val="12"/>
                <w:szCs w:val="12"/>
                <w:color w:val="auto"/>
              </w:rPr>
            </w:pPr>
          </w:p>
        </w:tc>
      </w:tr>
      <w:tr>
        <w:trPr>
          <w:trHeight w:val="130"/>
        </w:trPr>
        <w:tc>
          <w:tcPr>
            <w:tcW w:w="3660" w:type="dxa"/>
            <w:vAlign w:val="bottom"/>
          </w:tcPr>
          <w:p>
            <w:pPr>
              <w:spacing w:after="0" w:line="130" w:lineRule="exact"/>
              <w:rPr>
                <w:sz w:val="20"/>
                <w:szCs w:val="20"/>
                <w:color w:val="auto"/>
              </w:rPr>
            </w:pPr>
            <w:r>
              <w:rPr>
                <w:rFonts w:ascii="Arial" w:cs="Arial" w:eastAsia="Arial" w:hAnsi="Arial"/>
                <w:sz w:val="14"/>
                <w:szCs w:val="14"/>
                <w:color w:val="auto"/>
                <w:w w:val="97"/>
              </w:rPr>
              <w:t>Issuance of common stock under Employee Stock Purchase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3660" w:type="dxa"/>
            <w:vAlign w:val="bottom"/>
          </w:tcPr>
          <w:p>
            <w:pPr>
              <w:spacing w:after="0"/>
              <w:rPr>
                <w:sz w:val="20"/>
                <w:szCs w:val="20"/>
                <w:color w:val="auto"/>
              </w:rPr>
            </w:pPr>
            <w:r>
              <w:rPr>
                <w:rFonts w:ascii="Arial" w:cs="Arial" w:eastAsia="Arial" w:hAnsi="Arial"/>
                <w:sz w:val="14"/>
                <w:szCs w:val="14"/>
                <w:color w:val="auto"/>
              </w:rPr>
              <w:t>Plan</w:t>
            </w:r>
          </w:p>
        </w:tc>
        <w:tc>
          <w:tcPr>
            <w:tcW w:w="500" w:type="dxa"/>
            <w:vAlign w:val="bottom"/>
          </w:tcPr>
          <w:p>
            <w:pPr>
              <w:jc w:val="right"/>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961</w:t>
            </w:r>
          </w:p>
        </w:tc>
        <w:tc>
          <w:tcPr>
            <w:tcW w:w="40" w:type="dxa"/>
            <w:vAlign w:val="bottom"/>
          </w:tcPr>
          <w:p>
            <w:pPr>
              <w:spacing w:after="0"/>
              <w:rPr>
                <w:sz w:val="14"/>
                <w:szCs w:val="14"/>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w:t>
            </w:r>
          </w:p>
        </w:tc>
        <w:tc>
          <w:tcPr>
            <w:tcW w:w="40" w:type="dxa"/>
            <w:vAlign w:val="bottom"/>
            <w:shd w:val="clear" w:color="auto" w:fill="CCEEFF"/>
          </w:tcPr>
          <w:p>
            <w:pPr>
              <w:spacing w:after="0"/>
              <w:rPr>
                <w:sz w:val="12"/>
                <w:szCs w:val="12"/>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Nonvested stock awards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withheld for taxes paid on stock awards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w:t>
            </w:r>
          </w:p>
        </w:tc>
        <w:tc>
          <w:tcPr>
            <w:tcW w:w="40" w:type="dxa"/>
            <w:vAlign w:val="bottom"/>
            <w:shd w:val="clear" w:color="auto" w:fill="CCEEFF"/>
          </w:tcPr>
          <w:p>
            <w:pPr>
              <w:spacing w:after="0"/>
              <w:rPr>
                <w:sz w:val="12"/>
                <w:szCs w:val="12"/>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Tax benefit from stock-based compensation</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513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513</w:t>
            </w:r>
          </w:p>
        </w:tc>
        <w:tc>
          <w:tcPr>
            <w:tcW w:w="40" w:type="dxa"/>
            <w:vAlign w:val="bottom"/>
          </w:tcPr>
          <w:p>
            <w:pPr>
              <w:spacing w:after="0"/>
              <w:rPr>
                <w:sz w:val="12"/>
                <w:szCs w:val="12"/>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declaration</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(9,041)</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(9,041)</w:t>
            </w: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48,111</w:t>
            </w:r>
          </w:p>
        </w:tc>
        <w:tc>
          <w:tcPr>
            <w:tcW w:w="1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48,111</w:t>
            </w:r>
          </w:p>
        </w:tc>
        <w:tc>
          <w:tcPr>
            <w:tcW w:w="40" w:type="dxa"/>
            <w:vAlign w:val="bottom"/>
          </w:tcPr>
          <w:p>
            <w:pPr>
              <w:spacing w:after="0"/>
              <w:rPr>
                <w:sz w:val="12"/>
                <w:szCs w:val="12"/>
                <w:color w:val="auto"/>
              </w:rPr>
            </w:pPr>
          </w:p>
        </w:tc>
      </w:tr>
      <w:tr>
        <w:trPr>
          <w:trHeight w:val="142"/>
        </w:trPr>
        <w:tc>
          <w:tcPr>
            <w:tcW w:w="3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 December 31, 2016</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28,465</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111,081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337,938</w:t>
            </w: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(15,862)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433,442</w:t>
            </w:r>
          </w:p>
        </w:tc>
        <w:tc>
          <w:tcPr>
            <w:tcW w:w="40" w:type="dxa"/>
            <w:vAlign w:val="bottom"/>
            <w:tcBorders>
              <w:top w:val="single" w:sz="8" w:color="CCEEFF"/>
            </w:tcBorders>
            <w:shd w:val="clear" w:color="auto" w:fill="CCEEFF"/>
          </w:tcPr>
          <w:p>
            <w:pPr>
              <w:spacing w:after="0"/>
              <w:rPr>
                <w:sz w:val="12"/>
                <w:szCs w:val="12"/>
                <w:color w:val="auto"/>
              </w:rPr>
            </w:pP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4"/>
                <w:szCs w:val="14"/>
                <w:color w:val="auto"/>
              </w:rPr>
              <w:t>Issuance of common stock under stock incentive plans</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157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1,748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1,750</w:t>
            </w:r>
          </w:p>
        </w:tc>
        <w:tc>
          <w:tcPr>
            <w:tcW w:w="40" w:type="dxa"/>
            <w:vAlign w:val="bottom"/>
          </w:tcPr>
          <w:p>
            <w:pPr>
              <w:spacing w:after="0"/>
              <w:rPr>
                <w:sz w:val="12"/>
                <w:szCs w:val="12"/>
                <w:color w:val="auto"/>
              </w:rPr>
            </w:pPr>
          </w:p>
        </w:tc>
      </w:tr>
      <w:tr>
        <w:trPr>
          <w:trHeight w:val="130"/>
        </w:trPr>
        <w:tc>
          <w:tcPr>
            <w:tcW w:w="3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common stock under Employee Stock Purchase</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Plan</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w:t>
            </w:r>
          </w:p>
        </w:tc>
        <w:tc>
          <w:tcPr>
            <w:tcW w:w="40" w:type="dxa"/>
            <w:vAlign w:val="bottom"/>
            <w:shd w:val="clear" w:color="auto" w:fill="CCEEFF"/>
          </w:tcPr>
          <w:p>
            <w:pPr>
              <w:spacing w:after="0"/>
              <w:rPr>
                <w:sz w:val="14"/>
                <w:szCs w:val="14"/>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40" w:type="dxa"/>
            <w:vAlign w:val="bottom"/>
          </w:tcPr>
          <w:p>
            <w:pPr>
              <w:spacing w:after="0"/>
              <w:rPr>
                <w:sz w:val="12"/>
                <w:szCs w:val="12"/>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Nonvested stock awards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Shares withheld for taxes paid on stock awards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(613)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(613)</w:t>
            </w:r>
          </w:p>
        </w:tc>
        <w:tc>
          <w:tcPr>
            <w:tcW w:w="40" w:type="dxa"/>
            <w:vAlign w:val="bottom"/>
          </w:tcPr>
          <w:p>
            <w:pPr>
              <w:spacing w:after="0"/>
              <w:rPr>
                <w:sz w:val="12"/>
                <w:szCs w:val="12"/>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declaration</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(9,122)</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(9,122)</w:t>
            </w: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54,857</w:t>
            </w:r>
          </w:p>
        </w:tc>
        <w:tc>
          <w:tcPr>
            <w:tcW w:w="1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54,857</w:t>
            </w:r>
          </w:p>
        </w:tc>
        <w:tc>
          <w:tcPr>
            <w:tcW w:w="40" w:type="dxa"/>
            <w:vAlign w:val="bottom"/>
          </w:tcPr>
          <w:p>
            <w:pPr>
              <w:spacing w:after="0"/>
              <w:rPr>
                <w:sz w:val="12"/>
                <w:szCs w:val="12"/>
                <w:color w:val="auto"/>
              </w:rPr>
            </w:pPr>
          </w:p>
        </w:tc>
      </w:tr>
      <w:tr>
        <w:trPr>
          <w:trHeight w:val="149"/>
        </w:trPr>
        <w:tc>
          <w:tcPr>
            <w:tcW w:w="36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 December 31, 2017</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28,709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114,154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383,673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(15,862)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482,252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9"/>
          </w:tcPr>
          <w:p>
            <w:pPr>
              <w:ind w:left="3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54,857</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48,111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Provision for doubtful accounts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5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520"/>
              <w:spacing w:after="0"/>
              <w:rPr>
                <w:sz w:val="20"/>
                <w:szCs w:val="20"/>
                <w:color w:val="auto"/>
              </w:rPr>
            </w:pPr>
            <w:r>
              <w:rPr>
                <w:rFonts w:ascii="Arial" w:cs="Arial" w:eastAsia="Arial" w:hAnsi="Arial"/>
                <w:sz w:val="18"/>
                <w:szCs w:val="18"/>
                <w:color w:val="auto"/>
              </w:rPr>
              <w:t>Loss on disposal of fixed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Excess tax benefit from exercise of equity awards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(39,457)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(33,835)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(16,218)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income tax receivables and other 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52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equipment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(42,990)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intangible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(11,803)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(54,875)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(12,787)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Dividend payment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(10,591)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Issuance of stock under Employee Stock Purchase Plan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exercise of equity awards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w w:val="92"/>
              </w:rPr>
              <w:t>Payment of payroll taxes on stock-based compensation through shares withheld</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for) provided by financing activities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(31,008)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80,188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80,188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capital expenditures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Dividend declaration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Income taxes paid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28,927</w:t>
            </w:r>
          </w:p>
        </w:tc>
        <w:tc>
          <w:tcPr>
            <w:tcW w:w="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29,740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30,371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PC CONNECTION,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SUMMARY OF SIGNIFICANT ACCOUNTING POLICIES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 national solutions provider of a wide range of information technology (“IT”) solutions. We help our customers design, enable, manage, and service their IT environments. We provide IT products, including computer systems, software and peripheral equipment, networking communications, and other products and accessories that we purchase from manufacturers, distributors, and other suppliers. We also offer services involving design, configuration, and implementation of IT solutions. These services are performed by our personnel and by third-party providers. We operate through three sales segments, which serve primarily: (a) small- to medium-sized businesses, in our Business Solutions segment, through our PC Connection Sales subsidiary, (b) large enterprise customers, in our Enterprise Solutions segment, through our MoreDirect and GlobalServe subsidiaries, and (c) federal, state, and local government and educational institutions, in our Public Sector Solutions segment, through our GovConnection subsidiary.</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significant accounting policies: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PC Connection, Inc. and its subsidiaries, all of which are wholly-owned. Intercompany transactions and balances are eliminated in consolidation.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These estimates and assumptions affect the reported amounts and disclosures of assets and liabilities and the reported amounts and disclosures of revenue and expenses during the period. By nature, estimates are subject to an inherent degree of uncertainty. Actual results could differ from those estimates and assumptions.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Revenue on product sales is recognized at the point in time when persuasive evidence of an arrangement exists, the price is fixed or determinable,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in-transit despite title transferring at the point of shipment or (ii) have FOB–destination shipping terms specifically set out in our arrangements with federal agencies and certain commercial customers, delivery is deemed to have occurred at the point in time when the product is received by the customer.</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provide our customers with a limited thirty-day right of return generally limited to defective merchandise. Revenue is recognized at delivery and a reserve for sales returns is recorded. We make reasonable and reliable estimates of product returns based on significant historical experience and record our sales reserves as a reduction of revenues and either as offsets to accounts receivable or, for customers who have already paid, as offsets to accrued expenses. At December 31, 2017, we recorded sales reserves of $3,308 and $167 as components of accounts receivable and accrued expenses, respectively. At December 31, 2016, we recorded sales reserves of $3,709 and $220 as components of accounts receivable and accrued expenses, respectively.</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All amounts billed to a customer in a sales transaction related to shipping and handling, if any, represent revenues earned for the goods provided, and these amounts have been classified as “net sales.” Costs related to such shipping and handling billings are classified as “cost of sales.” Sales are reported net of sales, use, or other transaction taxes that are collected from customers and remitted to taxing authorities.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9" w:firstLine="324"/>
        <w:spacing w:after="0" w:line="290" w:lineRule="auto"/>
        <w:rPr>
          <w:sz w:val="20"/>
          <w:szCs w:val="20"/>
          <w:color w:val="auto"/>
        </w:rPr>
      </w:pPr>
      <w:r>
        <w:rPr>
          <w:rFonts w:ascii="Arial" w:cs="Arial" w:eastAsia="Arial" w:hAnsi="Arial"/>
          <w:sz w:val="16"/>
          <w:szCs w:val="16"/>
          <w:color w:val="auto"/>
        </w:rPr>
        <w:t>We use our own engineering personnel in projects involving the design and installation of systems and networks, and we also engage third-party service providers to perform warranty maintenance, implementations, asset disposals, and other services. Service revenue is recognized over time as the services are performed. We evaluate such engagements to determine whether we or the third party assumes the general risk and reward of ownership in these transactions. For those transactions in which we do not assume the risk and reward but instead act as an agent, we recognize the transaction revenue on a net basis. Under net sales recognition, the cost of the third party is recorded as a reduction to the selling price, resulting in net sales being equal to the gross profit on the transaction. In those engagements in which we are the principal and primary obligor, we report the sale on a gross basis, and the cost of the service provider is recognized in cost of goods sold.</w:t>
      </w:r>
    </w:p>
    <w:p>
      <w:pPr>
        <w:spacing w:after="0" w:line="166" w:lineRule="exact"/>
        <w:rPr>
          <w:sz w:val="20"/>
          <w:szCs w:val="20"/>
          <w:color w:val="auto"/>
        </w:rPr>
      </w:pPr>
    </w:p>
    <w:p>
      <w:pPr>
        <w:ind w:right="239" w:firstLine="369"/>
        <w:spacing w:after="0" w:line="279" w:lineRule="auto"/>
        <w:rPr>
          <w:sz w:val="20"/>
          <w:szCs w:val="20"/>
          <w:color w:val="auto"/>
        </w:rPr>
      </w:pPr>
      <w:r>
        <w:rPr>
          <w:rFonts w:ascii="Arial" w:cs="Arial" w:eastAsia="Arial" w:hAnsi="Arial"/>
          <w:sz w:val="17"/>
          <w:szCs w:val="17"/>
          <w:color w:val="auto"/>
        </w:rPr>
        <w:t>Similarly, we recognize revenue from agency sales transactions on a net sales basis. In agency sales transactions, we facilitate product sales by equipment and software manufacturers directly to our customers and receive agency, or referral, fees for such transactions. We do not take title to the products or assume any maintenance or return obligations in these transactions; title is passed directly from the supplier to our customer.</w:t>
      </w:r>
    </w:p>
    <w:p>
      <w:pPr>
        <w:spacing w:after="0" w:line="104" w:lineRule="exact"/>
        <w:rPr>
          <w:sz w:val="20"/>
          <w:szCs w:val="20"/>
          <w:color w:val="auto"/>
        </w:rPr>
      </w:pPr>
    </w:p>
    <w:p>
      <w:pPr>
        <w:ind w:right="59" w:firstLine="324"/>
        <w:spacing w:after="0" w:line="342" w:lineRule="auto"/>
        <w:rPr>
          <w:sz w:val="20"/>
          <w:szCs w:val="20"/>
          <w:color w:val="auto"/>
        </w:rPr>
      </w:pPr>
      <w:r>
        <w:rPr>
          <w:rFonts w:ascii="Arial" w:cs="Arial" w:eastAsia="Arial" w:hAnsi="Arial"/>
          <w:sz w:val="16"/>
          <w:szCs w:val="16"/>
          <w:color w:val="auto"/>
        </w:rPr>
        <w:t>Amounts recognized on a net basis included in net sales for such third-party services and agency sales transactions were $38,341, $30,234, and $24,158 for the years ended December 31, 2017, 2016, and 2015, respectively.</w:t>
      </w:r>
    </w:p>
    <w:p>
      <w:pPr>
        <w:spacing w:after="0" w:line="124" w:lineRule="exact"/>
        <w:rPr>
          <w:sz w:val="20"/>
          <w:szCs w:val="20"/>
          <w:color w:val="auto"/>
        </w:rPr>
      </w:pPr>
    </w:p>
    <w:p>
      <w:pPr>
        <w:ind w:right="119" w:firstLine="324"/>
        <w:spacing w:after="0" w:line="291" w:lineRule="auto"/>
        <w:rPr>
          <w:sz w:val="20"/>
          <w:szCs w:val="20"/>
          <w:color w:val="auto"/>
        </w:rPr>
      </w:pPr>
      <w:r>
        <w:rPr>
          <w:rFonts w:ascii="Arial" w:cs="Arial" w:eastAsia="Arial" w:hAnsi="Arial"/>
          <w:sz w:val="16"/>
          <w:szCs w:val="16"/>
          <w:color w:val="auto"/>
        </w:rPr>
        <w:t>In certain revenue arrangements, our contracts require that we provide multiple units of hardware, software, or services deliverables. Under these multiple-element arrangements, each service performed and product delivered is considered a separate deliverable and qualifies as a separate unit of accounting. For material multiple element arrangements, we allocate revenue based on vendor-specific objective evidence of fair value of the underlying services and products. If we were to enter into a multiple element arrangement in which vendor-specific objective evidence was not available, we would utilize third-party evidence to allocate the selling price. If neither vendor-specific objective evidence nor third-party evidence was available, we would estimate the selling price based on market price and company specific factors.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225" w:lineRule="exact"/>
        <w:rPr>
          <w:sz w:val="20"/>
          <w:szCs w:val="20"/>
          <w:color w:val="auto"/>
        </w:rPr>
      </w:pPr>
    </w:p>
    <w:p>
      <w:pPr>
        <w:jc w:val="both"/>
        <w:ind w:right="319" w:firstLine="324"/>
        <w:spacing w:after="0" w:line="264" w:lineRule="auto"/>
        <w:rPr>
          <w:sz w:val="20"/>
          <w:szCs w:val="20"/>
          <w:color w:val="auto"/>
        </w:rPr>
      </w:pPr>
      <w:r>
        <w:rPr>
          <w:rFonts w:ascii="Arial" w:cs="Arial" w:eastAsia="Arial" w:hAnsi="Arial"/>
          <w:sz w:val="18"/>
          <w:szCs w:val="18"/>
          <w:color w:val="auto"/>
        </w:rPr>
        <w:t>Cost of sales includes the invoice cost of the product, direct employee and third party cost of services, direct costs of packaging, inbound and outbound freight, and provisions for inventory obsolescence, adjusted for discounts, rebates, and other vendor allowances.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consider all highly liquid short-term investments with original maturities of 90 days or less to be cash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equivalents. The carrying value of our cash equivalents approximates fair value. The majority of payments due from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card processors and banks for third-party credit card and debit card transactions process within one to five business days. 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card and debit card transactions that process in less than seven days are classified as cash and cash</w:t>
      </w:r>
    </w:p>
    <w:p>
      <w:pPr>
        <w:spacing w:after="0" w:line="9" w:lineRule="exact"/>
        <w:rPr>
          <w:sz w:val="20"/>
          <w:szCs w:val="20"/>
          <w:color w:val="auto"/>
        </w:rPr>
      </w:pPr>
    </w:p>
    <w:p>
      <w:pPr>
        <w:ind w:right="59"/>
        <w:spacing w:after="0" w:line="261" w:lineRule="auto"/>
        <w:rPr>
          <w:sz w:val="20"/>
          <w:szCs w:val="20"/>
          <w:color w:val="auto"/>
        </w:rPr>
      </w:pPr>
      <w:r>
        <w:rPr>
          <w:rFonts w:ascii="Arial" w:cs="Arial" w:eastAsia="Arial" w:hAnsi="Arial"/>
          <w:sz w:val="18"/>
          <w:szCs w:val="18"/>
          <w:color w:val="auto"/>
        </w:rPr>
        <w:t>equivalents. Amounts due from banks for credit card transactions classified as cash equivalents totaled $6,776 and $4,345 at December 31, 2017 and 2016, respectively.</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39" w:firstLine="324"/>
        <w:spacing w:after="0" w:line="255" w:lineRule="auto"/>
        <w:rPr>
          <w:sz w:val="20"/>
          <w:szCs w:val="20"/>
          <w:color w:val="auto"/>
        </w:rPr>
      </w:pPr>
      <w:r>
        <w:rPr>
          <w:rFonts w:ascii="Arial" w:cs="Arial" w:eastAsia="Arial" w:hAnsi="Arial"/>
          <w:sz w:val="18"/>
          <w:szCs w:val="18"/>
          <w:color w:val="auto"/>
        </w:rPr>
        <w:t>We perform ongoing credit evaluations of our customers and adjust credit limits based on payment history and customer creditworthiness. We maintain an allowance for estimated doubtful accounts based on our historical experience and the customer credit issues identified. Our customers do not post collateral for open accounts receivable. We monitor collections regularly and adjust the allowance for doubtful accounts as necessary to recognize any changes in credit exposure. Trade receivables are written off in the period in which they are deemed uncollectible. Recoveries of trade receivables previously charged are recorded when received.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Inventories (all finished goods) consisting of software packages, computer systems, and peripheral equipment, are stated at cost (determined under a weighted-average cost method which approximates the first-in, first-out method) or net realizable value, whichever is lower. Inventory quantities on hand are reviewed regularly, and allowances are maintained for obsolete, slow moving, and nonsalable inventory.</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Vendor Consideration</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receive funding from merchandise vendors for price protections, discounts, product rebates, and other</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programs. These allowances are treated as a reduction of the vendor’s prices and are recorded as adjustments to cost of sales or inventory, as applicable. Allowances for product rebates that require certain volumes of product sales or purchases are recorded as the related milestones are probable of being met.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Advertising Costs and Vendor Consideration</w:t>
      </w:r>
    </w:p>
    <w:p>
      <w:pPr>
        <w:spacing w:after="0" w:line="22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Costs of producing and distributing catalogs are charged to expense in the period in which the catalogs are first circulated. Other advertising costs are expensed as incurred.</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Vendors have the ability to place advertisements in our catalogs or fund other advertising activities for which we receive advertising consideration. This vendor consideration, to the extent that it represents specific reimbursements of incremental and identifiable costs, is offset against SG&amp;A expenses. Advertising consideration that cannot be associated with a specific program or that exceeds the fair value of advertising expense associated with that program is classified as an offset to cost of sales. Our vendor partners generally consolidate their funding of advertising and other marketing programs, and accordingly, we classify substantially all vendor consideration as a reduction of cost of sales rather than a reduction of advertising expense. Advertising expense, which is classified as a component of SG&amp;A expenses, totaled $14,437, $16,083, and $15,689, for the years ended December 31, 2017, 2016, and 2015, respectively.</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Property and equipment are stated at cost, net of accumulated depreciation and amortization. Depreciation and amortization is provided for financial reporting purposes over the estimated useful lives of the assets ranging from three to seven years. Computer software, including licenses and internally developed software, is capitalized and amortized over lives generally ranging from three to seven years. Depreciation is recorded using the straight-line method. Leasehold improvements and facilities under capital leases are amortized over the terms of the related leases or their useful lives, whichever is shorter, whereas for income tax reporting purposes, they are amortized over the applicable tax lives.</w:t>
      </w:r>
    </w:p>
    <w:p>
      <w:pPr>
        <w:spacing w:after="0" w:line="16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Costs incurred to develop internal-use software during the application development stage are recorded in property and equipment at cost. External direct costs of materials and services consumed in developing or obtaining internal-use computer software and payroll-related costs for employees developing internal-use computer software projects, to the extent of their time spent directly on the project and specific to application development, are capitalized.</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When events or circumstances indicate a potential impairment, we evaluate the carrying value of property and equipment based upon current and anticipated undiscounted cash flows. We recognize impairment when it is probable that such estimated future cash flows will be less than the asset carrying value.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intangible assets consist of (1) goodwill, which is not subject to amortization; (2) an internet domain name, which is an indefinite-lived intangible not subject to amortization; and (3) amortizing intangibles, which consist of customer lists, trade names, and customer relationships, which are being amortized over their useful lives.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Note 3 describes the annual impairment methodology that we employ on January 1</w:t>
      </w:r>
      <w:r>
        <w:rPr>
          <w:rFonts w:ascii="Arial" w:cs="Arial" w:eastAsia="Arial" w:hAnsi="Arial"/>
          <w:sz w:val="8"/>
          <w:szCs w:val="8"/>
          <w:color w:val="auto"/>
        </w:rPr>
        <w:t>st</w:t>
      </w:r>
      <w:r>
        <w:rPr>
          <w:rFonts w:ascii="Arial" w:cs="Arial" w:eastAsia="Arial" w:hAnsi="Arial"/>
          <w:sz w:val="18"/>
          <w:szCs w:val="18"/>
          <w:color w:val="auto"/>
        </w:rPr>
        <w:t xml:space="preserve"> of each year in calculating the recoverability of goodwill and non-amortizing intangibles. This same impairment test is performed at other times during the course of a year should an event occur or circumstance change that would more likely than not reduce the fair value of a reporting unit below its carrying amount.</w:t>
      </w:r>
    </w:p>
    <w:p>
      <w:pPr>
        <w:spacing w:after="0" w:line="18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Recoverability of amortizing intangible assets is assessed only when events have occurred that may give rise to impairment. When a potential impairment has been identified, forecasted undiscounted net cash flows of the operations to which the asset relates are compared to the current carrying value of the long-lived assets present in that operation. If such cash flows are less than such carrying amounts, long-lived assets including such intangibles, are written down to their respective fair values.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Concentrations of credit risk with respect to trade account receivables are limited due to the large number of customers comprising our customer base. No single customer accounted for more than 3% of total net sales in 2017, 2016, and</w:t>
      </w:r>
    </w:p>
    <w:p>
      <w:pPr>
        <w:ind w:right="460"/>
        <w:spacing w:after="0" w:line="323" w:lineRule="auto"/>
        <w:rPr>
          <w:sz w:val="20"/>
          <w:szCs w:val="20"/>
          <w:color w:val="auto"/>
        </w:rPr>
      </w:pPr>
      <w:r>
        <w:rPr>
          <w:rFonts w:ascii="Arial" w:cs="Arial" w:eastAsia="Arial" w:hAnsi="Arial"/>
          <w:sz w:val="16"/>
          <w:szCs w:val="16"/>
          <w:color w:val="auto"/>
        </w:rPr>
        <w:t>2015. While no single agency of the federal government comprised more than 3% of total sales, aggregate sales to the federal government as a percentage of total net sales were 7.8%, 7.5%, and 6.7% in 2017, 2016, and 2015, respectively.</w:t>
      </w:r>
    </w:p>
    <w:p>
      <w:pPr>
        <w:spacing w:after="0" w:line="13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Product purchases from Ingram Micro, Inc. (“Ingram”), our largest supplier, accounted for approximately 22% of our total product purchases in 2017 and 21% in both 2016 and 2015. Purchases from Synnex Corporation (“Synnex”) comprised 12%, 13%, and 15% of our total product purchases in 2017, 2016, and 2015, respectively. Purchases from HP accounted for approximately 11% of our total product purchases in 2017 and 9% in both 2016 and 2015. Purchases from Tech Data accounted for approximately 11% of our total product purchases in 2017 and 8% in both 2016 and 2015. No other vendor supplied more than 10% of our total product purchases in 2017, 2016, or 2015. We believe that, while we may experience some short-term disruption, alternative sources for products obtained directly from Ingram, Synnex, HP, and Tech Data are available to us.</w:t>
      </w:r>
    </w:p>
    <w:p>
      <w:pPr>
        <w:spacing w:after="0" w:line="19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Products manufactured by HP represented 20% of our net sales in 2017 and 2016, and 22% in 2015. We believe that in the event we experience either a short-term or permanent disruption of supply of HP products, such disruption would likely have a material adverse effect on our results of operations and cash flows.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Basic earnings per common share is computed using the weighted average number of shares outstanding. Diluted earnings per share is computed using the weighted average number of shares outstanding adjusted for the incremental shares attributable to nonvested stock units and stock options outstanding, if dilutive.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54,857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48,111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46,827</w:t>
            </w:r>
          </w:p>
        </w:tc>
        <w:tc>
          <w:tcPr>
            <w:tcW w:w="80" w:type="dxa"/>
            <w:vAlign w:val="bottom"/>
          </w:tcPr>
          <w:p>
            <w:pPr>
              <w:spacing w:after="0"/>
              <w:rPr>
                <w:sz w:val="19"/>
                <w:szCs w:val="19"/>
                <w:color w:val="auto"/>
              </w:rPr>
            </w:pP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2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Denominator for basic earnings per share</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26,771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26,528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26,398</w:t>
            </w:r>
          </w:p>
        </w:tc>
        <w:tc>
          <w:tcPr>
            <w:tcW w:w="80" w:type="dxa"/>
            <w:vAlign w:val="bottom"/>
          </w:tcPr>
          <w:p>
            <w:pPr>
              <w:spacing w:after="0"/>
              <w:rPr>
                <w:sz w:val="18"/>
                <w:szCs w:val="18"/>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employee stock awards</w:t>
            </w:r>
          </w:p>
        </w:tc>
        <w:tc>
          <w:tcPr>
            <w:tcW w:w="2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r>
      <w:tr>
        <w:trPr>
          <w:trHeight w:val="217"/>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Denominator for diluted earnings per share</w:t>
            </w:r>
          </w:p>
        </w:tc>
        <w:tc>
          <w:tcPr>
            <w:tcW w:w="2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26,891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26,719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26,616</w:t>
            </w:r>
          </w:p>
        </w:tc>
        <w:tc>
          <w:tcPr>
            <w:tcW w:w="80" w:type="dxa"/>
            <w:vAlign w:val="bottom"/>
            <w:tcBorders>
              <w:bottom w:val="single" w:sz="8" w:color="CCEEFF"/>
            </w:tcBorders>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Basic</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77</w:t>
            </w:r>
          </w:p>
        </w:tc>
        <w:tc>
          <w:tcPr>
            <w:tcW w:w="80" w:type="dxa"/>
            <w:vAlign w:val="bottom"/>
          </w:tcPr>
          <w:p>
            <w:pPr>
              <w:spacing w:after="0"/>
              <w:rPr>
                <w:sz w:val="19"/>
                <w:szCs w:val="19"/>
                <w:color w:val="auto"/>
              </w:rPr>
            </w:pPr>
          </w:p>
        </w:tc>
      </w:tr>
      <w:tr>
        <w:trPr>
          <w:trHeight w:val="223"/>
        </w:trPr>
        <w:tc>
          <w:tcPr>
            <w:tcW w:w="38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4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864"/>
        </w:trPr>
        <w:tc>
          <w:tcPr>
            <w:tcW w:w="3840" w:type="dxa"/>
            <w:vAlign w:val="bottom"/>
          </w:tcPr>
          <w:p>
            <w:pPr>
              <w:spacing w:after="0"/>
              <w:rPr>
                <w:sz w:val="24"/>
                <w:szCs w:val="24"/>
                <w:color w:val="auto"/>
              </w:rPr>
            </w:pPr>
          </w:p>
        </w:tc>
        <w:tc>
          <w:tcPr>
            <w:tcW w:w="2640" w:type="dxa"/>
            <w:vAlign w:val="bottom"/>
            <w:gridSpan w:val="2"/>
          </w:tcPr>
          <w:p>
            <w:pPr>
              <w:jc w:val="right"/>
              <w:ind w:right="1690"/>
              <w:spacing w:after="0"/>
              <w:rPr>
                <w:sz w:val="20"/>
                <w:szCs w:val="20"/>
                <w:color w:val="auto"/>
              </w:rPr>
            </w:pPr>
            <w:r>
              <w:rPr>
                <w:rFonts w:ascii="Arial" w:cs="Arial" w:eastAsia="Arial" w:hAnsi="Arial"/>
                <w:sz w:val="18"/>
                <w:szCs w:val="18"/>
                <w:color w:val="auto"/>
              </w:rPr>
              <w:t>F-10</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84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For the years ended December 31, 2017, 2016, and 2015, we did not exclude any outstanding nonvested stock units or stock options from the computation of diluted earnings per share because including them would have had an anti-dilutive effect.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items of comprehensive income, other than our net income for each of the periods presented.</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Issued Financial Accounting Standards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May 28, 2014, the Financial Accounting Standards Board, or the FASB, issued Accounting Standards Update (“ASU”) No. 2014-09, “Revenue from Contracts with Customers,” which amends the existing accounting standards for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The Company expects to adopt the new standard using the modified retrospective method that will result in a cumulative effect adjustment as of January 1, 2018. We are in the process of determining the effect that the adoption will have on our consolidated financial statements. Based on our analysis to date, we have reached the following tentative conclusions regarding the new standard and how we expect it to affect our consolidated financial statements and related disclosures:</w:t>
      </w:r>
    </w:p>
    <w:p>
      <w:pPr>
        <w:spacing w:after="0" w:line="182" w:lineRule="exact"/>
        <w:rPr>
          <w:sz w:val="20"/>
          <w:szCs w:val="20"/>
          <w:color w:val="auto"/>
        </w:rPr>
      </w:pPr>
    </w:p>
    <w:p>
      <w:pPr>
        <w:ind w:left="660" w:right="160" w:hanging="333"/>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believe that since substantially all of our revenue is contractual, substantially all of our revenue falls within the scope of ASU No. 2014-09, as amended.</w:t>
      </w:r>
    </w:p>
    <w:p>
      <w:pPr>
        <w:spacing w:after="0" w:line="170" w:lineRule="exact"/>
        <w:rPr>
          <w:rFonts w:ascii="Arial" w:cs="Arial" w:eastAsia="Arial" w:hAnsi="Arial"/>
          <w:sz w:val="18"/>
          <w:szCs w:val="18"/>
          <w:color w:val="auto"/>
        </w:rPr>
      </w:pPr>
    </w:p>
    <w:p>
      <w:pPr>
        <w:ind w:left="660" w:right="160" w:hanging="333"/>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hardware revenue is recognized on a gross basis upon delivery. Upon adoption of the new standard, we expect to recognize revenue at an earlier point in time than we are recognizing under current accounting standards for contracts where shipping terms are FOB shipping point.</w:t>
      </w:r>
    </w:p>
    <w:p>
      <w:pPr>
        <w:spacing w:after="0" w:line="181" w:lineRule="exact"/>
        <w:rPr>
          <w:rFonts w:ascii="Arial" w:cs="Arial" w:eastAsia="Arial" w:hAnsi="Arial"/>
          <w:sz w:val="18"/>
          <w:szCs w:val="18"/>
          <w:color w:val="auto"/>
        </w:rPr>
      </w:pPr>
    </w:p>
    <w:p>
      <w:pPr>
        <w:ind w:left="660" w:right="220" w:hanging="333"/>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adoption of the new standard we expect recognition of certain software products, including SAAS offerings and security software, will be on a net basis. This will result in a decrease in net sales and cost of sales, but no change in gross profit.</w:t>
      </w:r>
    </w:p>
    <w:p>
      <w:pPr>
        <w:spacing w:after="0" w:line="181" w:lineRule="exact"/>
        <w:rPr>
          <w:rFonts w:ascii="Arial" w:cs="Arial" w:eastAsia="Arial" w:hAnsi="Arial"/>
          <w:sz w:val="18"/>
          <w:szCs w:val="18"/>
          <w:color w:val="auto"/>
        </w:rPr>
      </w:pPr>
    </w:p>
    <w:p>
      <w:pPr>
        <w:ind w:left="660" w:right="220" w:hanging="333"/>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expect that our disclosures in our notes to our consolidated financial statements related to revenue recognition will be significantly expanded under the new standard.</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analysis and evaluation of the new standard remains to be completed due to the complexity of the new standard, the application of judgment, and the requirement for the use of estimates in applying the new standard, as well as the volume of our client portfolio and the related terms and conditions of our contracts that must be reviewed. We have not completed our final analysis of the quantitative impact of the adoption and the operation of our internal controls related to the adoption of the standard.</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We are currently assessing the potential impact of the adoption of ASU 2016-02 on our consolidated financial statements.</w:t>
      </w:r>
    </w:p>
    <w:p>
      <w:pPr>
        <w:spacing w:after="0" w:line="179"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which simplifies the accounting for goodwill impairments by eliminating step two from the goodwill impairment test. Instead, if the carrying amount of a reporting unit exceeds its fair value, an impairment loss shall be recognized in an amount equal to that excess, limited to the total amount of goodwill allocated to that reporting unit. ASU 2017-04 also clarifies the requirements for excluding and allocating foreign currency translation adjustments to reporting units related to an entity's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testing of reporting units for goodwill impairment and clarifies that an entity should consider income tax effects from any tax deductible goodwill on the carrying amount of the reporting unit when measuring the goodwill impairment loss, if applicable. ASU 2017-04 is effective for us beginning January 1, 2020 for both interim and annual reporting periods. We are currently assessing the potential impact of the adoption of ASC 2017-04 on our consolidated financial statements.</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The Company adopted this standard on January 1, 2017. The new standard simplifies several aspects of the accounting for employee share-based payment transactions, including the accounting for income taxes, forfeitures, and statutory tax withholding requirements, as well as classification in the statement of cash flows. Under this guidance, a company recognizes all excess tax benefits and tax deficiencies as income tax expense or benefit in the income statement. This change eliminates the notion of the additional paid-in capital pool and reduces the complexity in accounting for excess tax benefits and tax deficiencies. The primary impact of our adoption was the recognition of excess tax benefits related to equity compensation in our provision for income taxes rather than paid-in capital, which is a change required to be applied on a prospective basis in accordance with the new guidance. There were no unrecognized excess tax benefits at implementation. Accordingly, we recorded discrete income tax benefits in the consolidated statements of income of $1,054 in the year ended December 31, 2017, for excess tax benefits related to equity compensation. The corresponding cash flows are reflected in cash provided by operating activities instead of financing activities, as was previously required. We adopted the cash flow presentation that requires presentation of excess tax benefits within operating activities on a prospective basis. Additionally, under ASU 2016-09, we have elected to continue to estimate equity award forfeitures expected to occur to determine the amount of compensation cost to be recognized in each period. Additional amendments to the accounting for income taxes and minimum statutory withholding tax requirements had no impact on our results of operations. The presentation requirements for cash flows related to employee taxes paid for withheld shares also had no impact to any of the periods presented in our consolidated statements of cash flows since such cash flows have historically been presented as a financing activity.</w:t>
      </w:r>
    </w:p>
    <w:p>
      <w:pPr>
        <w:spacing w:after="0" w:line="17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which modifies existing requirements regarding measuring inventory at the lower of cost or market. Under prior standards, the market amount required consideration of replacement cost, net realizable value (NRV), and NRV less an approximately normal profit margin. The new ASU replaces market with NRV, defined as estimated selling prices in the ordinary course of business, less reasonably predictable costs of completion, disposal, and transportation. This eliminates the need to determine and consider replacement cost or NRV less an approximately normal profit margin when measuring inventory. We adopted the standard in the first quarter of 2017 and applied the provisions prospectively. The adoption of ASU 2015-11 did not have a material impact on our consolidated financial statements.</w:t>
      </w:r>
    </w:p>
    <w:p>
      <w:pPr>
        <w:spacing w:after="0" w:line="391" w:lineRule="exact"/>
        <w:rPr>
          <w:sz w:val="20"/>
          <w:szCs w:val="20"/>
          <w:color w:val="auto"/>
        </w:rPr>
      </w:pPr>
    </w:p>
    <w:p>
      <w:pPr>
        <w:ind w:left="320" w:right="7180" w:hanging="317"/>
        <w:spacing w:after="0" w:line="604" w:lineRule="auto"/>
        <w:tabs>
          <w:tab w:leader="none" w:pos="301"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b w:val="1"/>
          <w:bCs w:val="1"/>
          <w:i w:val="1"/>
          <w:iCs w:val="1"/>
          <w:color w:val="auto"/>
        </w:rPr>
        <w:t>Softmart Acquisition</w:t>
      </w:r>
    </w:p>
    <w:p>
      <w:pPr>
        <w:ind w:firstLine="324"/>
        <w:spacing w:after="0" w:line="283" w:lineRule="auto"/>
        <w:rPr>
          <w:sz w:val="20"/>
          <w:szCs w:val="20"/>
          <w:color w:val="auto"/>
        </w:rPr>
      </w:pPr>
      <w:r>
        <w:rPr>
          <w:rFonts w:ascii="Arial" w:cs="Arial" w:eastAsia="Arial" w:hAnsi="Arial"/>
          <w:sz w:val="16"/>
          <w:szCs w:val="16"/>
          <w:color w:val="auto"/>
        </w:rPr>
        <w:t>On May 27, 2016, we acquired substantially all of the assets of Softmart Inc. (“Softmart”), a global supplier of information technology and software services solutions. The purchase of Softmart is consistent with our strategy to expand our software services capabilities. Under the terms of the asset purchase agreement, we paid $31,899, net of cash acquired, and allocated the total purchase price to the tangible and identifiable intangible assets acquired and liabilities assumed based on their estimated fair values on the date of acquisition. The excess of the purchase price over the net assets acquired represents potential synergies from Softmart’s customer base and its assembled workforce of sales representatives and software service specialists that we acquired in the transaction. This excess of purchase price over the aggregate fair values was recorded as goodwill. We incurred $357 of transaction costs in 2016 related to the acquisition which we have reported in selling, general and administrative expenses in our consolidated statement of income for the year ended December 31,</w:t>
      </w:r>
    </w:p>
    <w:p>
      <w:pPr>
        <w:spacing w:after="0" w:line="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2016. The operating results of Softmart have been included in the SMB and Large Accounts segments since the acquisition date. The revenues and income from operations were not material to our consolidated results, and accordingly, we have not presented Softmart’s revenues or operating results on a pro forma basis.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reflects components of the net assets acquired and liabilities assumed at fair value as of the closing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Purchase Price</w:t>
            </w:r>
          </w:p>
        </w:tc>
      </w:tr>
      <w:tr>
        <w:trPr>
          <w:trHeight w:val="201"/>
        </w:trPr>
        <w:tc>
          <w:tcPr>
            <w:tcW w:w="56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Allocation</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Fixed assets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w:t>
            </w:r>
          </w:p>
        </w:tc>
        <w:tc>
          <w:tcPr>
            <w:tcW w:w="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14,314</w:t>
            </w:r>
          </w:p>
        </w:tc>
        <w:tc>
          <w:tcPr>
            <w:tcW w:w="40" w:type="dxa"/>
            <w:vAlign w:val="bottom"/>
            <w:shd w:val="clear" w:color="auto" w:fill="CCEEFF"/>
          </w:tcPr>
          <w:p>
            <w:pPr>
              <w:spacing w:after="0"/>
              <w:rPr>
                <w:sz w:val="18"/>
                <w:szCs w:val="18"/>
                <w:color w:val="auto"/>
              </w:rPr>
            </w:pP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Customer relationships</w:t>
            </w:r>
          </w:p>
        </w:tc>
        <w:tc>
          <w:tcPr>
            <w:tcW w:w="2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11,300</w:t>
            </w:r>
          </w:p>
        </w:tc>
        <w:tc>
          <w:tcPr>
            <w:tcW w:w="4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48,769</w:t>
            </w:r>
          </w:p>
        </w:tc>
        <w:tc>
          <w:tcPr>
            <w:tcW w:w="40" w:type="dxa"/>
            <w:vAlign w:val="bottom"/>
            <w:shd w:val="clear" w:color="auto" w:fill="CCEEFF"/>
          </w:tcPr>
          <w:p>
            <w:pPr>
              <w:spacing w:after="0"/>
              <w:rPr>
                <w:sz w:val="18"/>
                <w:szCs w:val="18"/>
                <w:color w:val="auto"/>
              </w:rPr>
            </w:pP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Acquired liabilities</w:t>
            </w:r>
          </w:p>
        </w:tc>
        <w:tc>
          <w:tcPr>
            <w:tcW w:w="2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(16,252)</w:t>
            </w:r>
          </w:p>
        </w:tc>
        <w:tc>
          <w:tcPr>
            <w:tcW w:w="4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32,517</w:t>
            </w:r>
          </w:p>
        </w:tc>
        <w:tc>
          <w:tcPr>
            <w:tcW w:w="40" w:type="dxa"/>
            <w:vAlign w:val="bottom"/>
            <w:shd w:val="clear" w:color="auto" w:fill="CCEEFF"/>
          </w:tcPr>
          <w:p>
            <w:pPr>
              <w:spacing w:after="0"/>
              <w:rPr>
                <w:sz w:val="18"/>
                <w:szCs w:val="18"/>
                <w:color w:val="auto"/>
              </w:rPr>
            </w:pP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cash acquired</w:t>
            </w:r>
          </w:p>
        </w:tc>
        <w:tc>
          <w:tcPr>
            <w:tcW w:w="2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40" w:type="dxa"/>
            <w:vAlign w:val="bottom"/>
            <w:tcBorders>
              <w:bottom w:val="single" w:sz="8" w:color="CCEEFF"/>
            </w:tcBorders>
          </w:tcPr>
          <w:p>
            <w:pPr>
              <w:spacing w:after="0"/>
              <w:rPr>
                <w:sz w:val="18"/>
                <w:szCs w:val="18"/>
                <w:color w:val="auto"/>
              </w:rPr>
            </w:pPr>
          </w:p>
        </w:tc>
      </w:tr>
      <w:tr>
        <w:trPr>
          <w:trHeight w:val="217"/>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price at closing, net of cash acquired</w:t>
            </w:r>
          </w:p>
        </w:tc>
        <w:tc>
          <w:tcPr>
            <w:tcW w:w="2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31,889</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recorded goodwill of $7,366 and $6,948 in our SMB and Large Account segments, respectively, and the aggregate is expected to be fully deductible for tax purposes.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GlobalServe Acquisition</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October 11, 2016, we acquired the outstanding common shares of GlobalServe, Inc. (“GlobalServe”), which has developed an Internet portal tool that simplifies customers’ global IT procurement. Under the terms of the stock purchase agreement, we paid $11,101, net of cash acquired. The purchase of GlobalServe allows us to service our customers’ global IT needs through this OneSource Internet portal with consistent delivery, reporting, pricing, and logistics. We allocated the total purchase price to the tangible and identifiable intangible assets acquired and liabilities assumed based on their estimated fair values on the date of acquisition and recorded the excess of purchase price over the aggregate fair values as goodwill. In 2016 we incurred $118 of transaction costs related to the acquisition which we have reported in selling, general and administrative expenses in our consolidated statement of income for the year ended December 31, 2016. We have included the operating results of GlobalServe in the Large Account segment since the acquisition date. The revenues and income from operations were not material to our consolidated results, and accordingly, we have not presented GlobalServe’s revenues or operating results on a pro forma basis.</w:t>
      </w:r>
    </w:p>
    <w:p>
      <w:pPr>
        <w:spacing w:after="0" w:line="18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reflects components of the net assets acquired and liabilities assumed at fair value as of the closing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Purchase Price</w:t>
            </w:r>
          </w:p>
        </w:tc>
      </w:tr>
      <w:tr>
        <w:trPr>
          <w:trHeight w:val="201"/>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Allocation</w:t>
            </w:r>
          </w:p>
        </w:tc>
      </w:tr>
      <w:tr>
        <w:trPr>
          <w:trHeight w:val="210"/>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4,609</w:t>
            </w: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tcPr>
          <w:p>
            <w:pPr>
              <w:spacing w:after="0"/>
              <w:rPr>
                <w:sz w:val="18"/>
                <w:szCs w:val="18"/>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Acquired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and unrecognized tax benefits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20" w:type="dxa"/>
            <w:vAlign w:val="bottom"/>
            <w:shd w:val="clear" w:color="auto" w:fill="CCEEFF"/>
          </w:tcPr>
          <w:p>
            <w:pPr>
              <w:spacing w:after="0"/>
              <w:rPr>
                <w:sz w:val="18"/>
                <w:szCs w:val="18"/>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11,883</w:t>
            </w: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Less cash acquired</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8"/>
                <w:szCs w:val="18"/>
                <w:color w:val="auto"/>
              </w:rPr>
            </w:pPr>
          </w:p>
        </w:tc>
      </w:tr>
      <w:tr>
        <w:trPr>
          <w:trHeight w:val="217"/>
        </w:trPr>
        <w:tc>
          <w:tcPr>
            <w:tcW w:w="7840" w:type="dxa"/>
            <w:vAlign w:val="bottom"/>
          </w:tcPr>
          <w:p>
            <w:pPr>
              <w:spacing w:after="0"/>
              <w:rPr>
                <w:sz w:val="20"/>
                <w:szCs w:val="20"/>
                <w:color w:val="auto"/>
              </w:rPr>
            </w:pPr>
            <w:r>
              <w:rPr>
                <w:rFonts w:ascii="Arial" w:cs="Arial" w:eastAsia="Arial" w:hAnsi="Arial"/>
                <w:sz w:val="18"/>
                <w:szCs w:val="18"/>
                <w:color w:val="auto"/>
              </w:rPr>
              <w:t>Purchase price at closing, net of cash acquired</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11,101</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recorded $8,012 of goodwill as a result of our acquisition of GlobalServe in our Large Account segment. None of the goodwill related to this acquisition will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right="4680" w:hanging="317"/>
        <w:spacing w:after="0" w:line="503" w:lineRule="auto"/>
        <w:tabs>
          <w:tab w:leader="none" w:pos="311"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i w:val="1"/>
          <w:iCs w:val="1"/>
          <w:color w:val="auto"/>
        </w:rPr>
        <w:t>Goodwill</w:t>
      </w:r>
    </w:p>
    <w:p>
      <w:pPr>
        <w:spacing w:after="0" w:line="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Goodwill and intangible assets with indefinite lives are subject to an annual impairment test and tested more frequently if events or circumstances occur that would indicate a potential decline in fair value. For goodwill, a two-step quantitative test is performed at a reporting unit level which requires, under the first step, that the fair value of a reporting unit is determined and compared to the reporting unit’s carrying value, including goodwill. To assess the fair value of a reporting unit, both income and market valuation approaches are used. If the fair value is determined to be less than the carrying value, the second step is performed to measure the amount, if any, of the impairment.</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annual impairment test of an indefinite-lived domain name and goodwill is set as of the first day of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year. Goodwill is held by our Large Account and SMB reporting units. The fair value of the domain name and the two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reporting units each substantially exceeded the respective carrying value, and accordingly, an impairment was not identified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annual test. We also did not identify any events or circumstances that would indicate that it is more likely than not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values of the reporting units or the domain name were in excess of the respective fair values during the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2017.</w:t>
      </w:r>
    </w:p>
    <w:p>
      <w:pPr>
        <w:spacing w:after="0" w:line="21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To determine the fair value of our reporting units, we considered operating results and future projections, as well as changes in the Company’s overall market capitalization. The significant assumptions used in our discounted cash flow analysis include: projected cash flows and profitability, the discount rate used to present value future cash flows, working capital requirements, and terminal growth rates. Cash flows and profitability assumptions include sales growth, gross margin, and SG&amp;A growth assumptions which are generally based on historical trends. The discount rate used is a "market participant" weighted average cost of capital ("WACC"). For our computation of fair value as of January 1, 2017, we used a WACC rate of 10.7%, and estimated terminal growth rate at 3.0% and working capital requirements at 7.7% of revenues. The carrying amount of goodwill for the periods presented is detailed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20"/>
                <w:szCs w:val="20"/>
                <w:color w:val="auto"/>
              </w:rPr>
            </w:pPr>
            <w:r>
              <w:rPr>
                <w:rFonts w:ascii="Arial" w:cs="Arial" w:eastAsia="Arial" w:hAnsi="Arial"/>
                <w:sz w:val="14"/>
                <w:szCs w:val="14"/>
                <w:b w:val="1"/>
                <w:bCs w:val="1"/>
                <w:color w:val="auto"/>
              </w:rPr>
              <w:t>Balance at December 31, 2016</w:t>
            </w:r>
          </w:p>
        </w:tc>
        <w:tc>
          <w:tcPr>
            <w:tcW w:w="1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SMB</w:t>
            </w:r>
          </w:p>
        </w:tc>
        <w:tc>
          <w:tcPr>
            <w:tcW w:w="1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Large Account</w:t>
            </w:r>
          </w:p>
        </w:tc>
        <w:tc>
          <w:tcPr>
            <w:tcW w:w="1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Public Sector</w:t>
            </w:r>
          </w:p>
        </w:tc>
        <w:tc>
          <w:tcPr>
            <w:tcW w:w="16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gross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$ 82,409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(7,634)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(8,807)</w:t>
            </w:r>
          </w:p>
        </w:tc>
        <w:tc>
          <w:tcPr>
            <w:tcW w:w="40" w:type="dxa"/>
            <w:vAlign w:val="bottom"/>
          </w:tcPr>
          <w:p>
            <w:pPr>
              <w:spacing w:after="0"/>
              <w:rPr>
                <w:sz w:val="18"/>
                <w:szCs w:val="18"/>
                <w:color w:val="auto"/>
              </w:rPr>
            </w:pPr>
          </w:p>
        </w:tc>
      </w:tr>
      <w:tr>
        <w:trPr>
          <w:trHeight w:val="217"/>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$ 73,602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65"/>
        </w:trPr>
        <w:tc>
          <w:tcPr>
            <w:tcW w:w="5380" w:type="dxa"/>
            <w:vAlign w:val="bottom"/>
          </w:tcPr>
          <w:p>
            <w:pPr>
              <w:spacing w:after="0"/>
              <w:rPr>
                <w:sz w:val="20"/>
                <w:szCs w:val="20"/>
                <w:color w:val="auto"/>
              </w:rPr>
            </w:pPr>
            <w:r>
              <w:rPr>
                <w:rFonts w:ascii="Arial" w:cs="Arial" w:eastAsia="Arial" w:hAnsi="Arial"/>
                <w:sz w:val="14"/>
                <w:szCs w:val="14"/>
                <w:b w:val="1"/>
                <w:bCs w:val="1"/>
                <w:color w:val="auto"/>
              </w:rPr>
              <w:t>Balance at December 31, 2017</w:t>
            </w:r>
          </w:p>
        </w:tc>
        <w:tc>
          <w:tcPr>
            <w:tcW w:w="140" w:type="dxa"/>
            <w:vAlign w:val="bottom"/>
          </w:tcPr>
          <w:p>
            <w:pPr>
              <w:spacing w:after="0"/>
              <w:rPr>
                <w:sz w:val="24"/>
                <w:szCs w:val="2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SMB</w:t>
            </w:r>
          </w:p>
        </w:tc>
        <w:tc>
          <w:tcPr>
            <w:tcW w:w="140" w:type="dxa"/>
            <w:vAlign w:val="bottom"/>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Large Account</w:t>
            </w:r>
          </w:p>
        </w:tc>
        <w:tc>
          <w:tcPr>
            <w:tcW w:w="14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Public Sector</w:t>
            </w:r>
          </w:p>
        </w:tc>
        <w:tc>
          <w:tcPr>
            <w:tcW w:w="160" w:type="dxa"/>
            <w:vAlign w:val="bottom"/>
          </w:tcPr>
          <w:p>
            <w:pPr>
              <w:spacing w:after="0"/>
              <w:rPr>
                <w:sz w:val="24"/>
                <w:szCs w:val="24"/>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gross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$ 82,409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(7,634)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(8,807)</w:t>
            </w:r>
          </w:p>
        </w:tc>
        <w:tc>
          <w:tcPr>
            <w:tcW w:w="40" w:type="dxa"/>
            <w:vAlign w:val="bottom"/>
          </w:tcPr>
          <w:p>
            <w:pPr>
              <w:spacing w:after="0"/>
              <w:rPr>
                <w:sz w:val="18"/>
                <w:szCs w:val="18"/>
                <w:color w:val="auto"/>
              </w:rPr>
            </w:pPr>
          </w:p>
        </w:tc>
      </w:tr>
      <w:tr>
        <w:trPr>
          <w:trHeight w:val="217"/>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$ 73,602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280" w:firstLine="324"/>
        <w:spacing w:after="0" w:line="276" w:lineRule="auto"/>
        <w:rPr>
          <w:sz w:val="20"/>
          <w:szCs w:val="20"/>
          <w:color w:val="auto"/>
        </w:rPr>
      </w:pPr>
      <w:r>
        <w:rPr>
          <w:rFonts w:ascii="Arial" w:cs="Arial" w:eastAsia="Arial" w:hAnsi="Arial"/>
          <w:sz w:val="17"/>
          <w:szCs w:val="17"/>
          <w:color w:val="auto"/>
        </w:rPr>
        <w:t>At December 31, 2017, our intangible assets included a domain name for $450, which has an indefinite life and is not subject to amortization. In addition, we acquired in 2016 customer relationships from our Softmart and GlobalServe acquisitions, which will be amortized on a straight-line basis over their estimated useful lives of 10 years. Our remaining intangible assets are amortized in proportion to the estimates of the future cash flows underlying the valuation of the assets. Intangible assets and related accumulated amortization are detailed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4"/>
                <w:szCs w:val="14"/>
                <w:b w:val="1"/>
                <w:bCs w:val="1"/>
                <w:color w:val="auto"/>
                <w:w w:val="93"/>
              </w:rPr>
              <w:t>December 31, 2017</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December 31, 2016</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37"/>
              <w:spacing w:after="0" w:line="119" w:lineRule="exact"/>
              <w:rPr>
                <w:sz w:val="20"/>
                <w:szCs w:val="20"/>
                <w:color w:val="auto"/>
              </w:rPr>
            </w:pPr>
            <w:r>
              <w:rPr>
                <w:rFonts w:ascii="Arial" w:cs="Arial" w:eastAsia="Arial" w:hAnsi="Arial"/>
                <w:sz w:val="13"/>
                <w:szCs w:val="13"/>
                <w:b w:val="1"/>
                <w:bCs w:val="1"/>
                <w:color w:val="auto"/>
              </w:rPr>
              <w:t>Gross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57"/>
              <w:spacing w:after="0" w:line="119" w:lineRule="exact"/>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list</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Tradename</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12,200</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10,318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12,200</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16,790</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10,575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16,790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gridSpan w:val="3"/>
          </w:tcPr>
          <w:p>
            <w:pPr>
              <w:spacing w:after="0"/>
              <w:rPr>
                <w:sz w:val="20"/>
                <w:szCs w:val="20"/>
                <w:color w:val="auto"/>
              </w:rPr>
            </w:pPr>
            <w:r>
              <w:rPr>
                <w:rFonts w:ascii="Arial" w:cs="Arial" w:eastAsia="Arial" w:hAnsi="Arial"/>
                <w:sz w:val="18"/>
                <w:szCs w:val="18"/>
                <w:color w:val="auto"/>
              </w:rPr>
              <w:t>F-14</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In 2017, 2016, and 2015, we recorded amortization expense of $1,561, $1,281, and $735, respectively. The estimated amortization expense relating to intangible assets in each of the five succeeding years and thereafter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2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2019</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2021</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 and thereafter</w:t>
            </w:r>
          </w:p>
        </w:tc>
        <w:tc>
          <w:tcPr>
            <w:tcW w:w="2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100" w:type="dxa"/>
            <w:vAlign w:val="bottom"/>
            <w:tcBorders>
              <w:bottom w:val="single" w:sz="8" w:color="CCEEFF"/>
            </w:tcBorders>
          </w:tcPr>
          <w:p>
            <w:pPr>
              <w:spacing w:after="0"/>
              <w:rPr>
                <w:sz w:val="18"/>
                <w:szCs w:val="18"/>
                <w:color w:val="auto"/>
              </w:rPr>
            </w:pPr>
          </w:p>
        </w:tc>
      </w:tr>
      <w:tr>
        <w:trPr>
          <w:trHeight w:val="217"/>
        </w:trPr>
        <w:tc>
          <w:tcPr>
            <w:tcW w:w="426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10,575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4.  ACCOUNTS RECEIVABLE</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40" w:type="dxa"/>
            <w:vAlign w:val="bottom"/>
          </w:tcPr>
          <w:p>
            <w:pPr>
              <w:ind w:left="320"/>
              <w:spacing w:after="0"/>
              <w:rPr>
                <w:sz w:val="20"/>
                <w:szCs w:val="20"/>
                <w:color w:val="auto"/>
              </w:rPr>
            </w:pPr>
            <w:r>
              <w:rPr>
                <w:rFonts w:ascii="Arial" w:cs="Arial" w:eastAsia="Arial" w:hAnsi="Arial"/>
                <w:sz w:val="18"/>
                <w:szCs w:val="18"/>
                <w:color w:val="auto"/>
              </w:rPr>
              <w:t>Accounts receivable consisted of the following:</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Trade</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398,524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384,709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Vendor returns, consideration and other</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Due from employees</w:t>
            </w:r>
          </w:p>
        </w:tc>
        <w:tc>
          <w:tcPr>
            <w:tcW w:w="1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Total gross accounts receivable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455,716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417,902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Allowances for:</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Sales returns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Doubtful accounts</w:t>
            </w:r>
          </w:p>
        </w:tc>
        <w:tc>
          <w:tcPr>
            <w:tcW w:w="1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449,682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411,883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PROPERTY AND EQUIPMENT</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including licenses and internally-developed software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69,006</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31,218</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9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80" w:type="dxa"/>
            <w:vAlign w:val="bottom"/>
            <w:shd w:val="clear" w:color="auto" w:fill="CCEEFF"/>
          </w:tcPr>
          <w:p>
            <w:pPr>
              <w:spacing w:after="0"/>
              <w:rPr>
                <w:sz w:val="18"/>
                <w:szCs w:val="18"/>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99,283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107,524</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(57,792)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(68,122)</w:t>
            </w:r>
          </w:p>
        </w:tc>
        <w:tc>
          <w:tcPr>
            <w:tcW w:w="80" w:type="dxa"/>
            <w:vAlign w:val="bottom"/>
            <w:shd w:val="clear" w:color="auto" w:fill="CCEEFF"/>
          </w:tcPr>
          <w:p>
            <w:pPr>
              <w:spacing w:after="0"/>
              <w:rPr>
                <w:sz w:val="18"/>
                <w:szCs w:val="18"/>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41,491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39,402</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recorded depreciation and amortization expense for property and equipment of $10,278, $9,172, and $8,226 in 2017, 2016, and 2015, respectively.</w:t>
      </w:r>
    </w:p>
    <w:p>
      <w:pPr>
        <w:spacing w:after="0" w:line="3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BANK BORROWINGS</w:t>
      </w:r>
    </w:p>
    <w:p>
      <w:pPr>
        <w:spacing w:after="0" w:line="202" w:lineRule="exact"/>
        <w:rPr>
          <w:sz w:val="20"/>
          <w:szCs w:val="20"/>
          <w:color w:val="auto"/>
        </w:rPr>
      </w:pPr>
    </w:p>
    <w:p>
      <w:pPr>
        <w:ind w:firstLine="358"/>
        <w:spacing w:after="0" w:line="270" w:lineRule="auto"/>
        <w:rPr>
          <w:sz w:val="20"/>
          <w:szCs w:val="20"/>
          <w:color w:val="auto"/>
        </w:rPr>
      </w:pPr>
      <w:r>
        <w:rPr>
          <w:rFonts w:ascii="Arial" w:cs="Arial" w:eastAsia="Arial" w:hAnsi="Arial"/>
          <w:sz w:val="17"/>
          <w:szCs w:val="17"/>
          <w:color w:val="auto"/>
        </w:rPr>
        <w:t>We have a $50,000 credit facility collateralized by our account receivables that expires February 10, 2022. This facility can be increased, at our option, to $80,000 for approved acquisitions or other uses authorized by the lender on substantially the same terms. Amounts outstanding under this facility bear interest at the one-month London Interbank Offered Rate (“LIBOR”), plus a spread based on our funded debt ratio, or in the absence of LIBOR, the prime rate (4.50% at December 31, 2017). The one-month LIBOR rate at December 31, 2017 was 1.56%. The credit facility includes various customary financial ratios and operating covenants, including minimum net worth and maximum funded debt ratio requirements, and default acceleration provisions. The credit facility does not include restrictions on future dividend payments. Funded debt ratio is the ratio of average outstanding advances under the credit facility to Adjusted EBITDA (Earnings Before Interest Expense, Taxes, Depreciation, Amortization, and Special Charges).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9"/>
        <w:spacing w:after="0" w:line="259" w:lineRule="auto"/>
        <w:rPr>
          <w:sz w:val="20"/>
          <w:szCs w:val="20"/>
          <w:color w:val="auto"/>
        </w:rPr>
      </w:pPr>
      <w:r>
        <w:rPr>
          <w:rFonts w:ascii="Arial" w:cs="Arial" w:eastAsia="Arial" w:hAnsi="Arial"/>
          <w:sz w:val="18"/>
          <w:szCs w:val="18"/>
          <w:color w:val="auto"/>
        </w:rPr>
        <w:t>maximum allowable funded debt ratio under the agreement is 2.0 to 1.0. Decreases in our consolidated Adjusted EBITDA could limit our potential borrowing capacity under the credit facility. We had no outstanding bank borrowings at December 31, 2017 or 2016, respectively, and accordingly, the entire $50,000 facility was available for borrowings under the credit facility.</w:t>
      </w:r>
    </w:p>
    <w:p>
      <w:pPr>
        <w:spacing w:after="0" w:line="183" w:lineRule="exact"/>
        <w:rPr>
          <w:sz w:val="20"/>
          <w:szCs w:val="20"/>
          <w:color w:val="auto"/>
        </w:rPr>
      </w:pPr>
    </w:p>
    <w:p>
      <w:pPr>
        <w:ind w:left="320" w:right="3119" w:hanging="317"/>
        <w:spacing w:after="0" w:line="503" w:lineRule="auto"/>
        <w:tabs>
          <w:tab w:leader="none" w:pos="311"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AND SHARE-BASED COMPENSATION </w:t>
      </w:r>
      <w:r>
        <w:rPr>
          <w:rFonts w:ascii="Arial" w:cs="Arial" w:eastAsia="Arial" w:hAnsi="Arial"/>
          <w:sz w:val="18"/>
          <w:szCs w:val="18"/>
          <w:b w:val="1"/>
          <w:bCs w:val="1"/>
          <w:i w:val="1"/>
          <w:iCs w:val="1"/>
          <w:color w:val="auto"/>
        </w:rPr>
        <w:t>Preferred Stock</w:t>
      </w:r>
    </w:p>
    <w:p>
      <w:pPr>
        <w:spacing w:after="0" w:line="1" w:lineRule="exact"/>
        <w:rPr>
          <w:sz w:val="20"/>
          <w:szCs w:val="20"/>
          <w:color w:val="auto"/>
        </w:rPr>
      </w:pPr>
    </w:p>
    <w:p>
      <w:pPr>
        <w:ind w:right="119" w:firstLine="324"/>
        <w:spacing w:after="0" w:line="255" w:lineRule="auto"/>
        <w:rPr>
          <w:sz w:val="20"/>
          <w:szCs w:val="20"/>
          <w:color w:val="auto"/>
        </w:rPr>
      </w:pPr>
      <w:r>
        <w:rPr>
          <w:rFonts w:ascii="Arial" w:cs="Arial" w:eastAsia="Arial" w:hAnsi="Arial"/>
          <w:sz w:val="18"/>
          <w:szCs w:val="18"/>
          <w:color w:val="auto"/>
        </w:rPr>
        <w:t>Our Amended and Restated Certificate of Incorporation (the “Restated Certificate”) authorizes the issuance of up to 10,000 shares of preferred stock, $.01 par value per share (the “Preferred Stock”). Under the terms of the Restated Certificate, the Board is authorized, subject to any limitations prescribed by law, without stockholder approval, to issue by a unanimous vote such shares of Preferred Stock in one or more series. Each such series of Preferred Stock shall have such rights, preferences, privileges, and restrictions, including voting rights, dividend rights, redemption privileges, and liquidation preferences, as shall be determined by the Board. There were no preferred shares outstanding at December 31, 2017 or 2016.</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 Repurchase Authorization</w:t>
      </w:r>
    </w:p>
    <w:p>
      <w:pPr>
        <w:spacing w:after="0" w:line="225" w:lineRule="exact"/>
        <w:rPr>
          <w:sz w:val="20"/>
          <w:szCs w:val="20"/>
          <w:color w:val="auto"/>
        </w:rPr>
      </w:pPr>
    </w:p>
    <w:p>
      <w:pPr>
        <w:ind w:right="279" w:firstLine="324"/>
        <w:spacing w:after="0" w:line="264" w:lineRule="auto"/>
        <w:rPr>
          <w:sz w:val="20"/>
          <w:szCs w:val="20"/>
          <w:color w:val="auto"/>
        </w:rPr>
      </w:pPr>
      <w:r>
        <w:rPr>
          <w:rFonts w:ascii="Arial" w:cs="Arial" w:eastAsia="Arial" w:hAnsi="Arial"/>
          <w:sz w:val="18"/>
          <w:szCs w:val="18"/>
          <w:color w:val="auto"/>
        </w:rPr>
        <w:t>In 2001, our Board of Directors authorized the spending of up to $15,000 to repurchase our common stock. We have considered block repurchases directly from larger stockholders, as well as open market purchases, in carrying out our ongoing stock repurchase program.</w:t>
      </w:r>
    </w:p>
    <w:p>
      <w:pPr>
        <w:spacing w:after="0" w:line="181" w:lineRule="exact"/>
        <w:rPr>
          <w:sz w:val="20"/>
          <w:szCs w:val="20"/>
          <w:color w:val="auto"/>
        </w:rPr>
      </w:pPr>
    </w:p>
    <w:p>
      <w:pPr>
        <w:ind w:right="99" w:firstLine="324"/>
        <w:spacing w:after="0" w:line="291" w:lineRule="auto"/>
        <w:rPr>
          <w:sz w:val="20"/>
          <w:szCs w:val="20"/>
          <w:color w:val="auto"/>
        </w:rPr>
      </w:pPr>
      <w:r>
        <w:rPr>
          <w:rFonts w:ascii="Arial" w:cs="Arial" w:eastAsia="Arial" w:hAnsi="Arial"/>
          <w:sz w:val="16"/>
          <w:szCs w:val="16"/>
          <w:color w:val="auto"/>
        </w:rPr>
        <w:t>We did not repurchase any shares in the three years ended December 31, 2017. As of December 31, 2017, we have repurchased an aggregate of 1,682 shares for $12,233 under our repurchase program, and the maximum approximate dollar value of shares that may yet be purchased under this program is $2,767. In 2014, our Board of Directors approved a new share repurchase program authorizing up to $15,000 in share repurchases. There is no fixed termination date for this new repurchase program. Purchases may be made in open-market transactions, block transactions on or off an exchange, or in privately negotiated transactions. We intend to complete the 2001 repurchase program before repurchasing shares under the new program. The timing and amount of any share repurchases will be based on market conditions and other factors.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Payments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special cash dividends declared in the three years ended December 31,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Dividend per share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Stockholder record date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12/29/2017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12/30/2016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12/29/2015</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dividend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9,122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10,591</w:t>
            </w:r>
          </w:p>
        </w:tc>
        <w:tc>
          <w:tcPr>
            <w:tcW w:w="60" w:type="dxa"/>
            <w:vAlign w:val="bottom"/>
            <w:shd w:val="clear" w:color="auto" w:fill="CCEEFF"/>
          </w:tcPr>
          <w:p>
            <w:pPr>
              <w:spacing w:after="0"/>
              <w:rPr>
                <w:sz w:val="18"/>
                <w:szCs w:val="18"/>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Payment date</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1/12/2018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1/12/2017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1/12/2016</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119" w:firstLine="324"/>
        <w:spacing w:after="0" w:line="259" w:lineRule="auto"/>
        <w:rPr>
          <w:sz w:val="20"/>
          <w:szCs w:val="20"/>
          <w:color w:val="auto"/>
        </w:rPr>
      </w:pPr>
      <w:r>
        <w:rPr>
          <w:rFonts w:ascii="Arial" w:cs="Arial" w:eastAsia="Arial" w:hAnsi="Arial"/>
          <w:sz w:val="18"/>
          <w:szCs w:val="18"/>
          <w:color w:val="auto"/>
        </w:rPr>
        <w:t>The dividends paid in January 2017 and 2018 were included in accrued expenses and other liabilities at December 31, 2016 and 2017, respectively. We have no current plans to pay additional cash dividends on our common stock in the foreseeable future, and declaration of any future cash dividends will depend upon our financial position, strategic plans, and general business conditions.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Equity Compensation Plan Descriptions</w:t>
      </w:r>
    </w:p>
    <w:p>
      <w:pPr>
        <w:spacing w:after="0" w:line="225" w:lineRule="exact"/>
        <w:rPr>
          <w:sz w:val="20"/>
          <w:szCs w:val="20"/>
          <w:color w:val="auto"/>
        </w:rPr>
      </w:pPr>
    </w:p>
    <w:p>
      <w:pPr>
        <w:ind w:right="99" w:firstLine="324"/>
        <w:spacing w:after="0" w:line="297" w:lineRule="auto"/>
        <w:rPr>
          <w:sz w:val="20"/>
          <w:szCs w:val="20"/>
          <w:color w:val="auto"/>
        </w:rPr>
      </w:pPr>
      <w:r>
        <w:rPr>
          <w:rFonts w:ascii="Arial" w:cs="Arial" w:eastAsia="Arial" w:hAnsi="Arial"/>
          <w:sz w:val="16"/>
          <w:szCs w:val="16"/>
          <w:color w:val="auto"/>
        </w:rPr>
        <w:t>In 2007, the Board adopted and our stockholders approved the 2007 Stock Incentive Plan. In 2010, the Board adopted and our stockholders approved the Amended and Restated 2007 Stock Incentive Plan (the “2007 Plan”), which among other things, extended the term of the 2007 Plan to 2020. In May 2016, our stockholders approved an amendment to the 2007 Plan, which authorized the issuance of 1,700 shares of common stock. Under the terms of the 2007 Plan, we are authorized for a ten-year period to grant options, stock appreciation rights, nonvested stock, nonvested</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77" w:lineRule="auto"/>
        <w:rPr>
          <w:sz w:val="20"/>
          <w:szCs w:val="20"/>
          <w:color w:val="auto"/>
        </w:rPr>
      </w:pPr>
      <w:r>
        <w:rPr>
          <w:rFonts w:ascii="Arial" w:cs="Arial" w:eastAsia="Arial" w:hAnsi="Arial"/>
          <w:sz w:val="18"/>
          <w:szCs w:val="18"/>
          <w:color w:val="auto"/>
        </w:rPr>
        <w:t>stock units, and other stock-based awards to employees, officers, directors, and consultants. As of December 31, 2017, there were 198 shares eligible for future grants under the 2007 Plan.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1997 Employee Stock Purchase Plan</w:t>
      </w:r>
    </w:p>
    <w:p>
      <w:pPr>
        <w:spacing w:after="0" w:line="225" w:lineRule="exact"/>
        <w:rPr>
          <w:sz w:val="20"/>
          <w:szCs w:val="20"/>
          <w:color w:val="auto"/>
        </w:rPr>
      </w:pPr>
    </w:p>
    <w:p>
      <w:pPr>
        <w:ind w:right="39" w:firstLine="324"/>
        <w:spacing w:after="0" w:line="276" w:lineRule="auto"/>
        <w:rPr>
          <w:sz w:val="20"/>
          <w:szCs w:val="20"/>
          <w:color w:val="auto"/>
        </w:rPr>
      </w:pPr>
      <w:r>
        <w:rPr>
          <w:rFonts w:ascii="Arial" w:cs="Arial" w:eastAsia="Arial" w:hAnsi="Arial"/>
          <w:sz w:val="17"/>
          <w:szCs w:val="17"/>
          <w:color w:val="auto"/>
        </w:rPr>
        <w:t>In November 1997, the Board adopted and our stockholders approved the 1997 Employee Stock Purchase Plan (the “Purchase Plan”). The Purchase Plan authorizes the issuance of common stock to participating employees. Under the Purchase Plan, as amended, our employees are eligible to purchase company stock at 95% of the purchase price as of the last business day of each six-month offering period. An aggregate of 1,138 shares of common stock has been reserved for issuance under the Purchase Plan, of which 1,114 shares have been purchased.</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for Share-Based Compensation</w:t>
      </w:r>
    </w:p>
    <w:p>
      <w:pPr>
        <w:spacing w:after="0" w:line="225" w:lineRule="exact"/>
        <w:rPr>
          <w:sz w:val="20"/>
          <w:szCs w:val="20"/>
          <w:color w:val="auto"/>
        </w:rPr>
      </w:pPr>
    </w:p>
    <w:p>
      <w:pPr>
        <w:ind w:right="59" w:firstLine="324"/>
        <w:spacing w:after="0" w:line="297" w:lineRule="auto"/>
        <w:rPr>
          <w:sz w:val="20"/>
          <w:szCs w:val="20"/>
          <w:color w:val="auto"/>
        </w:rPr>
      </w:pPr>
      <w:r>
        <w:rPr>
          <w:rFonts w:ascii="Arial" w:cs="Arial" w:eastAsia="Arial" w:hAnsi="Arial"/>
          <w:sz w:val="16"/>
          <w:szCs w:val="16"/>
          <w:color w:val="auto"/>
        </w:rPr>
        <w:t>We measure the grant date fair value of equity awards given to employees and recognize that cost, adjusted for forfeitures, over the period that services are performed. We value grants with multiple vesting periods as a single award, estimate expected forfeitures based upon historical patterns of employee turnover, and record share-based compensation as a component of SG&amp;A expenses. In 2016, we granted nonvested stock units. No equity awards were granted in 2015 and 2017, however, in previous years both nonvested stock awards and stock options have been granted.</w:t>
      </w:r>
    </w:p>
    <w:p>
      <w:pPr>
        <w:spacing w:after="0" w:line="158" w:lineRule="exact"/>
        <w:rPr>
          <w:sz w:val="20"/>
          <w:szCs w:val="20"/>
          <w:color w:val="auto"/>
        </w:rPr>
      </w:pPr>
    </w:p>
    <w:p>
      <w:pPr>
        <w:ind w:right="139" w:firstLine="324"/>
        <w:spacing w:after="0" w:line="219" w:lineRule="exact"/>
        <w:rPr>
          <w:sz w:val="20"/>
          <w:szCs w:val="20"/>
          <w:color w:val="auto"/>
        </w:rPr>
      </w:pPr>
      <w:r>
        <w:rPr>
          <w:rFonts w:ascii="Arial" w:cs="Arial" w:eastAsia="Arial" w:hAnsi="Arial"/>
          <w:sz w:val="18"/>
          <w:szCs w:val="18"/>
          <w:color w:val="auto"/>
        </w:rPr>
        <w:t>We employ the Black-Scholes option valuation model to assess the grant date fair value of each option grant. The application of this model requires certain key input assumptions, including expected volatility, option term, and risk-free interest rates. Expected volatility is based on the historical volatility of our common stock. The expected term of an option grant is estimated using the historical exercise behavior of employees and directors. The risk</w:t>
      </w:r>
      <w:r>
        <w:rPr>
          <w:rFonts w:ascii="MS PGothic" w:cs="MS PGothic" w:eastAsia="MS PGothic" w:hAnsi="MS PGothic"/>
          <w:sz w:val="18"/>
          <w:szCs w:val="18"/>
          <w:color w:val="auto"/>
        </w:rPr>
        <w:t>‑</w:t>
      </w:r>
      <w:r>
        <w:rPr>
          <w:rFonts w:ascii="Arial" w:cs="Arial" w:eastAsia="Arial" w:hAnsi="Arial"/>
          <w:sz w:val="18"/>
          <w:szCs w:val="18"/>
          <w:color w:val="auto"/>
        </w:rPr>
        <w:t>free interest rate for periods within the contractual life of the option is based on the U.S. Treasury yield curve that corresponds most closely to the stock option’s expected average life.</w:t>
      </w:r>
    </w:p>
    <w:p>
      <w:pPr>
        <w:spacing w:after="0" w:line="203" w:lineRule="exact"/>
        <w:rPr>
          <w:sz w:val="20"/>
          <w:szCs w:val="20"/>
          <w:color w:val="auto"/>
        </w:rPr>
      </w:pPr>
    </w:p>
    <w:p>
      <w:pPr>
        <w:ind w:right="239" w:firstLine="324"/>
        <w:spacing w:after="0" w:line="277" w:lineRule="auto"/>
        <w:rPr>
          <w:sz w:val="20"/>
          <w:szCs w:val="20"/>
          <w:color w:val="auto"/>
        </w:rPr>
      </w:pPr>
      <w:r>
        <w:rPr>
          <w:rFonts w:ascii="Arial" w:cs="Arial" w:eastAsia="Arial" w:hAnsi="Arial"/>
          <w:sz w:val="18"/>
          <w:szCs w:val="18"/>
          <w:color w:val="auto"/>
        </w:rPr>
        <w:t>The following table summarizes the components of share-based compensation recorded as expense for the three years ended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CEEFF"/>
            </w:tcBorders>
          </w:tcPr>
          <w:p>
            <w:pPr>
              <w:spacing w:after="0"/>
              <w:rPr>
                <w:sz w:val="14"/>
                <w:szCs w:val="14"/>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Pre-tax expense for nonvested units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r>
      <w:tr>
        <w:trPr>
          <w:trHeight w:val="217"/>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effect on 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59" w:firstLine="324"/>
        <w:spacing w:after="0" w:line="264" w:lineRule="auto"/>
        <w:rPr>
          <w:sz w:val="20"/>
          <w:szCs w:val="20"/>
          <w:color w:val="auto"/>
        </w:rPr>
      </w:pPr>
      <w:r>
        <w:rPr>
          <w:rFonts w:ascii="Arial" w:cs="Arial" w:eastAsia="Arial" w:hAnsi="Arial"/>
          <w:sz w:val="18"/>
          <w:szCs w:val="18"/>
          <w:color w:val="auto"/>
        </w:rPr>
        <w:t>We have historically settled stock option exercises with newly issued common shares. The intrinsic value of options exercised in 2017, 2016, and 2015 was $2,569, $156, and $553, respectively. The following table sets forth our stock option activity in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Term (Years)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2017</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Vested and expected to vest</w:t>
            </w: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79" w:firstLine="324"/>
        <w:spacing w:after="0" w:line="342" w:lineRule="auto"/>
        <w:rPr>
          <w:sz w:val="20"/>
          <w:szCs w:val="20"/>
          <w:color w:val="auto"/>
        </w:rPr>
      </w:pPr>
      <w:r>
        <w:rPr>
          <w:rFonts w:ascii="Arial" w:cs="Arial" w:eastAsia="Arial" w:hAnsi="Arial"/>
          <w:sz w:val="16"/>
          <w:szCs w:val="16"/>
          <w:color w:val="auto"/>
        </w:rPr>
        <w:t>In 2016, we issued nonvested stock units that settle in stock and vest over periods up to fifteen years. No awards were issued in 2015 and 2017. Recipients of nonvested stock units do not possess stockholder rights. The fair value of</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nonvested stock units is based on the end of day market value of our common stock on the grant date. The following table summarizes our nonvested stock unit activity in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4"/>
                <w:szCs w:val="14"/>
                <w:b w:val="1"/>
                <w:bCs w:val="1"/>
                <w:color w:val="auto"/>
              </w:rPr>
              <w:t>Nonvested Stock Units</w:t>
            </w: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Weighted-Average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8"/>
              </w:rPr>
              <w:t>Shares</w:t>
            </w: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January 1, 2017</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Vested</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tcPr>
          <w:p>
            <w:pPr>
              <w:spacing w:after="0"/>
              <w:rPr>
                <w:sz w:val="20"/>
                <w:szCs w:val="20"/>
                <w:color w:val="auto"/>
              </w:rPr>
            </w:pPr>
            <w:r>
              <w:rPr>
                <w:rFonts w:ascii="Arial" w:cs="Arial" w:eastAsia="Arial" w:hAnsi="Arial"/>
                <w:sz w:val="18"/>
                <w:szCs w:val="18"/>
                <w:color w:val="auto"/>
              </w:rPr>
              <w:t>Nonvested at December 31, 2017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The weighted-average grant-date fair value of nonvested stock units granted in 2016 was $24.72. No awards were granted in 2015 and 2017. The total fair value of nonvested stock units that vested in 2017, 2016, and 2015 was $1,638, $2,348, and $2,287, respectively. Unearned compensation cost related to the nonvested portion of outstanding nonvested stock units was $5,283 as of December 31, 2017, and is expected to be recognized over a weighted-average period of approximately 7.1 years.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Equivalent Units</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have also issued stock equivalent units, (“SEUs”), which settle in cash and vest ratably over four years, to non-executive employees. The fair value of these liability awards is based on the closing market price of our common stock, and is remeasured at the end of each reporting period until the SEUs vest. We report the compensation as a component of SG&amp;A expense and the related liability as accrued payroll on the consolidated balance sheets.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2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7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7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issued</w:t>
            </w:r>
          </w:p>
        </w:tc>
        <w:tc>
          <w:tcPr>
            <w:tcW w:w="1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Compensation expense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$ 1,429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$ 1,973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$ 2,054</w:t>
            </w:r>
          </w:p>
        </w:tc>
        <w:tc>
          <w:tcPr>
            <w:tcW w:w="80" w:type="dxa"/>
            <w:vAlign w:val="bottom"/>
          </w:tcPr>
          <w:p>
            <w:pPr>
              <w:spacing w:after="0"/>
              <w:rPr>
                <w:sz w:val="20"/>
                <w:szCs w:val="20"/>
                <w:color w:val="auto"/>
              </w:rPr>
            </w:pPr>
          </w:p>
        </w:tc>
      </w:tr>
    </w:tbl>
    <w:p>
      <w:pPr>
        <w:spacing w:after="0" w:line="197" w:lineRule="exact"/>
        <w:rPr>
          <w:sz w:val="20"/>
          <w:szCs w:val="20"/>
          <w:color w:val="auto"/>
        </w:rPr>
      </w:pPr>
    </w:p>
    <w:p>
      <w:pPr>
        <w:ind w:left="320" w:hanging="317"/>
        <w:spacing w:after="0"/>
        <w:tabs>
          <w:tab w:leader="none" w:pos="3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00" w:type="dxa"/>
            <w:vAlign w:val="bottom"/>
            <w:gridSpan w:val="5"/>
          </w:tcPr>
          <w:p>
            <w:pPr>
              <w:jc w:val="right"/>
              <w:ind w:right="370"/>
              <w:spacing w:after="0"/>
              <w:rPr>
                <w:sz w:val="20"/>
                <w:szCs w:val="20"/>
                <w:color w:val="auto"/>
              </w:rPr>
            </w:pPr>
            <w:r>
              <w:rPr>
                <w:rFonts w:ascii="Arial" w:cs="Arial" w:eastAsia="Arial" w:hAnsi="Arial"/>
                <w:sz w:val="14"/>
                <w:szCs w:val="14"/>
                <w:b w:val="1"/>
                <w:bCs w:val="1"/>
                <w:color w:val="auto"/>
              </w:rPr>
              <w:t>Years Ended December 31,</w:t>
            </w:r>
          </w:p>
        </w:tc>
        <w:tc>
          <w:tcPr>
            <w:tcW w:w="18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2015</w:t>
            </w:r>
          </w:p>
        </w:tc>
        <w:tc>
          <w:tcPr>
            <w:tcW w:w="18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266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Current:</w:t>
            </w:r>
          </w:p>
        </w:tc>
        <w:tc>
          <w:tcPr>
            <w:tcW w:w="20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820" w:type="dxa"/>
            <w:vAlign w:val="bottom"/>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Federal</w:t>
            </w:r>
          </w:p>
        </w:tc>
        <w:tc>
          <w:tcPr>
            <w:tcW w:w="2080" w:type="dxa"/>
            <w:vAlign w:val="bottom"/>
            <w:tcBorders>
              <w:top w:val="single" w:sz="8" w:color="CCEEFF"/>
            </w:tcBorders>
            <w:gridSpan w:val="2"/>
          </w:tcPr>
          <w:p>
            <w:pPr>
              <w:spacing w:after="0"/>
              <w:rPr>
                <w:sz w:val="18"/>
                <w:szCs w:val="18"/>
                <w:color w:val="auto"/>
              </w:rPr>
            </w:pPr>
          </w:p>
        </w:tc>
        <w:tc>
          <w:tcPr>
            <w:tcW w:w="27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$ 21,813</w:t>
            </w:r>
          </w:p>
        </w:tc>
        <w:tc>
          <w:tcPr>
            <w:tcW w:w="8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$ 23,923</w:t>
            </w:r>
          </w:p>
        </w:tc>
        <w:tc>
          <w:tcPr>
            <w:tcW w:w="920" w:type="dxa"/>
            <w:vAlign w:val="bottom"/>
            <w:tcBorders>
              <w:top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$ 23,872</w:t>
            </w:r>
          </w:p>
        </w:tc>
        <w:tc>
          <w:tcPr>
            <w:tcW w:w="1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9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5,116</w:t>
            </w:r>
          </w:p>
        </w:tc>
        <w:tc>
          <w:tcPr>
            <w:tcW w:w="18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6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current</w:t>
            </w:r>
          </w:p>
        </w:tc>
        <w:tc>
          <w:tcPr>
            <w:tcW w:w="20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26,674</w:t>
            </w:r>
          </w:p>
        </w:tc>
        <w:tc>
          <w:tcPr>
            <w:tcW w:w="1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28,836</w:t>
            </w:r>
          </w:p>
        </w:tc>
        <w:tc>
          <w:tcPr>
            <w:tcW w:w="1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28,988</w:t>
            </w:r>
          </w:p>
        </w:tc>
        <w:tc>
          <w:tcPr>
            <w:tcW w:w="1820" w:type="dxa"/>
            <w:vAlign w:val="bottom"/>
          </w:tcPr>
          <w:p>
            <w:pPr>
              <w:spacing w:after="0"/>
              <w:rPr>
                <w:sz w:val="18"/>
                <w:szCs w:val="18"/>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87"/>
              </w:rPr>
              <w:t>Deferred:</w:t>
            </w:r>
          </w:p>
        </w:tc>
        <w:tc>
          <w:tcPr>
            <w:tcW w:w="198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right w:val="single" w:sz="8" w:color="CCEEFF"/>
            </w:tcBorders>
            <w:shd w:val="clear" w:color="auto" w:fill="CCEEFF"/>
          </w:tcPr>
          <w:p>
            <w:pPr>
              <w:spacing w:after="0"/>
              <w:rPr>
                <w:sz w:val="16"/>
                <w:szCs w:val="16"/>
                <w:color w:val="auto"/>
              </w:rPr>
            </w:pPr>
          </w:p>
        </w:tc>
        <w:tc>
          <w:tcPr>
            <w:tcW w:w="18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Federal</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(5,132)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2,920</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2,220</w:t>
            </w:r>
          </w:p>
        </w:tc>
        <w:tc>
          <w:tcPr>
            <w:tcW w:w="1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9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18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6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deferred</w:t>
            </w:r>
          </w:p>
        </w:tc>
        <w:tc>
          <w:tcPr>
            <w:tcW w:w="20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1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1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2,652</w:t>
            </w:r>
          </w:p>
        </w:tc>
        <w:tc>
          <w:tcPr>
            <w:tcW w:w="18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2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provision</w:t>
            </w:r>
          </w:p>
        </w:tc>
        <w:tc>
          <w:tcPr>
            <w:tcW w:w="20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$ 22,768</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$ 32,342</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$ 31,640</w:t>
            </w:r>
          </w:p>
        </w:tc>
        <w:tc>
          <w:tcPr>
            <w:tcW w:w="1820" w:type="dxa"/>
            <w:vAlign w:val="bottom"/>
          </w:tcPr>
          <w:p>
            <w:pPr>
              <w:spacing w:after="0"/>
              <w:rPr>
                <w:sz w:val="18"/>
                <w:szCs w:val="18"/>
                <w:color w:val="auto"/>
              </w:rPr>
            </w:pPr>
          </w:p>
        </w:tc>
      </w:tr>
      <w:tr>
        <w:trPr>
          <w:trHeight w:val="86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80" w:type="dxa"/>
            <w:vAlign w:val="bottom"/>
            <w:gridSpan w:val="2"/>
          </w:tcPr>
          <w:p>
            <w:pPr>
              <w:jc w:val="right"/>
              <w:ind w:right="677"/>
              <w:spacing w:after="0"/>
              <w:rPr>
                <w:sz w:val="20"/>
                <w:szCs w:val="20"/>
                <w:color w:val="auto"/>
              </w:rPr>
            </w:pPr>
            <w:r>
              <w:rPr>
                <w:rFonts w:ascii="Arial" w:cs="Arial" w:eastAsia="Arial" w:hAnsi="Arial"/>
                <w:sz w:val="18"/>
                <w:szCs w:val="18"/>
                <w:color w:val="auto"/>
              </w:rPr>
              <w:t>F-18</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deferred taxes at December 31, 2017 and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Deferred tax assets:</w:t>
            </w: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Provisions for doubtful accounts</w:t>
            </w:r>
          </w:p>
        </w:tc>
        <w:tc>
          <w:tcPr>
            <w:tcW w:w="15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 costs capitalized for tax purposes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Inventory valuation reserves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return reserves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Deductible expenses, primarily employee-benefit related</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State tax contingency</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 deferral</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under non-statutory stock option agreements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State tax loss carryforwards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benefit for uncertain state tax positions</w:t>
            </w:r>
          </w:p>
        </w:tc>
        <w:tc>
          <w:tcPr>
            <w:tcW w:w="1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3"/>
          </w:tcPr>
          <w:p>
            <w:pPr>
              <w:ind w:left="200"/>
              <w:spacing w:after="0"/>
              <w:rPr>
                <w:sz w:val="20"/>
                <w:szCs w:val="20"/>
                <w:color w:val="auto"/>
              </w:rPr>
            </w:pPr>
            <w:r>
              <w:rPr>
                <w:rFonts w:ascii="Arial" w:cs="Arial" w:eastAsia="Arial" w:hAnsi="Arial"/>
                <w:sz w:val="18"/>
                <w:szCs w:val="18"/>
                <w:color w:val="auto"/>
              </w:rPr>
              <w:t>Total gross deferred tax assets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Less: Valuation allowance</w:t>
            </w:r>
          </w:p>
        </w:tc>
        <w:tc>
          <w:tcPr>
            <w:tcW w:w="1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Net deferred tax assets</w:t>
            </w:r>
          </w:p>
        </w:tc>
        <w:tc>
          <w:tcPr>
            <w:tcW w:w="1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60" w:type="dxa"/>
            <w:vAlign w:val="bottom"/>
            <w:gridSpan w:val="3"/>
          </w:tcPr>
          <w:p>
            <w:pPr>
              <w:spacing w:after="0" w:line="176" w:lineRule="exact"/>
              <w:rPr>
                <w:sz w:val="20"/>
                <w:szCs w:val="20"/>
                <w:color w:val="auto"/>
              </w:rPr>
            </w:pPr>
            <w:r>
              <w:rPr>
                <w:rFonts w:ascii="Arial" w:cs="Arial" w:eastAsia="Arial" w:hAnsi="Arial"/>
                <w:sz w:val="18"/>
                <w:szCs w:val="18"/>
                <w:color w:val="auto"/>
              </w:rPr>
              <w:t>Deferred tax liabilities:</w:t>
            </w: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(17,776)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Property and equipment</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Total gross deferred tax liabilities</w:t>
            </w:r>
          </w:p>
        </w:tc>
        <w:tc>
          <w:tcPr>
            <w:tcW w:w="14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(19,916)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(27,329)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deferred tax liability</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Current deferred tax assets</w:t>
            </w:r>
          </w:p>
        </w:tc>
        <w:tc>
          <w:tcPr>
            <w:tcW w:w="15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(19,602)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80" w:type="dxa"/>
            <w:vAlign w:val="bottom"/>
            <w:gridSpan w:val="4"/>
          </w:tcPr>
          <w:p>
            <w:pPr>
              <w:spacing w:after="0"/>
              <w:rPr>
                <w:sz w:val="20"/>
                <w:szCs w:val="20"/>
                <w:color w:val="auto"/>
              </w:rPr>
            </w:pPr>
            <w:r>
              <w:rPr>
                <w:rFonts w:ascii="Arial" w:cs="Arial" w:eastAsia="Arial" w:hAnsi="Arial"/>
                <w:sz w:val="18"/>
                <w:szCs w:val="18"/>
                <w:color w:val="auto"/>
              </w:rPr>
              <w:t>Net deferred tax liability</w:t>
            </w:r>
          </w:p>
        </w:tc>
        <w:tc>
          <w:tcPr>
            <w:tcW w:w="14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(15,696)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(19,602)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have state net operating loss carryforwards aggregating $1,110 at December 31, 2017 representing state tax benefits, net of federal taxes, of approximately $877. These loss carryforwards are subject to between five, fifteen, and twenty-year carryforward periods, with $9 expiring after 2018, $6 expiring after 2019, $5 expiring after 2020, $3 expiring after 2021, $3 expiring after 2022 and $1,084 expiring beyond 2022. We have provided valuation allowances of $745 and $485 at December 31, 2017 and 2016, respectively, against the state tax loss carryforwards, representing the portion of carryforward losses that we believe are not likely to be realized. The net change in the total valuation allowance reflects a $260, $102, and $70 increase in 2017, 2016, and 2015, respectively. The valuation allowance was increased in 2017, 2016, and 2015 to offset the corresponding increase to the deferred tax asset associated with state net operating loss carryforwards.</w:t>
      </w:r>
    </w:p>
    <w:p>
      <w:pPr>
        <w:spacing w:after="0" w:line="16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 reconciliation of our 2017, 2016, and 2015 income tax provision to total income taxes at the statutory federal tax rate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7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9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2015</w:t>
            </w:r>
          </w:p>
        </w:tc>
        <w:tc>
          <w:tcPr>
            <w:tcW w:w="1820" w:type="dxa"/>
            <w:vAlign w:val="bottom"/>
          </w:tcPr>
          <w:p>
            <w:pPr>
              <w:spacing w:after="0"/>
              <w:rPr>
                <w:sz w:val="14"/>
                <w:szCs w:val="14"/>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taxes, at statutory tax rate</w:t>
            </w:r>
          </w:p>
        </w:tc>
        <w:tc>
          <w:tcPr>
            <w:tcW w:w="9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$ 27,169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$ 28,159</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$ 27,463</w:t>
            </w:r>
          </w:p>
        </w:tc>
        <w:tc>
          <w:tcPr>
            <w:tcW w:w="182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3,843</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3,947</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3,962</w:t>
            </w:r>
          </w:p>
        </w:tc>
        <w:tc>
          <w:tcPr>
            <w:tcW w:w="18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9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82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Remeasurement of net deferred tax balances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(7,815)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Other–net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820" w:type="dxa"/>
            <w:vAlign w:val="bottom"/>
          </w:tcPr>
          <w:p>
            <w:pPr>
              <w:spacing w:after="0"/>
              <w:rPr>
                <w:sz w:val="18"/>
                <w:szCs w:val="18"/>
                <w:color w:val="auto"/>
              </w:rPr>
            </w:pP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Tax provision</w:t>
            </w:r>
          </w:p>
        </w:tc>
        <w:tc>
          <w:tcPr>
            <w:tcW w:w="9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$ 22,768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$ 32,342</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$ 31,640</w:t>
            </w:r>
          </w:p>
        </w:tc>
        <w:tc>
          <w:tcPr>
            <w:tcW w:w="1820" w:type="dxa"/>
            <w:vAlign w:val="bottom"/>
          </w:tcPr>
          <w:p>
            <w:pPr>
              <w:spacing w:after="0"/>
              <w:rPr>
                <w:sz w:val="18"/>
                <w:szCs w:val="18"/>
                <w:color w:val="auto"/>
              </w:rPr>
            </w:pPr>
          </w:p>
        </w:tc>
      </w:tr>
      <w:tr>
        <w:trPr>
          <w:trHeight w:val="864"/>
        </w:trPr>
        <w:tc>
          <w:tcPr>
            <w:tcW w:w="3780" w:type="dxa"/>
            <w:vAlign w:val="bottom"/>
          </w:tcPr>
          <w:p>
            <w:pPr>
              <w:spacing w:after="0"/>
              <w:rPr>
                <w:sz w:val="24"/>
                <w:szCs w:val="24"/>
                <w:color w:val="auto"/>
              </w:rPr>
            </w:pPr>
          </w:p>
        </w:tc>
        <w:tc>
          <w:tcPr>
            <w:tcW w:w="1760" w:type="dxa"/>
            <w:vAlign w:val="bottom"/>
            <w:gridSpan w:val="3"/>
          </w:tcPr>
          <w:p>
            <w:pPr>
              <w:ind w:left="580"/>
              <w:spacing w:after="0"/>
              <w:rPr>
                <w:sz w:val="20"/>
                <w:szCs w:val="20"/>
                <w:color w:val="auto"/>
              </w:rPr>
            </w:pPr>
            <w:r>
              <w:rPr>
                <w:rFonts w:ascii="Arial" w:cs="Arial" w:eastAsia="Arial" w:hAnsi="Arial"/>
                <w:sz w:val="18"/>
                <w:szCs w:val="18"/>
                <w:color w:val="auto"/>
              </w:rPr>
              <w:t>F-19</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9"/>
        </w:trPr>
        <w:tc>
          <w:tcPr>
            <w:tcW w:w="37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On December 22, 2017, the U.S. government enacted comprehensive tax legislation (the “Tax Act”), which significantly revises the ongoing U.S. corporate income tax law by lowering the U.S. federal corporate income tax rate from 35.0% to 21.0%, and setting limitations on deductibility of certain costs.</w:t>
      </w:r>
    </w:p>
    <w:p>
      <w:pPr>
        <w:spacing w:after="0" w:line="181"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Due to the complexities involved in accounting for the recently enacted Tax Act, the U.S. Securities and Exchange Commission’s Staff Accounting Bulletin (“SAB”) 118 requires that we include in our financial statements the reasonable estimate of the impact of the Tax Act on earnings to the extent such reasonable estimate has been determined. Accordingly, we recorded a preliminary $7.8 million in estimated tax benefit related to the change in net deferred tax liabilities stemming from the Tax Act’s reduction of the U.S. federal tax rate from 35.0% to 21.0% for the year ended December 31, 2017.</w:t>
      </w:r>
    </w:p>
    <w:p>
      <w:pPr>
        <w:spacing w:after="0" w:line="15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final impact on our financial statements from the Tax Act may differ due to changes in interpretations of the Tax Act, future legislative action to address questions that arise because of the Tax Act, and related interpretations in response to the Tax Act.</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file one consolidated U.S. Federal income tax return that includes all of our subsidiaries as well as several consolidated, combined, and separate company returns in many U.S. state tax jurisdictions. The tax years 2013-2016 remain open to examination by the major state taxing jurisdictions in which we file. The tax years 2014-2016 remain open to examination by the Internal Revenue Service.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unrecognized tax benefits for 2017, 2016, and 2015,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4"/>
                <w:szCs w:val="14"/>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Additions on tax positions of prior years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Lapses of applicable statute of limitations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7"/>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We recognize interest and penalties related to unrecognized income tax benefits as a component of income tax expense, and the corresponding accrual is included as a component of our liability for unrecognized income tax benefits. During the years ended December 31, 2017, 2016, and 2015, we recognized interest and penalties totaling $0, $62, and $110, respectively. At December 31, 2017 and 2016, accrued interest aggregated $481 and $693, respectively, and accrued penalties aggregated $93 and $171, respectively. As of December 31, 2017 and 2016, all unrecognized tax benefits and the related interest and penalties, if recognized, would favorably affect our effective tax rate.</w:t>
      </w:r>
    </w:p>
    <w:p>
      <w:pPr>
        <w:spacing w:after="0" w:line="16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do not anticipate that total unrecognized tax benefits will change significantly due to the settlement of audits, expiration of statutes of limitations, or other reasons in the next twelve months.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EMPLOYEE BENEFIT PLAN</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We have a contributory profit-sharing and employee savings plan covering all qualified employees. No contributions to the profit-sharing element of the plan were made by us in 2017, 2016, or 2015. We made matching contributions to the employee savings element of such plan of $2,396, $2,320, and $2,034 in 2017, 2016, and 2015, respectively.</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COMMITMENTS AND CONTINGENCIES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We lease our corporate headquarters and an adjacent office facility from an entity controlled by our principal stockholders. The five-year operating lease for our corporate headquarters ends November 30, 2018 and has an option to renew for an additional five-year term. The operating lease for the adjacent facility began in August 2008 and has a ten-year term with the option to renew for two additional two-year terms. We also lease several other buildings from our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principal stockholders on a month-to-month basis. We believe that the above operating lease transactions were consummated on terms comparable to terms we could have obtained with unrelated third parties. In addition, we lease offices from unrelated parties with remaining terms of one to ten years.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aggregate minimum annual lease payments under these leases at December 31,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2"/>
              </w:rPr>
              <w:t>Related Parties</w:t>
            </w:r>
          </w:p>
        </w:tc>
        <w:tc>
          <w:tcPr>
            <w:tcW w:w="140" w:type="dxa"/>
            <w:vAlign w:val="bottom"/>
          </w:tcPr>
          <w:p>
            <w:pPr>
              <w:spacing w:after="0"/>
              <w:rPr>
                <w:sz w:val="14"/>
                <w:szCs w:val="14"/>
                <w:color w:val="auto"/>
              </w:rPr>
            </w:pPr>
          </w:p>
        </w:tc>
        <w:tc>
          <w:tcPr>
            <w:tcW w:w="620" w:type="dxa"/>
            <w:vAlign w:val="bottom"/>
          </w:tcPr>
          <w:p>
            <w:pPr>
              <w:jc w:val="right"/>
              <w:ind w:right="19"/>
              <w:spacing w:after="0"/>
              <w:rPr>
                <w:sz w:val="20"/>
                <w:szCs w:val="20"/>
                <w:color w:val="auto"/>
              </w:rPr>
            </w:pPr>
            <w:r>
              <w:rPr>
                <w:rFonts w:ascii="Arial" w:cs="Arial" w:eastAsia="Arial" w:hAnsi="Arial"/>
                <w:sz w:val="14"/>
                <w:szCs w:val="14"/>
                <w:b w:val="1"/>
                <w:bCs w:val="1"/>
                <w:color w:val="auto"/>
              </w:rPr>
              <w:t>Others</w:t>
            </w:r>
          </w:p>
        </w:tc>
        <w:tc>
          <w:tcPr>
            <w:tcW w:w="16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$ 3,363</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$ 4,665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3,269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3,269</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2,464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2,464</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60" w:type="dxa"/>
            <w:vAlign w:val="bottom"/>
            <w:shd w:val="clear" w:color="auto" w:fill="CCEEFF"/>
          </w:tcPr>
          <w:p>
            <w:pPr>
              <w:spacing w:after="0"/>
              <w:rPr>
                <w:sz w:val="18"/>
                <w:szCs w:val="18"/>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2023 and thereafter</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2,215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2,215</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Total rent expense aggregated $5,225, $4,753, and $4,904 for the years ended December 31, 2017, 2016, and 2015, respectively, under the terms of the operating leases described above. Such amounts included $1,647, $1,640, and $1,633 in 2017, 2016, and 2015, respectively, paid to related parties.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are subject to various legal proceedings and claims, including patent infringement claims, which have arisen during the ordinary course of business. In the opinion of management, the outcome of such matters is not expected to have a material effect on our business, financial position, results of operations, or cash flows.</w:t>
      </w:r>
    </w:p>
    <w:p>
      <w:pPr>
        <w:spacing w:after="0" w:line="18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record a liability when we believe that a loss is both probable and reasonably estimable. On a quarterly basis, we review each of these legal proceedings to determine whether it is probable, reasonably possible, or remote that a liability has been incurred and, if it is at least reasonably possible, whether a range of loss can be reasonably estimated. Significant judgment is required to determine both the likelihood of there being a loss and the estimated amount of such loss. Until the final resolution of such matters, there may be an exposure to loss in excess of the amount recorded, and such amounts could be material. We expense legal fees in the period in which they are incurred.</w:t>
      </w:r>
    </w:p>
    <w:p>
      <w:pPr>
        <w:spacing w:after="0" w:line="178"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We are subject to audits by states on sales and income taxes,employment matters, and other assessments. Additional liabilities for these and other audits could be assessed, and such outcomes could have a material negative impact on our financial position, results of operations, and cash flows.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OTHER RELATED-PARTY TRANSACTIONS</w:t>
      </w:r>
    </w:p>
    <w:p>
      <w:pPr>
        <w:spacing w:after="0" w:line="229"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As described in Note 10, we lease certain facilities from related parties. Other related-party transactions include the transactions summarized below. Related parties consist primarily of affiliated companies related to us through common ownership.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Sales of services to affiliated companies</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  151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  159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  177</w:t>
            </w:r>
          </w:p>
        </w:tc>
        <w:tc>
          <w:tcPr>
            <w:tcW w:w="80" w:type="dxa"/>
            <w:vAlign w:val="bottom"/>
          </w:tcPr>
          <w:p>
            <w:pPr>
              <w:spacing w:after="0"/>
              <w:rPr>
                <w:sz w:val="20"/>
                <w:szCs w:val="20"/>
                <w:color w:val="auto"/>
              </w:rPr>
            </w:pPr>
          </w:p>
        </w:tc>
      </w:tr>
    </w:tbl>
    <w:p>
      <w:pPr>
        <w:spacing w:after="0" w:line="19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SEGMENT AND RELATED DISCLOSURES</w:t>
      </w:r>
    </w:p>
    <w:p>
      <w:pPr>
        <w:spacing w:after="0" w:line="22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The internal reporting structure used by our chief operating decision maker (“CODM”) to assess performance and allocate resources determines the basis for our reportable operating segments. Our CODM is our Chief Executive Officer, and he evaluates operations and allocates resources based on a measure of operating income.</w:t>
      </w:r>
    </w:p>
    <w:p>
      <w:pPr>
        <w:spacing w:after="0" w:line="16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operations are organized under three reporting segments—the SMB segment, which serves primarily small- and medium-sized businesses; the Large Account segment, which serves primarily medium-to-large corporations; and the Public Sector segment, which serves primarily federal, state, and local government and educational institutions. In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addition, the Headquarters/Other group provides services in areas such as finance, human resources, information technology, marketing, and product management. Most of the operating costs associated with the Headquarters/Other group functions are charged to the operating segments based on their estimated usage of the underlying functions. We report these charges to the operating segments as “Allocations.” Certain headquarters costs relating to executive oversight and other fiduciary functions that are not allocated to the operating segments are included under the heading of Headquarters/Other in the tables below.</w:t>
      </w:r>
    </w:p>
    <w:p>
      <w:pPr>
        <w:spacing w:after="0" w:line="15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May 2016, we acquired Softmart. We have included the operating results for Softmart in our SMB and Large Account segments from May 27, 2016, the closing date of the acquisition. The external sales and operating results of Softmart since the date of acquisition were immaterial to our consolidated results.</w:t>
      </w:r>
    </w:p>
    <w:p>
      <w:pPr>
        <w:spacing w:after="0" w:line="181"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In October 2016, we acquired GlobalServe. We have included the operating results for GlobalServe in our Large Account segment from October 11, 2016, the closing date of the acquisition. The external sales and operating results of GlobalServe were immaterial to our consolidated results.</w:t>
      </w:r>
    </w:p>
    <w:p>
      <w:pPr>
        <w:spacing w:after="0" w:line="18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Net sales presented below exclude inter-segment product revenues. Segment information applicable to our reportable operating segments for the years ended December 31, 2017, 2016, and 2015 is shown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9"/>
          </w:tcPr>
          <w:p>
            <w:pPr>
              <w:ind w:left="6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Business Solutions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1,158,639</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1,091,182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1,040,586</w:t>
            </w:r>
          </w:p>
        </w:tc>
        <w:tc>
          <w:tcPr>
            <w:tcW w:w="4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Enterprise Solutions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1,131,823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1,011,990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961,013</w:t>
            </w:r>
          </w:p>
        </w:tc>
        <w:tc>
          <w:tcPr>
            <w:tcW w:w="4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Public Sector Solutions</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621,421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572,374</w:t>
            </w:r>
          </w:p>
        </w:tc>
        <w:tc>
          <w:tcPr>
            <w:tcW w:w="40" w:type="dxa"/>
            <w:vAlign w:val="bottom"/>
            <w:tcBorders>
              <w:bottom w:val="single" w:sz="8" w:color="CCEEFF"/>
            </w:tcBorders>
          </w:tcPr>
          <w:p>
            <w:pPr>
              <w:spacing w:after="0"/>
              <w:rPr>
                <w:sz w:val="18"/>
                <w:szCs w:val="18"/>
                <w:color w:val="auto"/>
              </w:rPr>
            </w:pPr>
          </w:p>
        </w:tc>
      </w:tr>
      <w:tr>
        <w:trPr>
          <w:trHeight w:val="230"/>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net sales</w:t>
            </w:r>
          </w:p>
        </w:tc>
        <w:tc>
          <w:tcPr>
            <w:tcW w:w="1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2,911,883</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2,692,592</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2,573,973</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3"/>
        </w:trPr>
        <w:tc>
          <w:tcPr>
            <w:tcW w:w="4320" w:type="dxa"/>
            <w:vAlign w:val="bottom"/>
          </w:tcPr>
          <w:p>
            <w:pPr>
              <w:spacing w:after="0" w:line="203" w:lineRule="exact"/>
              <w:rPr>
                <w:sz w:val="20"/>
                <w:szCs w:val="20"/>
                <w:color w:val="auto"/>
              </w:rPr>
            </w:pPr>
            <w:r>
              <w:rPr>
                <w:rFonts w:ascii="Arial" w:cs="Arial" w:eastAsia="Arial" w:hAnsi="Arial"/>
                <w:sz w:val="18"/>
                <w:szCs w:val="18"/>
                <w:b w:val="1"/>
                <w:bCs w:val="1"/>
                <w:color w:val="auto"/>
              </w:rPr>
              <w:t>Operating income (loss):</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40,425</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42,855</w:t>
            </w: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Large Account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41,234</w:t>
            </w:r>
          </w:p>
        </w:tc>
        <w:tc>
          <w:tcPr>
            <w:tcW w:w="4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Headquarters/Other</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(14,014)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(12,414)</w:t>
            </w:r>
          </w:p>
        </w:tc>
      </w:tr>
      <w:tr>
        <w:trPr>
          <w:trHeight w:val="210"/>
        </w:trPr>
        <w:tc>
          <w:tcPr>
            <w:tcW w:w="4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income</w:t>
            </w:r>
          </w:p>
        </w:tc>
        <w:tc>
          <w:tcPr>
            <w:tcW w:w="1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77,527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 (expense)</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40" w:type="dxa"/>
            <w:vAlign w:val="bottom"/>
            <w:tcBorders>
              <w:bottom w:val="single" w:sz="8" w:color="CCEEFF"/>
            </w:tcBorders>
          </w:tcPr>
          <w:p>
            <w:pPr>
              <w:spacing w:after="0"/>
              <w:rPr>
                <w:sz w:val="18"/>
                <w:szCs w:val="18"/>
                <w:color w:val="auto"/>
              </w:rPr>
            </w:pPr>
          </w:p>
        </w:tc>
      </w:tr>
      <w:tr>
        <w:trPr>
          <w:trHeight w:val="230"/>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before taxes</w:t>
            </w:r>
          </w:p>
        </w:tc>
        <w:tc>
          <w:tcPr>
            <w:tcW w:w="1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77,625</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80,453</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78,467</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3"/>
        </w:trPr>
        <w:tc>
          <w:tcPr>
            <w:tcW w:w="4320" w:type="dxa"/>
            <w:vAlign w:val="bottom"/>
          </w:tcPr>
          <w:p>
            <w:pPr>
              <w:spacing w:after="0" w:line="203" w:lineRule="exact"/>
              <w:rPr>
                <w:sz w:val="20"/>
                <w:szCs w:val="20"/>
                <w:color w:val="auto"/>
              </w:rPr>
            </w:pPr>
            <w:r>
              <w:rPr>
                <w:rFonts w:ascii="Arial" w:cs="Arial" w:eastAsia="Arial" w:hAnsi="Arial"/>
                <w:sz w:val="18"/>
                <w:szCs w:val="18"/>
                <w:b w:val="1"/>
                <w:bCs w:val="1"/>
                <w:color w:val="auto"/>
              </w:rPr>
              <w:t>Selected operating expense:</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Business Solutions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Enterprise Solutions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Public Sector Solutions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Headquarters/Other</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40" w:type="dxa"/>
            <w:vAlign w:val="bottom"/>
            <w:shd w:val="clear" w:color="auto" w:fill="CCEEFF"/>
          </w:tcPr>
          <w:p>
            <w:pPr>
              <w:spacing w:after="0"/>
              <w:rPr>
                <w:sz w:val="18"/>
                <w:szCs w:val="18"/>
                <w:color w:val="auto"/>
              </w:rPr>
            </w:pPr>
          </w:p>
        </w:tc>
      </w:tr>
      <w:tr>
        <w:trPr>
          <w:trHeight w:val="217"/>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depreciation and amortization</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w:t>
            </w:r>
          </w:p>
        </w:tc>
        <w:tc>
          <w:tcPr>
            <w:tcW w:w="40" w:type="dxa"/>
            <w:vAlign w:val="bottom"/>
            <w:tcBorders>
              <w:bottom w:val="single" w:sz="8" w:color="CCEEFF"/>
            </w:tcBorders>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Business Solutions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249,064</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240,665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Enterprise Solutions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Public Sector Solutions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95,278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Headquarters/Other</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7"/>
        </w:trPr>
        <w:tc>
          <w:tcPr>
            <w:tcW w:w="43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747,851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assets of our operating segments presented above consist primarily of accounts receivable, net intercompany receivable, goodwill, and other intangibles. Goodwill of $66,236 and $7,366 is held by our Large Account and SMB segments, respectively, as of December 31, 2017. Assets reported under the Headquarters/Other group are managed by corporate headquarters, including cash, inventory, property and equipment and intercompany balance, net. Total assets for the Headquarters/Other group are presented net of intercompany balances eliminations of $29,731 and $49,937 for the years ended December 31, 2017 and 2016, respectively. Our capital expenditures consist largely of IT hardware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99"/>
        <w:spacing w:after="0" w:line="342" w:lineRule="auto"/>
        <w:rPr>
          <w:sz w:val="20"/>
          <w:szCs w:val="20"/>
          <w:color w:val="auto"/>
        </w:rPr>
      </w:pPr>
      <w:r>
        <w:rPr>
          <w:rFonts w:ascii="Arial" w:cs="Arial" w:eastAsia="Arial" w:hAnsi="Arial"/>
          <w:sz w:val="16"/>
          <w:szCs w:val="16"/>
          <w:color w:val="auto"/>
        </w:rPr>
        <w:t>software purchased to maintain or upgrade our management information systems. These systems serve all of our subsidiaries, to varying degrees, and as a result, our CODM does not evaluate capital expenditures on a segment basis.</w:t>
      </w:r>
    </w:p>
    <w:p>
      <w:pPr>
        <w:spacing w:after="0" w:line="2" w:lineRule="exact"/>
        <w:rPr>
          <w:sz w:val="20"/>
          <w:szCs w:val="20"/>
          <w:color w:val="auto"/>
        </w:rPr>
      </w:pPr>
    </w:p>
    <w:p>
      <w:pPr>
        <w:ind w:right="59" w:firstLine="324"/>
        <w:spacing w:after="0" w:line="255" w:lineRule="auto"/>
        <w:rPr>
          <w:sz w:val="20"/>
          <w:szCs w:val="20"/>
          <w:color w:val="auto"/>
        </w:rPr>
      </w:pPr>
      <w:r>
        <w:rPr>
          <w:rFonts w:ascii="Arial" w:cs="Arial" w:eastAsia="Arial" w:hAnsi="Arial"/>
          <w:sz w:val="18"/>
          <w:szCs w:val="18"/>
          <w:color w:val="auto"/>
        </w:rPr>
        <w:t>Substantially, all of our sales in 2017, 2016, and 2015 were made to customers located in the United States. Shipments to customers located in foreign countries were not more than 1% of total net sales in 2017, 2016, and 2015. All of our assets at December 31, 2017 and 2016 were located in the United States. Our primary target customers are SMBs, federal, state, and local government agencies, educational institutions, and medium-to-large corporate accounts. No single customer accounted for more than 3% of total net sales in 2017, 2016, or 2015. While no single agency of the federal government comprised more than 3% of total sales, aggregate sales to the federal government were 7.8%, 7.5%, and 6.7% in 2017, 2016, and 2015, respectively.</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hanging="457"/>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RESULTS (UNAUDITED)</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following table sets forth certain unaudited quarterly data of the Company for each of the calendar quarters in 2017 and 2016. This information has been prepared on the same basis as the annual financial statements, and all necessary adjustments, consisting only of normal recurring adjustments, have been included in the amounts stated below to present fairly the selected quarterly information when read in conjunction with the annual financial statements and the notes thereto included elsewhere in this document. The quarterly operating results are not necessarily indicative of future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Quarters Ended</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4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12"/>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w w:val="96"/>
              </w:rPr>
              <w:t>June 30,</w:t>
            </w:r>
          </w:p>
        </w:tc>
        <w:tc>
          <w:tcPr>
            <w:tcW w:w="16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40" w:type="dxa"/>
            <w:vAlign w:val="bottom"/>
          </w:tcPr>
          <w:p>
            <w:pPr>
              <w:spacing w:after="0"/>
              <w:rPr>
                <w:sz w:val="10"/>
                <w:szCs w:val="10"/>
                <w:color w:val="auto"/>
              </w:rPr>
            </w:pPr>
          </w:p>
        </w:tc>
        <w:tc>
          <w:tcPr>
            <w:tcW w:w="8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0" w:type="dxa"/>
            <w:vAlign w:val="bottom"/>
          </w:tcPr>
          <w:p>
            <w:pPr>
              <w:spacing w:after="0"/>
              <w:rPr>
                <w:sz w:val="10"/>
                <w:szCs w:val="10"/>
                <w:color w:val="auto"/>
              </w:rPr>
            </w:pPr>
          </w:p>
        </w:tc>
      </w:tr>
      <w:tr>
        <w:trPr>
          <w:trHeight w:val="171"/>
        </w:trPr>
        <w:tc>
          <w:tcPr>
            <w:tcW w:w="42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670,594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749,792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729,230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762,267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583,861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650,122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633,087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662,737</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75,281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77,230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77,634</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 (expense)</w:t>
            </w:r>
          </w:p>
        </w:tc>
        <w:tc>
          <w:tcPr>
            <w:tcW w:w="8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8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(1,251)</w:t>
            </w:r>
          </w:p>
        </w:tc>
        <w:tc>
          <w:tcPr>
            <w:tcW w:w="40" w:type="dxa"/>
            <w:vAlign w:val="bottom"/>
            <w:tcBorders>
              <w:bottom w:val="single" w:sz="8" w:color="CCEEFF"/>
            </w:tcBorders>
          </w:tcPr>
          <w:p>
            <w:pPr>
              <w:spacing w:after="0"/>
              <w:rPr>
                <w:sz w:val="18"/>
                <w:szCs w:val="18"/>
                <w:color w:val="auto"/>
              </w:rPr>
            </w:pPr>
          </w:p>
        </w:tc>
      </w:tr>
      <w:tr>
        <w:trPr>
          <w:trHeight w:val="230"/>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13,117</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20,723</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r>
      <w:tr>
        <w:trPr>
          <w:trHeight w:val="203"/>
        </w:trPr>
        <w:tc>
          <w:tcPr>
            <w:tcW w:w="4280" w:type="dxa"/>
            <w:vAlign w:val="bottom"/>
          </w:tcPr>
          <w:p>
            <w:pPr>
              <w:spacing w:after="0" w:line="203" w:lineRule="exact"/>
              <w:rPr>
                <w:sz w:val="20"/>
                <w:szCs w:val="20"/>
                <w:color w:val="auto"/>
              </w:rPr>
            </w:pPr>
            <w:r>
              <w:rPr>
                <w:rFonts w:ascii="Arial" w:cs="Arial" w:eastAsia="Arial" w:hAnsi="Arial"/>
                <w:sz w:val="18"/>
                <w:szCs w:val="18"/>
                <w:color w:val="auto"/>
              </w:rPr>
              <w:t>Earnings per common share:</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Diluted</w:t>
            </w:r>
          </w:p>
        </w:tc>
        <w:tc>
          <w:tcPr>
            <w:tcW w:w="86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0.28</w:t>
            </w: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0.51</w:t>
            </w: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0.49</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0.77</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26,822</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26,866</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26,893</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26,899</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26,907</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r>
      <w:tr>
        <w:trPr>
          <w:trHeight w:val="378"/>
        </w:trPr>
        <w:tc>
          <w:tcPr>
            <w:tcW w:w="4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Quarters Ended</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9"/>
        </w:trPr>
        <w:tc>
          <w:tcPr>
            <w:tcW w:w="4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w w:val="96"/>
              </w:rPr>
              <w:t>June 30,</w:t>
            </w:r>
          </w:p>
        </w:tc>
        <w:tc>
          <w:tcPr>
            <w:tcW w:w="16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40" w:type="dxa"/>
            <w:vAlign w:val="bottom"/>
          </w:tcPr>
          <w:p>
            <w:pPr>
              <w:spacing w:after="0"/>
              <w:rPr>
                <w:sz w:val="10"/>
                <w:szCs w:val="10"/>
                <w:color w:val="auto"/>
              </w:rPr>
            </w:pPr>
          </w:p>
        </w:tc>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gridSpan w:val="2"/>
          </w:tcPr>
          <w:p>
            <w:pPr>
              <w:spacing w:after="0"/>
              <w:rPr>
                <w:sz w:val="10"/>
                <w:szCs w:val="10"/>
                <w:color w:val="auto"/>
              </w:rPr>
            </w:pPr>
          </w:p>
        </w:tc>
      </w:tr>
      <w:tr>
        <w:trPr>
          <w:trHeight w:val="171"/>
        </w:trPr>
        <w:tc>
          <w:tcPr>
            <w:tcW w:w="42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572,394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676,165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708,485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735,548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490,201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582,291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611,518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637,425</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72,864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74,522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76,222</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8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(8,890)</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30"/>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12,458</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12,997</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r>
      <w:tr>
        <w:trPr>
          <w:trHeight w:val="203"/>
        </w:trPr>
        <w:tc>
          <w:tcPr>
            <w:tcW w:w="4280" w:type="dxa"/>
            <w:vAlign w:val="bottom"/>
          </w:tcPr>
          <w:p>
            <w:pPr>
              <w:spacing w:after="0" w:line="203" w:lineRule="exact"/>
              <w:rPr>
                <w:sz w:val="20"/>
                <w:szCs w:val="20"/>
                <w:color w:val="auto"/>
              </w:rPr>
            </w:pPr>
            <w:r>
              <w:rPr>
                <w:rFonts w:ascii="Arial" w:cs="Arial" w:eastAsia="Arial" w:hAnsi="Arial"/>
                <w:sz w:val="18"/>
                <w:szCs w:val="18"/>
                <w:color w:val="auto"/>
              </w:rPr>
              <w:t>Earnings per common share:</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Diluted</w:t>
            </w:r>
          </w:p>
        </w:tc>
        <w:tc>
          <w:tcPr>
            <w:tcW w:w="8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0.51</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0.49</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26,569</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26,671</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26,738</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Charged to</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Deductions/</w:t>
            </w:r>
          </w:p>
        </w:tc>
        <w:tc>
          <w:tcPr>
            <w:tcW w:w="20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Costs and</w:t>
            </w: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of Period</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Expenses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Write-Offs</w:t>
            </w:r>
          </w:p>
        </w:tc>
        <w:tc>
          <w:tcPr>
            <w:tcW w:w="20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88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6"/>
              </w:rPr>
              <w:t>Description</w:t>
            </w:r>
          </w:p>
        </w:tc>
        <w:tc>
          <w:tcPr>
            <w:tcW w:w="312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Allowance for Sales Returns</w:t>
            </w:r>
          </w:p>
        </w:tc>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Year Ended December 31, 2016</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3,235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32,909</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Year Ended December 31, 2015</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2,135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Year Ended December 31, 2017</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2,310</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1,658</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21.1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CORPORATE ORGANIZATIONAL STRUCTURE:</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PC Connection, Inc., a Delaware corporation, is the parent company of the following wholly-owned subsidiaries:</w:t>
      </w:r>
    </w:p>
    <w:p>
      <w:pPr>
        <w:spacing w:after="0" w:line="156" w:lineRule="exact"/>
        <w:rPr>
          <w:sz w:val="20"/>
          <w:szCs w:val="20"/>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PC Connection Sales Corporation, a Delaware corporation.</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GovConnection, Inc., a Maryland corporation.</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MoreDirect, Inc., a Florida corporation.</w:t>
      </w:r>
    </w:p>
    <w:p>
      <w:pPr>
        <w:spacing w:after="0" w:line="144" w:lineRule="exact"/>
        <w:rPr>
          <w:rFonts w:ascii="Arial" w:cs="Arial" w:eastAsia="Arial" w:hAnsi="Arial"/>
          <w:sz w:val="18"/>
          <w:szCs w:val="18"/>
          <w:color w:val="auto"/>
        </w:rPr>
      </w:pPr>
    </w:p>
    <w:p>
      <w:pPr>
        <w:ind w:left="700" w:hanging="373"/>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GlobalServe,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We consent to the incorporation by reference in Registration Statement Nos. 333-209915, 333-202642, 333-194458, 333-187061, and 333-179797, on Form S-8 of our reports dated March 9, 2018, relating to the financial statements and financial statement schedule of PC Connection, Inc., and the effectiveness of PC Connection, Inc.’s internal control over financial reporting, appearing in this Annual Report on Form 10-K of PC Connection, Inc. for the year ended December 31,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3" w:lineRule="auto"/>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253365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Timothy McGrath, certify that:</w:t>
      </w:r>
    </w:p>
    <w:p>
      <w:pPr>
        <w:spacing w:after="0" w:line="144" w:lineRule="exact"/>
        <w:rPr>
          <w:sz w:val="20"/>
          <w:szCs w:val="20"/>
          <w:color w:val="auto"/>
        </w:rPr>
      </w:pPr>
    </w:p>
    <w:p>
      <w:pPr>
        <w:ind w:left="860" w:hanging="425"/>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PC Connection, Inc.;</w:t>
      </w:r>
    </w:p>
    <w:p>
      <w:pPr>
        <w:spacing w:after="0" w:line="144" w:lineRule="exact"/>
        <w:rPr>
          <w:rFonts w:ascii="Arial" w:cs="Arial" w:eastAsia="Arial" w:hAnsi="Arial"/>
          <w:sz w:val="18"/>
          <w:szCs w:val="18"/>
          <w:color w:val="auto"/>
        </w:rPr>
      </w:pPr>
    </w:p>
    <w:p>
      <w:pPr>
        <w:ind w:left="860" w:right="180" w:hanging="425"/>
        <w:spacing w:after="0" w:line="224"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860" w:right="20" w:hanging="425"/>
        <w:spacing w:after="0" w:line="224"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860" w:right="80" w:hanging="425"/>
        <w:spacing w:after="0" w:line="259"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1440" w:right="20" w:hanging="438"/>
        <w:spacing w:after="0" w:line="219" w:lineRule="auto"/>
        <w:tabs>
          <w:tab w:leader="none" w:pos="14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440" w:right="20" w:hanging="438"/>
        <w:spacing w:after="0" w:line="219" w:lineRule="auto"/>
        <w:tabs>
          <w:tab w:leader="none" w:pos="14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440" w:right="120" w:hanging="438"/>
        <w:spacing w:after="0" w:line="224" w:lineRule="auto"/>
        <w:tabs>
          <w:tab w:leader="none" w:pos="14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440" w:right="60" w:hanging="438"/>
        <w:spacing w:after="0" w:line="219" w:lineRule="auto"/>
        <w:tabs>
          <w:tab w:leader="none" w:pos="14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880" w:right="220" w:hanging="437"/>
        <w:spacing w:after="0" w:line="224" w:lineRule="auto"/>
        <w:tabs>
          <w:tab w:leader="none" w:pos="8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440" w:right="260" w:hanging="438"/>
        <w:spacing w:after="0" w:line="224" w:lineRule="auto"/>
        <w:tabs>
          <w:tab w:leader="none" w:pos="14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440" w:right="40" w:hanging="438"/>
        <w:spacing w:after="0" w:line="235" w:lineRule="auto"/>
        <w:tabs>
          <w:tab w:leader="none" w:pos="14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9, 2018</w:t>
      </w:r>
      <w:r>
        <w:rPr>
          <w:sz w:val="20"/>
          <w:szCs w:val="20"/>
          <w:color w:val="auto"/>
        </w:rPr>
        <w:tab/>
      </w:r>
      <w:r>
        <w:rPr>
          <w:rFonts w:ascii="Arial" w:cs="Arial" w:eastAsia="Arial" w:hAnsi="Arial"/>
          <w:sz w:val="17"/>
          <w:szCs w:val="17"/>
          <w:color w:val="auto"/>
        </w:rPr>
        <w:t>/S/ TIMOTHY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6350</wp:posOffset>
            </wp:positionV>
            <wp:extent cx="28384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3">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jc w:val="center"/>
        <w:ind w:left="4600"/>
        <w:spacing w:after="0" w:line="197" w:lineRule="auto"/>
        <w:rPr>
          <w:sz w:val="20"/>
          <w:szCs w:val="20"/>
          <w:color w:val="auto"/>
        </w:rPr>
      </w:pPr>
      <w:r>
        <w:rPr>
          <w:rFonts w:ascii="Arial" w:cs="Arial" w:eastAsia="Arial" w:hAnsi="Arial"/>
          <w:sz w:val="14"/>
          <w:szCs w:val="14"/>
          <w:b w:val="1"/>
          <w:bCs w:val="1"/>
          <w:color w:val="auto"/>
        </w:rPr>
        <w:t>Timothy McGrath</w:t>
      </w:r>
    </w:p>
    <w:p>
      <w:pPr>
        <w:jc w:val="center"/>
        <w:ind w:left="4600"/>
        <w:spacing w:after="0"/>
        <w:rPr>
          <w:sz w:val="20"/>
          <w:szCs w:val="20"/>
          <w:color w:val="auto"/>
        </w:rPr>
      </w:pPr>
      <w:r>
        <w:rPr>
          <w:rFonts w:ascii="Arial" w:cs="Arial" w:eastAsia="Arial" w:hAnsi="Arial"/>
          <w:sz w:val="14"/>
          <w:szCs w:val="14"/>
          <w:b w:val="1"/>
          <w:bCs w:val="1"/>
          <w:color w:val="auto"/>
        </w:rPr>
        <w:t>President and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G. William Schulze, certify that:</w:t>
      </w:r>
    </w:p>
    <w:p>
      <w:pPr>
        <w:spacing w:after="0" w:line="144" w:lineRule="exact"/>
        <w:rPr>
          <w:sz w:val="20"/>
          <w:szCs w:val="20"/>
          <w:color w:val="auto"/>
        </w:rPr>
      </w:pPr>
    </w:p>
    <w:p>
      <w:pPr>
        <w:ind w:left="860" w:hanging="425"/>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PC Connection, Inc.;</w:t>
      </w:r>
    </w:p>
    <w:p>
      <w:pPr>
        <w:spacing w:after="0" w:line="144" w:lineRule="exact"/>
        <w:rPr>
          <w:rFonts w:ascii="Arial" w:cs="Arial" w:eastAsia="Arial" w:hAnsi="Arial"/>
          <w:sz w:val="18"/>
          <w:szCs w:val="18"/>
          <w:color w:val="auto"/>
        </w:rPr>
      </w:pPr>
    </w:p>
    <w:p>
      <w:pPr>
        <w:ind w:left="860" w:right="180" w:hanging="425"/>
        <w:spacing w:after="0" w:line="224"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860" w:right="20" w:hanging="425"/>
        <w:spacing w:after="0" w:line="224"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860" w:right="80" w:hanging="425"/>
        <w:spacing w:after="0" w:line="259"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1420" w:right="40" w:hanging="512"/>
        <w:spacing w:after="0" w:line="219"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420" w:right="40" w:hanging="512"/>
        <w:spacing w:after="0" w:line="219"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420" w:right="140" w:hanging="512"/>
        <w:spacing w:after="0" w:line="224"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420" w:right="60" w:hanging="512"/>
        <w:spacing w:after="0" w:line="219"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880" w:right="220" w:hanging="437"/>
        <w:spacing w:after="0" w:line="224" w:lineRule="auto"/>
        <w:tabs>
          <w:tab w:leader="none" w:pos="8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420" w:right="280" w:hanging="512"/>
        <w:spacing w:after="0" w:line="224"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420" w:right="60" w:hanging="512"/>
        <w:spacing w:after="0" w:line="235"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March 9, 2018</w:t>
      </w:r>
      <w:r>
        <w:rPr>
          <w:sz w:val="20"/>
          <w:szCs w:val="20"/>
          <w:color w:val="auto"/>
        </w:rPr>
        <w:tab/>
      </w:r>
      <w:r>
        <w:rPr>
          <w:rFonts w:ascii="Arial" w:cs="Arial" w:eastAsia="Arial" w:hAnsi="Arial"/>
          <w:sz w:val="17"/>
          <w:szCs w:val="17"/>
          <w:color w:val="auto"/>
        </w:rPr>
        <w:t>/S/ G. WILLIAM SCHULZE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jc w:val="center"/>
        <w:ind w:left="4540"/>
        <w:spacing w:after="0" w:line="197" w:lineRule="auto"/>
        <w:rPr>
          <w:sz w:val="20"/>
          <w:szCs w:val="20"/>
          <w:color w:val="auto"/>
        </w:rPr>
      </w:pPr>
      <w:r>
        <w:rPr>
          <w:rFonts w:ascii="Arial" w:cs="Arial" w:eastAsia="Arial" w:hAnsi="Arial"/>
          <w:sz w:val="14"/>
          <w:szCs w:val="14"/>
          <w:b w:val="1"/>
          <w:bCs w:val="1"/>
          <w:color w:val="auto"/>
        </w:rPr>
        <w:t>G. William Schulze</w:t>
      </w:r>
    </w:p>
    <w:p>
      <w:pPr>
        <w:jc w:val="center"/>
        <w:ind w:left="4540"/>
        <w:spacing w:after="0" w:line="212" w:lineRule="auto"/>
        <w:rPr>
          <w:sz w:val="20"/>
          <w:szCs w:val="20"/>
          <w:color w:val="auto"/>
        </w:rPr>
      </w:pPr>
      <w:r>
        <w:rPr>
          <w:rFonts w:ascii="Arial" w:cs="Arial" w:eastAsia="Arial" w:hAnsi="Arial"/>
          <w:sz w:val="12"/>
          <w:szCs w:val="12"/>
          <w:b w:val="1"/>
          <w:bCs w:val="1"/>
          <w:color w:val="auto"/>
        </w:rPr>
        <w:t>Vice President, Interim Treasurer and Chief Financial Officer (Principal</w:t>
      </w:r>
    </w:p>
    <w:p>
      <w:pPr>
        <w:jc w:val="center"/>
        <w:ind w:left="4540"/>
        <w:spacing w:after="0"/>
        <w:rPr>
          <w:sz w:val="20"/>
          <w:szCs w:val="20"/>
          <w:color w:val="auto"/>
        </w:rPr>
      </w:pPr>
      <w:r>
        <w:rPr>
          <w:rFonts w:ascii="Arial" w:cs="Arial" w:eastAsia="Arial" w:hAnsi="Arial"/>
          <w:sz w:val="14"/>
          <w:szCs w:val="14"/>
          <w:b w:val="1"/>
          <w:bCs w:val="1"/>
          <w:color w:val="auto"/>
        </w:rPr>
        <w:t>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240030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jc w:val="center"/>
        <w:spacing w:after="0" w:line="40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ind w:right="420" w:firstLine="441"/>
        <w:spacing w:after="0" w:line="219" w:lineRule="auto"/>
        <w:rPr>
          <w:sz w:val="20"/>
          <w:szCs w:val="20"/>
          <w:color w:val="auto"/>
        </w:rPr>
      </w:pPr>
      <w:r>
        <w:rPr>
          <w:rFonts w:ascii="Arial" w:cs="Arial" w:eastAsia="Arial" w:hAnsi="Arial"/>
          <w:sz w:val="18"/>
          <w:szCs w:val="18"/>
          <w:color w:val="auto"/>
        </w:rPr>
        <w:t>In connection with the annual report on Form 10-K of PC Connection, Inc. (the “Company”) for the year ended December 31, 2017 as filed with the Securities and Exchange Commission on the date hereof (the “Report”), the undersigned, Timothy McGrath, President and Chief Executive Officer of the Company, hereby certifies, pursuant to 18 U.S.C. Section 1350, that to the best of his knowledge:</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28" w:lineRule="exact"/>
        <w:rPr>
          <w:sz w:val="20"/>
          <w:szCs w:val="20"/>
          <w:color w:val="auto"/>
        </w:rPr>
      </w:pPr>
    </w:p>
    <w:p>
      <w:pPr>
        <w:ind w:firstLine="444"/>
        <w:spacing w:after="0" w:line="235" w:lineRule="auto"/>
        <w:tabs>
          <w:tab w:leader="none" w:pos="6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Date: March 9, 2018</w:t>
      </w:r>
      <w:r>
        <w:rPr>
          <w:sz w:val="20"/>
          <w:szCs w:val="20"/>
          <w:color w:val="auto"/>
        </w:rPr>
        <w:tab/>
      </w:r>
      <w:r>
        <w:rPr>
          <w:rFonts w:ascii="Arial" w:cs="Arial" w:eastAsia="Arial" w:hAnsi="Arial"/>
          <w:sz w:val="17"/>
          <w:szCs w:val="17"/>
          <w:color w:val="auto"/>
        </w:rPr>
        <w:t>/S/ TIMOTHY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jc w:val="center"/>
        <w:ind w:left="4540"/>
        <w:spacing w:after="0" w:line="197" w:lineRule="auto"/>
        <w:rPr>
          <w:sz w:val="20"/>
          <w:szCs w:val="20"/>
          <w:color w:val="auto"/>
        </w:rPr>
      </w:pPr>
      <w:r>
        <w:rPr>
          <w:rFonts w:ascii="Arial" w:cs="Arial" w:eastAsia="Arial" w:hAnsi="Arial"/>
          <w:sz w:val="14"/>
          <w:szCs w:val="14"/>
          <w:b w:val="1"/>
          <w:bCs w:val="1"/>
          <w:color w:val="auto"/>
        </w:rPr>
        <w:t>Timothy McGrath</w:t>
      </w:r>
    </w:p>
    <w:p>
      <w:pPr>
        <w:jc w:val="center"/>
        <w:ind w:left="4540"/>
        <w:spacing w:after="0"/>
        <w:rPr>
          <w:sz w:val="20"/>
          <w:szCs w:val="20"/>
          <w:color w:val="auto"/>
        </w:rPr>
      </w:pPr>
      <w:r>
        <w:rPr>
          <w:rFonts w:ascii="Arial" w:cs="Arial" w:eastAsia="Arial" w:hAnsi="Arial"/>
          <w:sz w:val="14"/>
          <w:szCs w:val="14"/>
          <w:b w:val="1"/>
          <w:bCs w:val="1"/>
          <w:color w:val="auto"/>
        </w:rPr>
        <w:t>President and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240665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jc w:val="center"/>
        <w:spacing w:after="0" w:line="40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ind w:right="500" w:firstLine="441"/>
        <w:spacing w:after="0" w:line="219" w:lineRule="auto"/>
        <w:rPr>
          <w:sz w:val="20"/>
          <w:szCs w:val="20"/>
          <w:color w:val="auto"/>
        </w:rPr>
      </w:pPr>
      <w:r>
        <w:rPr>
          <w:rFonts w:ascii="Arial" w:cs="Arial" w:eastAsia="Arial" w:hAnsi="Arial"/>
          <w:sz w:val="18"/>
          <w:szCs w:val="18"/>
          <w:color w:val="auto"/>
        </w:rPr>
        <w:t>In connection with the annual report on Form 10-K of PC Connection, Inc. (the “Company”) for the year ended December 31, 2017 as filed with the Securities and Exchange Commission on the date hereof (the “Report”), the undersigned, G. William Schulze, Vice President and Interim Chief Financial Officer of the Company, hereby certifies, pursuant to 18 U.S.C. Section 1350, that to the best of his knowledge:</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28" w:lineRule="exact"/>
        <w:rPr>
          <w:sz w:val="20"/>
          <w:szCs w:val="20"/>
          <w:color w:val="auto"/>
        </w:rPr>
      </w:pPr>
    </w:p>
    <w:p>
      <w:pPr>
        <w:ind w:firstLine="444"/>
        <w:spacing w:after="0" w:line="235" w:lineRule="auto"/>
        <w:tabs>
          <w:tab w:leader="none" w:pos="6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March 9, 2018</w:t>
      </w:r>
      <w:r>
        <w:rPr>
          <w:sz w:val="20"/>
          <w:szCs w:val="20"/>
          <w:color w:val="auto"/>
        </w:rPr>
        <w:tab/>
      </w:r>
      <w:r>
        <w:rPr>
          <w:rFonts w:ascii="Arial" w:cs="Arial" w:eastAsia="Arial" w:hAnsi="Arial"/>
          <w:sz w:val="17"/>
          <w:szCs w:val="17"/>
          <w:color w:val="auto"/>
        </w:rPr>
        <w:t>/S/ G. WILLIAM SCHULZE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jc w:val="center"/>
        <w:ind w:left="4540"/>
        <w:spacing w:after="0" w:line="197" w:lineRule="auto"/>
        <w:rPr>
          <w:sz w:val="20"/>
          <w:szCs w:val="20"/>
          <w:color w:val="auto"/>
        </w:rPr>
      </w:pPr>
      <w:r>
        <w:rPr>
          <w:rFonts w:ascii="Arial" w:cs="Arial" w:eastAsia="Arial" w:hAnsi="Arial"/>
          <w:sz w:val="14"/>
          <w:szCs w:val="14"/>
          <w:b w:val="1"/>
          <w:bCs w:val="1"/>
          <w:color w:val="auto"/>
        </w:rPr>
        <w:t>G. William Schulze</w:t>
      </w:r>
    </w:p>
    <w:p>
      <w:pPr>
        <w:jc w:val="center"/>
        <w:ind w:left="4540"/>
        <w:spacing w:after="0" w:line="212" w:lineRule="auto"/>
        <w:rPr>
          <w:sz w:val="20"/>
          <w:szCs w:val="20"/>
          <w:color w:val="auto"/>
        </w:rPr>
      </w:pPr>
      <w:r>
        <w:rPr>
          <w:rFonts w:ascii="Arial" w:cs="Arial" w:eastAsia="Arial" w:hAnsi="Arial"/>
          <w:sz w:val="12"/>
          <w:szCs w:val="12"/>
          <w:b w:val="1"/>
          <w:bCs w:val="1"/>
          <w:color w:val="auto"/>
        </w:rPr>
        <w:t>Vice President, Interim Treasurer and Chief Financial Officer (Principal</w:t>
      </w:r>
    </w:p>
    <w:p>
      <w:pPr>
        <w:jc w:val="center"/>
        <w:ind w:left="4540"/>
        <w:spacing w:after="0"/>
        <w:rPr>
          <w:sz w:val="20"/>
          <w:szCs w:val="20"/>
          <w:color w:val="auto"/>
        </w:rPr>
      </w:pPr>
      <w:r>
        <w:rPr>
          <w:rFonts w:ascii="Arial" w:cs="Arial" w:eastAsia="Arial" w:hAnsi="Arial"/>
          <w:sz w:val="14"/>
          <w:szCs w:val="14"/>
          <w:b w:val="1"/>
          <w:bCs w:val="1"/>
          <w:color w:val="auto"/>
        </w:rPr>
        <w:t>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240030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lowerRoman"/>
      <w:start w:val="2"/>
    </w:lvl>
    <w:lvl w:ilvl="1">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20"/>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lowerRoman"/>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2"/>
    </w:lvl>
  </w:abstractNum>
  <w:abstractNum w:abstractNumId="29">
    <w:nsid w:val="614FD4A1"/>
    <w:multiLevelType w:val="hybridMultilevel"/>
    <w:lvl w:ilvl="0">
      <w:lvlJc w:val="left"/>
      <w:lvlText w:val="%1."/>
      <w:numFmt w:val="decimal"/>
      <w:start w:val="3"/>
    </w:lvl>
  </w:abstractNum>
  <w:abstractNum w:abstractNumId="30">
    <w:nsid w:val="419AC241"/>
    <w:multiLevelType w:val="hybridMultilevel"/>
    <w:lvl w:ilvl="0">
      <w:lvlJc w:val="left"/>
      <w:lvlText w:val="%1."/>
      <w:numFmt w:val="decimal"/>
      <w:start w:val="7"/>
    </w:lvl>
  </w:abstractNum>
  <w:abstractNum w:abstractNumId="31">
    <w:nsid w:val="5577F8E1"/>
    <w:multiLevelType w:val="hybridMultilevel"/>
    <w:lvl w:ilvl="0">
      <w:lvlJc w:val="left"/>
      <w:lvlText w:val="%1."/>
      <w:numFmt w:val="decimal"/>
      <w:start w:val="8"/>
    </w:lvl>
  </w:abstractNum>
  <w:abstractNum w:abstractNumId="32">
    <w:nsid w:val="440BADFC"/>
    <w:multiLevelType w:val="hybridMultilevel"/>
    <w:lvl w:ilvl="0">
      <w:lvlJc w:val="left"/>
      <w:lvlText w:val="%1."/>
      <w:numFmt w:val="decimal"/>
      <w:start w:val="13"/>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2"/>
    </w:lvl>
  </w:abstractNum>
  <w:abstractNum w:abstractNumId="37">
    <w:nsid w:val="5C482A9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98" Type="http://schemas.openxmlformats.org/officeDocument/2006/relationships/image" Target="media/image48.png"/><Relationship Id="rId99" Type="http://schemas.openxmlformats.org/officeDocument/2006/relationships/image" Target="media/image49.png"/><Relationship Id="rId100" Type="http://schemas.openxmlformats.org/officeDocument/2006/relationships/image" Target="media/image50.png"/><Relationship Id="rId101" Type="http://schemas.openxmlformats.org/officeDocument/2006/relationships/image" Target="media/image51.png"/><Relationship Id="rId102" Type="http://schemas.openxmlformats.org/officeDocument/2006/relationships/image" Target="media/image52.png"/><Relationship Id="rId103" Type="http://schemas.openxmlformats.org/officeDocument/2006/relationships/image" Target="media/image53.png"/><Relationship Id="rId104" Type="http://schemas.openxmlformats.org/officeDocument/2006/relationships/image" Target="media/image54.png"/><Relationship Id="rId105" Type="http://schemas.openxmlformats.org/officeDocument/2006/relationships/image" Target="media/image55.png"/><Relationship Id="rId106" Type="http://schemas.openxmlformats.org/officeDocument/2006/relationships/image" Target="media/image56.png"/><Relationship Id="rId107" Type="http://schemas.openxmlformats.org/officeDocument/2006/relationships/image" Target="media/image57.png"/><Relationship Id="rId108" Type="http://schemas.openxmlformats.org/officeDocument/2006/relationships/image" Target="media/image58.png"/><Relationship Id="rId109" Type="http://schemas.openxmlformats.org/officeDocument/2006/relationships/image" Target="media/image59.png"/><Relationship Id="rId110" Type="http://schemas.openxmlformats.org/officeDocument/2006/relationships/image" Target="media/image60.png"/><Relationship Id="rId111" Type="http://schemas.openxmlformats.org/officeDocument/2006/relationships/image" Target="media/image61.png"/><Relationship Id="rId112" Type="http://schemas.openxmlformats.org/officeDocument/2006/relationships/image" Target="media/image62.png"/><Relationship Id="rId113" Type="http://schemas.openxmlformats.org/officeDocument/2006/relationships/image" Target="media/image63.png"/><Relationship Id="rId114" Type="http://schemas.openxmlformats.org/officeDocument/2006/relationships/image" Target="media/image64.png"/><Relationship Id="rId115" Type="http://schemas.openxmlformats.org/officeDocument/2006/relationships/image" Target="media/image65.png"/><Relationship Id="rId116" Type="http://schemas.openxmlformats.org/officeDocument/2006/relationships/image" Target="media/image66.png"/><Relationship Id="rId117" Type="http://schemas.openxmlformats.org/officeDocument/2006/relationships/image" Target="media/image67.png"/><Relationship Id="rId118" Type="http://schemas.openxmlformats.org/officeDocument/2006/relationships/image" Target="media/image68.png"/><Relationship Id="rId119" Type="http://schemas.openxmlformats.org/officeDocument/2006/relationships/image" Target="media/image69.png"/><Relationship Id="rId120" Type="http://schemas.openxmlformats.org/officeDocument/2006/relationships/image" Target="media/image70.png"/><Relationship Id="rId121" Type="http://schemas.openxmlformats.org/officeDocument/2006/relationships/image" Target="media/image71.png"/><Relationship Id="rId122" Type="http://schemas.openxmlformats.org/officeDocument/2006/relationships/image" Target="media/image72.png"/><Relationship Id="rId123" Type="http://schemas.openxmlformats.org/officeDocument/2006/relationships/image" Target="media/image73.png"/><Relationship Id="rId124" Type="http://schemas.openxmlformats.org/officeDocument/2006/relationships/image" Target="media/image74.png"/><Relationship Id="rId125" Type="http://schemas.openxmlformats.org/officeDocument/2006/relationships/image" Target="media/image75.png"/><Relationship Id="rId126" Type="http://schemas.openxmlformats.org/officeDocument/2006/relationships/image" Target="media/image76.png"/><Relationship Id="rId127" Type="http://schemas.openxmlformats.org/officeDocument/2006/relationships/image" Target="media/image77.png"/><Relationship Id="rId128" Type="http://schemas.openxmlformats.org/officeDocument/2006/relationships/image" Target="media/image78.png"/><Relationship Id="rId129" Type="http://schemas.openxmlformats.org/officeDocument/2006/relationships/image" Target="media/image79.png"/><Relationship Id="rId130"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33" Type="http://schemas.openxmlformats.org/officeDocument/2006/relationships/image" Target="media/image83.png"/><Relationship Id="rId134" Type="http://schemas.openxmlformats.org/officeDocument/2006/relationships/image" Target="media/image84.png"/><Relationship Id="rId135" Type="http://schemas.openxmlformats.org/officeDocument/2006/relationships/image" Target="media/image85.png"/><Relationship Id="rId136" Type="http://schemas.openxmlformats.org/officeDocument/2006/relationships/image" Target="media/image86.png"/><Relationship Id="rId137" Type="http://schemas.openxmlformats.org/officeDocument/2006/relationships/image" Target="media/image87.png"/><Relationship Id="rId138" Type="http://schemas.openxmlformats.org/officeDocument/2006/relationships/image" Target="media/image88.png"/><Relationship Id="rId139" Type="http://schemas.openxmlformats.org/officeDocument/2006/relationships/image" Target="media/image89.png"/><Relationship Id="rId140" Type="http://schemas.openxmlformats.org/officeDocument/2006/relationships/image" Target="media/image90.png"/><Relationship Id="rId55" Type="http://schemas.openxmlformats.org/officeDocument/2006/relationships/hyperlink" Target="http://www.sec.gov/Archives/edgar/data/1050377/000092701601501476/dex31.txt" TargetMode="External"/><Relationship Id="rId56" Type="http://schemas.openxmlformats.org/officeDocument/2006/relationships/hyperlink" Target="http://www.sec.gov/Archives/edgar/data/1050377/000119312508003930/dex31.htm" TargetMode="External"/><Relationship Id="rId57" Type="http://schemas.openxmlformats.org/officeDocument/2006/relationships/hyperlink" Target="http://www.sec.gov/Archives/edgar/data/1050377/0000927016-98-000712-index.html" TargetMode="External"/><Relationship Id="rId58" Type="http://schemas.openxmlformats.org/officeDocument/2006/relationships/hyperlink" Target="http://www.sec.gov/Archives/edgar/data/1050377/000092701601500225/ddef14a.txt" TargetMode="External"/><Relationship Id="rId59" Type="http://schemas.openxmlformats.org/officeDocument/2006/relationships/hyperlink" Target="http://www.sec.gov/Archives/edgar/data/1050377/000119312514212908/d733073dex991.htm" TargetMode="External"/><Relationship Id="rId60" Type="http://schemas.openxmlformats.org/officeDocument/2006/relationships/hyperlink" Target="http://www.sec.gov/Archives/edgar/data/1050377/000119312515196943/d931865dex991.htm" TargetMode="External"/><Relationship Id="rId61" Type="http://schemas.openxmlformats.org/officeDocument/2006/relationships/hyperlink" Target="http://www.sec.gov/Archives/edgar/data/1050377/000119312507178961/dex102.htm" TargetMode="External"/><Relationship Id="rId62" Type="http://schemas.openxmlformats.org/officeDocument/2006/relationships/hyperlink" Target="http://www.sec.gov/Archives/edgar/data/1050377/000119312507178961/dex103.htm" TargetMode="External"/><Relationship Id="rId63" Type="http://schemas.openxmlformats.org/officeDocument/2006/relationships/hyperlink" Target="http://www.sec.gov/Archives/edgar/data/1050377/000119312510256047/dex102.htm" TargetMode="External"/><Relationship Id="rId64" Type="http://schemas.openxmlformats.org/officeDocument/2006/relationships/hyperlink" Target="http://www.sec.gov/Archives/edgar/data/1050377/000119312510256047/dex101.htm" TargetMode="External"/><Relationship Id="rId65" Type="http://schemas.openxmlformats.org/officeDocument/2006/relationships/hyperlink" Target="http://www.sec.gov/Archives/edgar/data/1050377/000119312512343972/d357166dex102.htm" TargetMode="External"/><Relationship Id="rId66" Type="http://schemas.openxmlformats.org/officeDocument/2006/relationships/hyperlink" Target="http://www.sec.gov/Archives/edgar/data/1050377/000119312513239424/d545694dex992.htm" TargetMode="External"/><Relationship Id="rId67" Type="http://schemas.openxmlformats.org/officeDocument/2006/relationships/hyperlink" Target="http://www.sec.gov/Archives/edgar/data/1050377/0000927016-98-000090-index.html" TargetMode="External"/><Relationship Id="rId68" Type="http://schemas.openxmlformats.org/officeDocument/2006/relationships/hyperlink" Target="http://www.sec.gov/Archives/edgar/data/1050377/000119312508111793/dex102.htm" TargetMode="External"/><Relationship Id="rId69" Type="http://schemas.openxmlformats.org/officeDocument/2006/relationships/hyperlink" Target="http://www.sec.gov/Archives/edgar/data/1050377/000119312504053463/dex1046.htm" TargetMode="External"/><Relationship Id="rId70" Type="http://schemas.openxmlformats.org/officeDocument/2006/relationships/hyperlink" Target="http://www.sec.gov/Archives/edgar/data/1050377/000119312504053463/dex1047.htm" TargetMode="External"/><Relationship Id="rId71" Type="http://schemas.openxmlformats.org/officeDocument/2006/relationships/hyperlink" Target="http://www.sec.gov/Archives/edgar/data/1050377/000119312504053463/dex1048.htm" TargetMode="External"/><Relationship Id="rId72" Type="http://schemas.openxmlformats.org/officeDocument/2006/relationships/hyperlink" Target="http://www.sec.gov/Archives/edgar/data/1050377/000119312504053463/dex1051.htm" TargetMode="External"/><Relationship Id="rId73" Type="http://schemas.openxmlformats.org/officeDocument/2006/relationships/hyperlink" Target="http://www.sec.gov/Archives/edgar/data/1050377/000119312506068834/dex1015.htm" TargetMode="External"/><Relationship Id="rId74" Type="http://schemas.openxmlformats.org/officeDocument/2006/relationships/hyperlink" Target="http://www.sec.gov/Archives/edgar/data/1050377/000119312506068834/dex1016.htm" TargetMode="External"/><Relationship Id="rId75" Type="http://schemas.openxmlformats.org/officeDocument/2006/relationships/hyperlink" Target="http://www.sec.gov/Archives/edgar/data/1050377/000119312513089191/d418767dex1021.htm" TargetMode="External"/><Relationship Id="rId76" Type="http://schemas.openxmlformats.org/officeDocument/2006/relationships/hyperlink" Target="http://www.sec.gov/Archives/edgar/data/1050377/000119312513089191/d418767dex1022.htm" TargetMode="External"/><Relationship Id="rId77" Type="http://schemas.openxmlformats.org/officeDocument/2006/relationships/hyperlink" Target="http://www.sec.gov/Archives/edgar/data/1050377/000119312513089191/d418767dex1023.htm" TargetMode="External"/><Relationship Id="rId78" Type="http://schemas.openxmlformats.org/officeDocument/2006/relationships/hyperlink" Target="http://www.sec.gov/Archives/edgar/data/1050377/000155837017001339/pccc-20161231ex1022083ae.htm" TargetMode="External"/><Relationship Id="rId79" Type="http://schemas.openxmlformats.org/officeDocument/2006/relationships/hyperlink" Target="http://www.sec.gov/Archives/edgar/data/1050377/000155837017001339/pccc-20161231ex10233c4d3.htm" TargetMode="External"/><Relationship Id="rId80" Type="http://schemas.openxmlformats.org/officeDocument/2006/relationships/hyperlink" Target="http://www.sec.gov/Archives/edgar/data/1050377/000155837017001339/pccc-20161231ex1024377da.htm" TargetMode="External"/><Relationship Id="rId81" Type="http://schemas.openxmlformats.org/officeDocument/2006/relationships/hyperlink" Target="http://www.sec.gov/Archives/edgar/data/1050377/000155837017001339/pccc-20161231ex10259c88b.htm" TargetMode="External"/><Relationship Id="rId82" Type="http://schemas.openxmlformats.org/officeDocument/2006/relationships/hyperlink" Target="http://www.sec.gov/Archives/edgar/data/1050377/000119312512084856/d264253dex1025.htm" TargetMode="External"/><Relationship Id="rId83" Type="http://schemas.openxmlformats.org/officeDocument/2006/relationships/hyperlink" Target="http://www.sec.gov/Archives/edgar/data/1050377/000155837017001339/pccc-20161231ex10272d179.htm" TargetMode="External"/><Relationship Id="rId84" Type="http://schemas.openxmlformats.org/officeDocument/2006/relationships/hyperlink" Target="http://www.sec.gov/Archives/edgar/data/1050377/000155837017000638/pccc_ex101.htm" TargetMode="External"/><Relationship Id="rId85" Type="http://schemas.openxmlformats.org/officeDocument/2006/relationships/hyperlink" Target="http://www.sec.gov/Archives/edgar/data/1050377/0000927016-99-001264-index.html" TargetMode="External"/><Relationship Id="rId86" Type="http://schemas.openxmlformats.org/officeDocument/2006/relationships/hyperlink" Target="http://www.sec.gov/Archives/edgar/data/1050377/000119312509055199/dex1024.htm" TargetMode="External"/><Relationship Id="rId87" Type="http://schemas.openxmlformats.org/officeDocument/2006/relationships/hyperlink" Target="http://www.sec.gov/Archives/edgar/data/1050377/000119312514192488/d690703dex101.htm" TargetMode="External"/><Relationship Id="rId88" Type="http://schemas.openxmlformats.org/officeDocument/2006/relationships/hyperlink" Target="http://www.sec.gov/Archives/edgar/data/1050377/000119312508173406/dex101.htm" TargetMode="External"/><Relationship Id="rId89" Type="http://schemas.openxmlformats.org/officeDocument/2006/relationships/hyperlink" Target="http://www.sec.gov/Archives/edgar/data/1050377/000119312514392040/d783151dex101.htm" TargetMode="External"/><Relationship Id="rId90" Type="http://schemas.openxmlformats.org/officeDocument/2006/relationships/hyperlink" Target="http://www.sec.gov/Archives/edgar/data/1050377/000092701601001583/0000927016-01-001583-0006.txt" TargetMode="External"/><Relationship Id="rId91" Type="http://schemas.openxmlformats.org/officeDocument/2006/relationships/hyperlink" Target="http://www.sec.gov/Archives/edgar/data/1050377/000092701601001583/0000927016-01-001583-0007.txt" TargetMode="External"/><Relationship Id="rId92" Type="http://schemas.openxmlformats.org/officeDocument/2006/relationships/hyperlink" Target="http://www.sec.gov/Archives/edgar/data/1050377/000092701601001583/0000927016-01-001583-0008.txt" TargetMode="External"/><Relationship Id="rId93" Type="http://schemas.openxmlformats.org/officeDocument/2006/relationships/hyperlink" Target="http://www.sec.gov/Archives/edgar/data/1050377/000092701601001583/0000927016-01-001583-0009.txt" TargetMode="External"/><Relationship Id="rId94" Type="http://schemas.openxmlformats.org/officeDocument/2006/relationships/hyperlink" Target="http://www.sec.gov/Archives/edgar/data/1050377/000092701603001539/dex1055.txt" TargetMode="External"/><Relationship Id="rId95" Type="http://schemas.openxmlformats.org/officeDocument/2006/relationships/hyperlink" Target="http://www.sec.gov/Archives/edgar/data/1050377/000119312506068834/dex1046.htm" TargetMode="External"/><Relationship Id="rId96" Type="http://schemas.openxmlformats.org/officeDocument/2006/relationships/hyperlink" Target="http://www.sec.gov/Archives/edgar/data/1050377/000119312508231632/dex102.htm" TargetMode="External"/><Relationship Id="rId97" Type="http://schemas.openxmlformats.org/officeDocument/2006/relationships/hyperlink" Target="http://www.sec.gov/Archives/edgar/data/1050377/000119312512343972/d35716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2019-12-28T23:24:59Z</dcterms:created>
  <dcterms:modified xsi:type="dcterms:W3CDTF">2019-12-28T23:24:59Z</dcterms:modified>
</cp:coreProperties>
</file>