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GALLUP PATRICIA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PC CONNECTION INC</w:t>
              </w:r>
            </w:hyperlink>
            <w:r>
              <w:rPr/>
              <w:t xml:space="preserve"> [ </w:t>
            </w:r>
            <w:r>
              <w:rPr>
                <w:rFonts w:ascii="Times;serif" w:hAnsi="Times;serif"/>
                <w:color w:val="0000FF"/>
                <w:sz w:val="24"/>
                <w:shd w:fill="FFFFFF" w:val="clear"/>
              </w:rPr>
              <w:t>CNXN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&amp; Chief Admin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832"/>
        <w:gridCol w:w="443"/>
        <w:gridCol w:w="792"/>
        <w:gridCol w:w="1308"/>
        <w:gridCol w:w="984"/>
        <w:gridCol w:w="96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1,799</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84.42</w:t>
            </w:r>
            <w:r>
              <w:rPr>
                <w:rFonts w:ascii="Times;serif" w:hAnsi="Times;serif"/>
                <w:color w:val="008000"/>
                <w:position w:val="7"/>
                <w:sz w:val="16"/>
                <w:sz w:val="20"/>
                <w:shd w:fill="FFFFFF" w:val="clear"/>
              </w:rPr>
              <w:t>(2)</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6,940,244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85.62</w:t>
            </w:r>
            <w:r>
              <w:rPr>
                <w:rFonts w:ascii="Times;serif" w:hAnsi="Times;serif"/>
                <w:color w:val="008000"/>
                <w:position w:val="7"/>
                <w:sz w:val="16"/>
                <w:sz w:val="20"/>
                <w:shd w:fill="FFFFFF" w:val="clear"/>
              </w:rPr>
              <w:t>(4)</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6,936,693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86.04</w:t>
            </w:r>
            <w:r>
              <w:rPr>
                <w:rFonts w:ascii="Times;serif" w:hAnsi="Times;serif"/>
                <w:color w:val="008000"/>
                <w:position w:val="7"/>
                <w:sz w:val="16"/>
                <w:sz w:val="20"/>
                <w:shd w:fill="FFFFFF" w:val="clear"/>
              </w:rPr>
              <w:t>(5)</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6,934,901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5,124</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85.01</w:t>
            </w:r>
            <w:r>
              <w:rPr>
                <w:rFonts w:ascii="Times;serif" w:hAnsi="Times;serif"/>
                <w:color w:val="008000"/>
                <w:position w:val="7"/>
                <w:sz w:val="16"/>
                <w:sz w:val="20"/>
                <w:shd w:fill="FFFFFF" w:val="clear"/>
              </w:rPr>
              <w:t>(6)</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6,929,777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2,018</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85.61</w:t>
            </w:r>
            <w:r>
              <w:rPr>
                <w:rFonts w:ascii="Times;serif" w:hAnsi="Times;serif"/>
                <w:color w:val="008000"/>
                <w:position w:val="7"/>
                <w:sz w:val="16"/>
                <w:sz w:val="20"/>
                <w:shd w:fill="FFFFFF" w:val="clear"/>
              </w:rPr>
              <w:t>(7)</w:t>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6,927,759</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1,783,362</w:t>
            </w:r>
            <w:r>
              <w:rPr>
                <w:rFonts w:ascii="Times;serif" w:hAnsi="Times;serif"/>
                <w:color w:val="008000"/>
                <w:position w:val="7"/>
                <w:sz w:val="16"/>
                <w:sz w:val="20"/>
                <w:shd w:fill="FFFFFF" w:val="clear"/>
              </w:rPr>
              <w:t>(8)</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15,133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(9)</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275,000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(10)</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657,233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(11)</w:t>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(12)</w:t>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(13)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GALLUP PATRICIA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David Hall Trust 2003</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730 MILFORD ROAD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MERRIMACK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David Hall Trust 2003 on March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is a weighted average price. These shares were sold in multiple transactions at prices ranging from $83.88 to $84.87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directly by the David Hall Trust 2003, an irrevocable trust formed under the laws of the State of New Hampshire. Ms. Gallup serves as the sole trustee and is the sole beneficiary of the shares held by the David Hall Trust 2003.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is a weighted average price. These shares were sold in multiple transactions at prices ranging from $84.90 to $85.89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is a weighted average price. These shares were sold in multiple transactions at prices ranging from $85.90 to $86.21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is a weighted average price. These shares were sold in multiple transactions at prices ranging from $84.37 to $85.36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reported price is a weighted average price. These shares were sold in multiple transactions at prices ranging from $85.37 to $85.92 per share, inclusive. The reporting person undertakes to provide PC Connection, Inc., any security holder of PC Connection, Inc., or the staff of the Securities and Exchange Commission, upon request, full information regarding the number of shares sold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Includes (i) 906,837 shares that were previously reported as indirectly beneficially owned through the Abbott Brook Trust, which were distributed to Ms. Gallup for no consideration as part of a regularly scheduled annuity payment, after which The Abbott Brook Trust subsequently terminated pursuant to its terms and (ii) 342,767 shares that were previously reported as indirectly beneficially owned through the Comack Trust-B, which were distributed to Ms. Gallup for no consideration as part of a regularly scheduled annuity payment. These distributions did not change Ms. Gallup's pecuniary interest in the subject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reporting persons disclaim beneficial ownership of these securities, except to the extent of such person's pecuniary interest therein. This report shall not be deemed an admission that the reporting persons are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shares are held directly by the North Branch Trust, an irrevocable trust formed under the laws of the State of New Hampshire. Ms. Gallup serves as the sole trustee of the North Branch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These shares are held directly by the Comack Trust-B, a grantor retained annuity trust formed under the laws of the State of New Hampshire. The reporting person is the sole trustee of the Comack Trust-B.</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These shares are held directly by the Abbott Brook Trust-B, a grantor retained annuity trust formed under the laws of the State of New Hampshire. The reporting person is the sole trustee of the Abbott Brook Trust-B.</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These shares are held directly by the Abbott Brook Trust II, a grantor retained annuity trust formed under the laws of the State of New Hampshire. The reporting person is the sole trustee of the Abbott Brook Trust II.</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/s/Patricia Gallup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/s/Patricia Gallup, as Trustee of the David Hall Trust 2003</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6630" TargetMode="External"/><Relationship Id="rId5" Type="http://schemas.openxmlformats.org/officeDocument/2006/relationships/hyperlink" Target="http://www.sec.gov/cgi-bin/browse-edgar?action=getcompany&amp;CIK=00010503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hyperlink" Target="http://www.sec.gov/cgi-bin/browse-edgar?action=getcompany&amp;CIK=0001186630" TargetMode="External"/><Relationship Id="rId11" Type="http://schemas.openxmlformats.org/officeDocument/2006/relationships/hyperlink" Target="http://www.sec.gov/cgi-bin/browse-edgar?action=getcompany&amp;CIK=0001930044"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1426</Words>
  <Characters>7528</Characters>
  <CharactersWithSpaces>8786</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