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792"/>
        <w:gridCol w:w="1267"/>
        <w:gridCol w:w="987"/>
        <w:gridCol w:w="9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85.79</w:t>
            </w: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6,980,927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87.01</w:t>
            </w:r>
            <w:r>
              <w:rPr>
                <w:rFonts w:ascii="Times;serif" w:hAnsi="Times;serif"/>
                <w:color w:val="008000"/>
                <w:position w:val="7"/>
                <w:sz w:val="16"/>
                <w:sz w:val="20"/>
                <w:shd w:fill="FFFFFF" w:val="clear"/>
              </w:rPr>
              <w:t>(4)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6,977,886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87.47</w:t>
            </w:r>
            <w:r>
              <w:rPr>
                <w:rFonts w:ascii="Times;serif" w:hAnsi="Times;serif"/>
                <w:color w:val="008000"/>
                <w:position w:val="7"/>
                <w:sz w:val="16"/>
                <w:sz w:val="20"/>
                <w:shd w:fill="FFFFFF" w:val="clear"/>
              </w:rPr>
              <w:t>(5)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6,977,753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84.09</w:t>
            </w:r>
            <w:r>
              <w:rPr>
                <w:rFonts w:ascii="Times;serif" w:hAnsi="Times;serif"/>
                <w:color w:val="008000"/>
                <w:position w:val="7"/>
                <w:sz w:val="16"/>
                <w:sz w:val="20"/>
                <w:shd w:fill="FFFFFF" w:val="clear"/>
              </w:rPr>
              <w:t>(6)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6,974,370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3,559</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84.77</w:t>
            </w:r>
            <w:r>
              <w:rPr>
                <w:rFonts w:ascii="Times;serif" w:hAnsi="Times;serif"/>
                <w:color w:val="008000"/>
                <w:position w:val="7"/>
                <w:sz w:val="16"/>
                <w:sz w:val="20"/>
                <w:shd w:fill="FFFFFF" w:val="clear"/>
              </w:rPr>
              <w:t>(7)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6,970,811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85.82</w:t>
            </w:r>
            <w:r>
              <w:rPr>
                <w:rFonts w:ascii="Times;serif" w:hAnsi="Times;serif"/>
                <w:color w:val="008000"/>
                <w:position w:val="7"/>
                <w:sz w:val="16"/>
                <w:sz w:val="20"/>
                <w:shd w:fill="FFFFFF" w:val="clear"/>
              </w:rPr>
              <w:t>(8)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6,970,611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533,258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(9)</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906,837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PC CONNECTION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David Hall Trust 2003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$85.32 to $86.24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David Hall Trust 2003, an irrevocable trust formed under the laws of the State of New Hampshire. Ms. Gallup serves as the sole trustee and is the sole beneficiary of the shares held by the David Hall Trust 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sold in multiple transactions at prices ranging from $86.46 to $87.45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is a weighted average price. These shares were sold in multiple transactions at prices ranging from $87.46 to $87.53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is a weighted average price. These shares were sold in multiple transactions at prices ranging from $83.43 to $84.42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is a weighted average price. These shares were sold in multiple transactions at prices ranging from $84.44 to $85.34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is a weighted average price. These shares were sold in multiple transactions at prices ranging from $85.75 to $85.89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disclaims beneficial ownership of these securities, except to the extent of such person's pecuniary interest therein.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directly by the Abbott Brook Trust, a grantor retained annuity trust formed under the laws of the State of New Hampshire. The reporting person is the sole trustee of the Abbott Brook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are held directly by the North Branch Trust, an irrevocable trust formed under the laws of the State of New Hampshire. Ms. Gallup serves as the sole trustee of the North Branch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shares are held directly by the Comack Trust-B, a grantor retained annuity trust formed under the laws of the State of New Hampshire. The reporting person is the sole trustee of the Comack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shares are held directly by the Abbott Brook Trust-B, a grantor retained annuity trust formed under the laws of the State of New Hampshire. The reporting person is the sole trustee of the Abbott Brook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These shares are held directly by the Abbott Brook Trust II, a grantor retained annuity trust formed under the laws of the State of New Hampshire. The reporting person is the sole trustee of the Abbott Brook Trust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 as Trustee of the David Hall Trust 2003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6630"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186630" TargetMode="External"/><Relationship Id="rId11" Type="http://schemas.openxmlformats.org/officeDocument/2006/relationships/hyperlink" Target="http://www.sec.gov/cgi-bin/browse-edgar?action=getcompany&amp;CIK=000105037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1459</Words>
  <Characters>7628</Characters>
  <CharactersWithSpaces>8905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