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88900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109855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7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4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80" w:right="68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COMMISSION</w:t>
      </w:r>
    </w:p>
    <w:p>
      <w:pPr>
        <w:sectPr>
          <w:pgSz w:w="11900" w:h="16838" w:orient="portrait"/>
          <w:cols w:equalWidth="0" w:num="1">
            <w:col w:w="11420"/>
          </w:cols>
          <w:pgMar w:left="240" w:top="230" w:right="239" w:bottom="1440" w:gutter="0" w:footer="0" w:header="0"/>
        </w:sect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ind w:right="4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95" w:lineRule="exact"/>
        <w:rPr>
          <w:sz w:val="24"/>
          <w:szCs w:val="24"/>
          <w:color w:val="auto"/>
        </w:rPr>
      </w:pPr>
    </w:p>
    <w:p>
      <w:pPr>
        <w:sectPr>
          <w:pgSz w:w="11900" w:h="16838" w:orient="portrait"/>
          <w:cols w:equalWidth="0" w:num="3">
            <w:col w:w="2920" w:space="720"/>
            <w:col w:w="180" w:space="720"/>
            <w:col w:w="68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122555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PC CONNECTION,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jc w:val="center"/>
              <w:ind w:left="34"/>
              <w:spacing w:after="0"/>
              <w:rPr>
                <w:sz w:val="20"/>
                <w:szCs w:val="20"/>
                <w:color w:val="auto"/>
              </w:rPr>
            </w:pPr>
            <w:r>
              <w:rPr>
                <w:rFonts w:ascii="Arial" w:cs="Arial" w:eastAsia="Arial" w:hAnsi="Arial"/>
                <w:sz w:val="18"/>
                <w:szCs w:val="18"/>
                <w:b w:val="1"/>
                <w:bCs w:val="1"/>
                <w:color w:val="auto"/>
                <w:w w:val="88"/>
              </w:rPr>
              <w:t>Delaware</w:t>
            </w:r>
          </w:p>
        </w:tc>
        <w:tc>
          <w:tcPr>
            <w:tcW w:w="5800" w:type="dxa"/>
            <w:vAlign w:val="bottom"/>
            <w:gridSpan w:val="2"/>
          </w:tcPr>
          <w:p>
            <w:pPr>
              <w:jc w:val="right"/>
              <w:ind w:right="2237"/>
              <w:spacing w:after="0"/>
              <w:rPr>
                <w:sz w:val="20"/>
                <w:szCs w:val="20"/>
                <w:color w:val="auto"/>
              </w:rPr>
            </w:pPr>
            <w:r>
              <w:rPr>
                <w:rFonts w:ascii="Arial" w:cs="Arial" w:eastAsia="Arial" w:hAnsi="Arial"/>
                <w:sz w:val="18"/>
                <w:szCs w:val="18"/>
                <w:b w:val="1"/>
                <w:bCs w:val="1"/>
                <w:color w:val="auto"/>
              </w:rPr>
              <w:t>02-0513618</w:t>
            </w:r>
          </w:p>
        </w:tc>
      </w:tr>
      <w:tr>
        <w:trPr>
          <w:trHeight w:val="216"/>
        </w:trPr>
        <w:tc>
          <w:tcPr>
            <w:tcW w:w="5620" w:type="dxa"/>
            <w:vAlign w:val="bottom"/>
          </w:tcPr>
          <w:p>
            <w:pPr>
              <w:jc w:val="center"/>
              <w:ind w:left="14"/>
              <w:spacing w:after="0"/>
              <w:rPr>
                <w:sz w:val="20"/>
                <w:szCs w:val="20"/>
                <w:color w:val="auto"/>
              </w:rPr>
            </w:pPr>
            <w:r>
              <w:rPr>
                <w:rFonts w:ascii="Arial" w:cs="Arial" w:eastAsia="Arial" w:hAnsi="Arial"/>
                <w:sz w:val="18"/>
                <w:szCs w:val="18"/>
                <w:color w:val="auto"/>
                <w:w w:val="90"/>
              </w:rPr>
              <w:t>(State or other jurisdiction of</w:t>
            </w:r>
          </w:p>
        </w:tc>
        <w:tc>
          <w:tcPr>
            <w:tcW w:w="3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620" w:type="dxa"/>
            <w:vAlign w:val="bottom"/>
          </w:tcPr>
          <w:p>
            <w:pPr>
              <w:jc w:val="center"/>
              <w:ind w:left="14"/>
              <w:spacing w:after="0"/>
              <w:rPr>
                <w:sz w:val="20"/>
                <w:szCs w:val="20"/>
                <w:color w:val="auto"/>
              </w:rPr>
            </w:pPr>
            <w:r>
              <w:rPr>
                <w:rFonts w:ascii="Arial" w:cs="Arial" w:eastAsia="Arial" w:hAnsi="Arial"/>
                <w:sz w:val="18"/>
                <w:szCs w:val="18"/>
                <w:color w:val="auto"/>
                <w:w w:val="90"/>
              </w:rPr>
              <w:t>incorporation or organization)</w:t>
            </w:r>
          </w:p>
        </w:tc>
        <w:tc>
          <w:tcPr>
            <w:tcW w:w="3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25"/>
        </w:trPr>
        <w:tc>
          <w:tcPr>
            <w:tcW w:w="5620" w:type="dxa"/>
            <w:vAlign w:val="bottom"/>
          </w:tcPr>
          <w:p>
            <w:pPr>
              <w:jc w:val="center"/>
              <w:ind w:left="14"/>
              <w:spacing w:after="0"/>
              <w:rPr>
                <w:sz w:val="20"/>
                <w:szCs w:val="20"/>
                <w:color w:val="auto"/>
              </w:rPr>
            </w:pPr>
            <w:r>
              <w:rPr>
                <w:rFonts w:ascii="Arial" w:cs="Arial" w:eastAsia="Arial" w:hAnsi="Arial"/>
                <w:sz w:val="18"/>
                <w:szCs w:val="18"/>
                <w:b w:val="1"/>
                <w:bCs w:val="1"/>
                <w:color w:val="auto"/>
                <w:w w:val="91"/>
              </w:rPr>
              <w:t>Rt. 101A, 730 Milford Road</w:t>
            </w: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36"/>
        </w:trPr>
        <w:tc>
          <w:tcPr>
            <w:tcW w:w="5620" w:type="dxa"/>
            <w:vAlign w:val="bottom"/>
          </w:tcPr>
          <w:p>
            <w:pPr>
              <w:jc w:val="center"/>
              <w:ind w:left="14"/>
              <w:spacing w:after="0"/>
              <w:rPr>
                <w:sz w:val="20"/>
                <w:szCs w:val="20"/>
                <w:color w:val="auto"/>
              </w:rPr>
            </w:pPr>
            <w:r>
              <w:rPr>
                <w:rFonts w:ascii="Arial" w:cs="Arial" w:eastAsia="Arial" w:hAnsi="Arial"/>
                <w:sz w:val="18"/>
                <w:szCs w:val="18"/>
                <w:b w:val="1"/>
                <w:bCs w:val="1"/>
                <w:color w:val="auto"/>
                <w:w w:val="91"/>
              </w:rPr>
              <w:t>Merrimack, New Hampshire</w:t>
            </w:r>
          </w:p>
        </w:tc>
        <w:tc>
          <w:tcPr>
            <w:tcW w:w="5800" w:type="dxa"/>
            <w:vAlign w:val="bottom"/>
            <w:gridSpan w:val="2"/>
          </w:tcPr>
          <w:p>
            <w:pPr>
              <w:jc w:val="right"/>
              <w:ind w:right="2437"/>
              <w:spacing w:after="0"/>
              <w:rPr>
                <w:sz w:val="20"/>
                <w:szCs w:val="20"/>
                <w:color w:val="auto"/>
              </w:rPr>
            </w:pPr>
            <w:r>
              <w:rPr>
                <w:rFonts w:ascii="Arial" w:cs="Arial" w:eastAsia="Arial" w:hAnsi="Arial"/>
                <w:sz w:val="18"/>
                <w:szCs w:val="18"/>
                <w:b w:val="1"/>
                <w:bCs w:val="1"/>
                <w:color w:val="auto"/>
              </w:rPr>
              <w:t>03054</w:t>
            </w:r>
          </w:p>
        </w:tc>
      </w:tr>
      <w:tr>
        <w:trPr>
          <w:trHeight w:val="222"/>
        </w:trPr>
        <w:tc>
          <w:tcPr>
            <w:tcW w:w="5620" w:type="dxa"/>
            <w:vAlign w:val="bottom"/>
          </w:tcPr>
          <w:p>
            <w:pPr>
              <w:jc w:val="center"/>
              <w:ind w:left="34"/>
              <w:spacing w:after="0"/>
              <w:rPr>
                <w:sz w:val="20"/>
                <w:szCs w:val="20"/>
                <w:color w:val="auto"/>
              </w:rPr>
            </w:pPr>
            <w:r>
              <w:rPr>
                <w:rFonts w:ascii="Arial" w:cs="Arial" w:eastAsia="Arial" w:hAnsi="Arial"/>
                <w:sz w:val="18"/>
                <w:szCs w:val="18"/>
                <w:color w:val="auto"/>
                <w:w w:val="90"/>
              </w:rPr>
              <w:t>(Address of principal executive offices)</w:t>
            </w: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297"/>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7"/>
              </w:rPr>
              <w:t xml:space="preserve">Registrant’s telephone number, including area code: </w:t>
            </w:r>
            <w:r>
              <w:rPr>
                <w:rFonts w:ascii="Arial" w:cs="Arial" w:eastAsia="Arial" w:hAnsi="Arial"/>
                <w:sz w:val="18"/>
                <w:szCs w:val="18"/>
                <w:b w:val="1"/>
                <w:bCs w:val="1"/>
                <w:color w:val="auto"/>
                <w:w w:val="87"/>
              </w:rPr>
              <w:t>(603) 683-2000</w:t>
            </w:r>
          </w:p>
        </w:tc>
      </w:tr>
      <w:tr>
        <w:trPr>
          <w:trHeight w:val="324"/>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232"/>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1"/>
        </w:trPr>
        <w:tc>
          <w:tcPr>
            <w:tcW w:w="5620" w:type="dxa"/>
            <w:vAlign w:val="bottom"/>
          </w:tcPr>
          <w:p>
            <w:pPr>
              <w:spacing w:after="0"/>
              <w:rPr>
                <w:sz w:val="20"/>
                <w:szCs w:val="20"/>
                <w:color w:val="auto"/>
              </w:rPr>
            </w:pPr>
            <w:r>
              <w:rPr>
                <w:rFonts w:ascii="Arial" w:cs="Arial" w:eastAsia="Arial" w:hAnsi="Arial"/>
                <w:sz w:val="18"/>
                <w:szCs w:val="18"/>
                <w:color w:val="auto"/>
              </w:rPr>
              <w:t>Common Stock, $.01 par value</w:t>
            </w:r>
          </w:p>
        </w:tc>
        <w:tc>
          <w:tcPr>
            <w:tcW w:w="3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Nasdaq Global Market</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7"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8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43" w:lineRule="exact"/>
        <w:rPr>
          <w:sz w:val="24"/>
          <w:szCs w:val="24"/>
          <w:color w:val="auto"/>
        </w:rPr>
      </w:pPr>
    </w:p>
    <w:p>
      <w:pPr>
        <w:ind w:right="240" w:firstLine="45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highlight w:val="black"/>
        </w:rPr>
        <w:t>☑</w:t>
      </w:r>
    </w:p>
    <w:p>
      <w:pPr>
        <w:spacing w:after="0" w:line="57" w:lineRule="exact"/>
        <w:rPr>
          <w:sz w:val="24"/>
          <w:szCs w:val="24"/>
          <w:color w:val="auto"/>
        </w:rPr>
      </w:pPr>
    </w:p>
    <w:p>
      <w:pPr>
        <w:ind w:right="140" w:firstLine="456"/>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ind w:left="460" w:right="2840" w:firstLine="2389"/>
        <w:spacing w:after="0" w:line="27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w:t>
      </w:r>
    </w:p>
    <w:p>
      <w:pPr>
        <w:spacing w:after="0" w:line="2"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82"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aggregate market value of the registrant’s voting shares of common stock held by non-affiliates of the registrant on June 30, 2006, based on $5.85 per share, the last reported sale price on the Nasdaq Global Market on that date, was $46,347,859.</w:t>
      </w:r>
    </w:p>
    <w:p>
      <w:pPr>
        <w:spacing w:after="0" w:line="1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each of the registrant’s classes of common stock, as of March 16, 2007:</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24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Number of Shares</w:t>
            </w:r>
          </w:p>
        </w:tc>
      </w:tr>
      <w:tr>
        <w:trPr>
          <w:trHeight w:val="221"/>
        </w:trPr>
        <w:tc>
          <w:tcPr>
            <w:tcW w:w="572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700" w:type="dxa"/>
            <w:vAlign w:val="bottom"/>
            <w:gridSpan w:val="2"/>
          </w:tcPr>
          <w:p>
            <w:pPr>
              <w:jc w:val="right"/>
              <w:ind w:right="2272"/>
              <w:spacing w:after="0"/>
              <w:rPr>
                <w:sz w:val="20"/>
                <w:szCs w:val="20"/>
                <w:color w:val="auto"/>
              </w:rPr>
            </w:pPr>
            <w:r>
              <w:rPr>
                <w:rFonts w:ascii="Arial" w:cs="Arial" w:eastAsia="Arial" w:hAnsi="Arial"/>
                <w:sz w:val="18"/>
                <w:szCs w:val="18"/>
                <w:color w:val="auto"/>
              </w:rPr>
              <w:t>26,793,771</w:t>
            </w:r>
          </w:p>
        </w:tc>
      </w:tr>
    </w:tbl>
    <w:p>
      <w:pPr>
        <w:spacing w:after="0" w:line="34" w:lineRule="exact"/>
        <w:rPr>
          <w:sz w:val="24"/>
          <w:szCs w:val="24"/>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documents are incorporated by reference into the Annual Report on Form 10-K: Portions of the registrant’s definitive Proxy Statement for its 2007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00" w:type="dxa"/>
            <w:vAlign w:val="bottom"/>
            <w:gridSpan w:val="12"/>
          </w:tcPr>
          <w:p>
            <w:pPr>
              <w:jc w:val="center"/>
              <w:ind w:right="2960"/>
              <w:spacing w:after="0"/>
              <w:rPr>
                <w:sz w:val="20"/>
                <w:szCs w:val="20"/>
                <w:color w:val="auto"/>
              </w:rPr>
            </w:pPr>
            <w:r>
              <w:rPr>
                <w:rFonts w:ascii="Arial" w:cs="Arial" w:eastAsia="Arial" w:hAnsi="Arial"/>
                <w:sz w:val="18"/>
                <w:szCs w:val="18"/>
                <w:b w:val="1"/>
                <w:bCs w:val="1"/>
                <w:color w:val="auto"/>
                <w:w w:val="97"/>
              </w:rPr>
              <w:t>PC CONNECTION, INC. AND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gridSpan w:val="10"/>
          </w:tcPr>
          <w:p>
            <w:pPr>
              <w:jc w:val="center"/>
              <w:ind w:right="4020"/>
              <w:spacing w:after="0"/>
              <w:rPr>
                <w:sz w:val="20"/>
                <w:szCs w:val="20"/>
                <w:color w:val="auto"/>
              </w:rPr>
            </w:pPr>
            <w:r>
              <w:rPr>
                <w:rFonts w:ascii="Arial" w:cs="Arial" w:eastAsia="Arial" w:hAnsi="Arial"/>
                <w:sz w:val="18"/>
                <w:szCs w:val="18"/>
                <w:b w:val="1"/>
                <w:bCs w:val="1"/>
                <w:color w:val="auto"/>
                <w:w w:val="97"/>
              </w:rPr>
              <w:t>FORM 10-K ANNUAL REPORT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20" w:type="dxa"/>
            <w:vAlign w:val="bottom"/>
            <w:gridSpan w:val="11"/>
          </w:tcPr>
          <w:p>
            <w:pPr>
              <w:jc w:val="center"/>
              <w:ind w:right="3720"/>
              <w:spacing w:after="0"/>
              <w:rPr>
                <w:sz w:val="20"/>
                <w:szCs w:val="20"/>
                <w:color w:val="auto"/>
              </w:rPr>
            </w:pPr>
            <w:r>
              <w:rPr>
                <w:rFonts w:ascii="Arial" w:cs="Arial" w:eastAsia="Arial" w:hAnsi="Arial"/>
                <w:sz w:val="18"/>
                <w:szCs w:val="18"/>
                <w:b w:val="1"/>
                <w:bCs w:val="1"/>
                <w:color w:val="auto"/>
                <w:w w:val="95"/>
              </w:rPr>
              <w:t>YEAR ENDED DECEMBER 31, 2006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gridSpan w:val="10"/>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6"/>
            <w:vMerge w:val="restart"/>
          </w:tcPr>
          <w:p>
            <w:pPr>
              <w:jc w:val="center"/>
              <w:ind w:right="444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gridSpan w:val="6"/>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902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Unresolved Staff Comments</w:t>
              </w:r>
            </w:hyperlink>
          </w:p>
        </w:tc>
        <w:tc>
          <w:tcPr>
            <w:tcW w:w="7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0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Legal Proceedings</w:t>
              </w:r>
            </w:hyperlink>
          </w:p>
        </w:tc>
        <w:tc>
          <w:tcPr>
            <w:tcW w:w="86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0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7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1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Market for the Registrant’s Common Equity, Related Stockholder Matters, and Issuer Purchases of Equity Securities</w:t>
              </w:r>
            </w:hyperlink>
          </w:p>
        </w:tc>
        <w:tc>
          <w:tcPr>
            <w:tcW w:w="17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90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9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Financial Statements and Supplementary Data</w:t>
              </w:r>
            </w:hyperlink>
          </w:p>
        </w:tc>
        <w:tc>
          <w:tcPr>
            <w:tcW w:w="56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Changes in and Disagreements with Accountants on Accounting and Financial Disclosure</w:t>
              </w:r>
            </w:hyperlink>
          </w:p>
        </w:tc>
        <w:tc>
          <w:tcPr>
            <w:tcW w:w="35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9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7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Directors, Executive Officers, and Corporate Governance</w:t>
              </w:r>
            </w:hyperlink>
          </w:p>
        </w:tc>
        <w:tc>
          <w:tcPr>
            <w:tcW w:w="5860" w:type="dxa"/>
            <w:vAlign w:val="bottom"/>
            <w:gridSpan w:val="8"/>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Executive Compensation</w:t>
              </w:r>
            </w:hyperlink>
          </w:p>
        </w:tc>
        <w:tc>
          <w:tcPr>
            <w:tcW w:w="81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Security Ownership of Certain Beneficial Owners and Management and Related Stockholder Matters</w:t>
              </w:r>
            </w:hyperlink>
          </w:p>
        </w:tc>
        <w:tc>
          <w:tcPr>
            <w:tcW w:w="2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Certain Relationships and Related Transactions, and Director Independence</w:t>
              </w:r>
            </w:hyperlink>
          </w:p>
        </w:tc>
        <w:tc>
          <w:tcPr>
            <w:tcW w:w="45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90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Principal Accountant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7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90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national direct marketer of a wide range of information technology (“IT”) products and services, 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(1) consumers and small- to medium-sized businesses, or SMB, through our PC Connection Sales subsidiaries, (2) large corporate accounts, or Large Account, through our MoreDirect subsidiary, and (3) federal, state, and local government and educational institutions, or Public Sector, through our GovConnection subsidiary. Our principal customers are SMBs (comprised of 20 to 1,000 employees), medium-to-large corporate accounts, and government agencies and educational organizations. We generate sales through (i) outbound telemarketing and field sales contacts by sales representatives focused on the business, education, and government markets, (ii) our Web sites, and (iii) inbound calls from customers responding to our catalogs and other advertising media. We offer a broad selection of over 150,000 products targeted for business use at competitive prices, including products from Acer, Apple, Cisco Systems, Hewlett-Packard, IBM, Lenovo, Microsoft, Sony, Symantec, and Toshiba. Our most frequently ordered products are carried in inventory and are typically shipped to customers the same day the order is received.</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Since our founding in 1982, we have consistently served our customers’ needs by providing innovative, reliable, and timely service and technical support, and by offering an extensive assortment of branded products through knowledgeable, well-trained sales and support teams. Our strategy’s effectiveness is reflected in the recognition we have received, including being named to the Fortune 1000 and the VARBusiness 500 for each of the last six years.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our consistent customer focus has also resulted in strong brand name recognition and a broad and loyal customer base. Approximately 89% of our net sales in the year ended December 31, 2006 were made to customers who had previously purchased products from us. We believe we also have strong relationships with vendors, resulting in favorable product allocations and marketing assistance.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business-to-business marketing efforts are targeted to SMBs, government and educational organizations, and medium-to-large corporate accounts. As of December 31, 2006, we employed 666 sales representatives, including 201 new sales representatives with less than 12 months of outbound telemarketing experience with us. Sales representatives are responsible for managing corporate accounts and focus on outbound sales calls to prospective customers. We believe that increasing our sales representatives’ productivity is critical to our future success, and we have increased our investments in this area accordingly.</w:t>
      </w:r>
    </w:p>
    <w:p>
      <w:pPr>
        <w:spacing w:after="0" w:line="113" w:lineRule="exact"/>
        <w:rPr>
          <w:sz w:val="20"/>
          <w:szCs w:val="20"/>
          <w:color w:val="auto"/>
        </w:rPr>
      </w:pPr>
    </w:p>
    <w:p>
      <w:pPr>
        <w:ind w:right="100" w:firstLine="456"/>
        <w:spacing w:after="0" w:line="241" w:lineRule="auto"/>
        <w:rPr>
          <w:sz w:val="20"/>
          <w:szCs w:val="20"/>
          <w:color w:val="auto"/>
        </w:rPr>
      </w:pPr>
      <w:r>
        <w:rPr>
          <w:rFonts w:ascii="Arial" w:cs="Arial" w:eastAsia="Arial" w:hAnsi="Arial"/>
          <w:sz w:val="18"/>
          <w:szCs w:val="18"/>
          <w:color w:val="auto"/>
        </w:rPr>
        <w:t>We publish several catalogs, including PC Connection</w:t>
      </w:r>
      <w:r>
        <w:rPr>
          <w:rFonts w:ascii="Arial" w:cs="Arial" w:eastAsia="Arial" w:hAnsi="Arial"/>
          <w:sz w:val="22"/>
          <w:szCs w:val="22"/>
          <w:color w:val="auto"/>
          <w:vertAlign w:val="superscript"/>
        </w:rPr>
        <w:t>®</w:t>
      </w:r>
      <w:r>
        <w:rPr>
          <w:rFonts w:ascii="Arial" w:cs="Arial" w:eastAsia="Arial" w:hAnsi="Arial"/>
          <w:sz w:val="18"/>
          <w:szCs w:val="18"/>
          <w:color w:val="auto"/>
        </w:rPr>
        <w:t>, focusing on PCs and compatible products, and MacConnection</w:t>
      </w:r>
      <w:r>
        <w:rPr>
          <w:rFonts w:ascii="Arial" w:cs="Arial" w:eastAsia="Arial" w:hAnsi="Arial"/>
          <w:sz w:val="22"/>
          <w:szCs w:val="22"/>
          <w:color w:val="auto"/>
          <w:vertAlign w:val="superscript"/>
        </w:rPr>
        <w:t>®</w:t>
      </w:r>
      <w:r>
        <w:rPr>
          <w:rFonts w:ascii="Arial" w:cs="Arial" w:eastAsia="Arial" w:hAnsi="Arial"/>
          <w:sz w:val="18"/>
          <w:szCs w:val="18"/>
          <w:color w:val="auto"/>
        </w:rPr>
        <w:t>, focusing on Apple personal computers and compatible products. We also issue, from time to time, specialty catalogs, including GovConnection catalogs directed to government and education organizations. With concise product descriptions, relevant technical information, and illustrations, along with toll-free telephone numbers for ordering, our catalogs are recognized as a leading source for personal computer hardware, software, and other related products. We distributed approximately 15 million catalogs during 2006.</w:t>
      </w:r>
    </w:p>
    <w:p>
      <w:pPr>
        <w:spacing w:after="0" w:line="15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market our products and services through our Web sites: www.pcconnection.com, www.macconnection.com, www.moredirect.com, and www.govconnection.com. Our Web sites provide customers and prospective customers with product information and enable customers to place electronic orders for products. For the fiscal year 2006, Internet sales processed directly online were $514.3 million, or 31.4% of net sales, compared to 26.5% in 2005. These sales during the fourth quarter of 2006 were $144.0 million, or 33.3% of that quarter’s net sales, compared to 31.0% for the fourth quarter of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 financial information regarding our business segments is contained in Management’s Discussion and Analysis of Financial Condition and Results of Operations in Item 7 of Part II, and Note 15 to our Consolidated Financial Statements included in Item 8 of Part II of this Annual Report on Form 10-K.</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or the Exchange Act, and accordingly, we file reports, proxy and information statements, and other information with the Securities and Exchange Commission, or the SEC. Such reports and information can be read and copied at the public reference facilities maintained by the SEC at the Public Reference Room, 100 F Street, NE, Washington, D.C. 20549. Information regarding the operation of the Public Reference Room may be obtained by calling the SEC at 1-800-SEC-0330. The SEC maintains a web site (http://www.sec.gov) that contains such reports, proxy and information statements, and other information regarding issuers that file electronically with the SEC. We maintain a Web site with the address www.pcconnection.com. We are not including the information contained in our Web site as part of, or incorporating by reference into, this annual report on Form 10-K. We make available free of charge through our Web site our annual reports on Form 10-K, quarterly reports on Form 10-Q, and current reports on Form 8-K, and amendments to these reports, as soon as reasonably practicable after we electronically file these materials with, or otherwise furnish them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generate approximately 54% of our sales from the SMB market, 30% from medium-to-large corporate accounts (Fortune 1000), and 16% from government agencies and educational organizations. We estimate the overall U.S. IT market that we serve to be in excess of $200 billion.</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largest segment of this market is served by local and regional “value added resellers,” or VARs, many of whom we believe are transitioning from the hardware and software business to IT services, which generally have higher margins. We have transitioned from an end-user or desktop-centric computing supplier to a network or enterprise-wide computing supplier. We have also partnered with third-party technology and telecommunications service providers. We now offer our customers access to the same services and technical expertise as local and regional VARs, but with more extensive product selection at lower prices.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Intense competition for customers has led manufacturers of PCs and related products to use all available channels, including direct marketers, to distribute products. Certain manufacturers who have traditionally used resellers to distribute their products have established or attempted to establish their own direct marketing operations, including sales through the Internet. Nonetheless, we believe that these manufacturers of PCs and related products will continue to provide us and other third-party direct marketers favorable product allocations and marketing support.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new entrants to the direct marketing channel must overcome a number of obstacles, including:</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substantial time and resources required to build a customer base of meaningful size and profitability for cost-effective operation;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costs of developing the information and operating infrastructure required by direct marketers;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advantages enjoyed by larger and more established competitors in terms of purchasing and operating efficiencies;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difficulty of building relationships with manufacturers to achieve favorable product allocations and attractive pricing terms;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difficulty of identifying and recruiting management personnel with significant direct marketing experience in the industry.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objective is to become the principal supplier of IT products and solutions, including personal computers and related products and services, to our customers. The key elements of our business strategies include:</w:t>
      </w:r>
    </w:p>
    <w:p>
      <w:pPr>
        <w:spacing w:after="0" w:line="45" w:lineRule="exact"/>
        <w:rPr>
          <w:sz w:val="20"/>
          <w:szCs w:val="20"/>
          <w:color w:val="auto"/>
        </w:rPr>
      </w:pPr>
    </w:p>
    <w:p>
      <w:pPr>
        <w:ind w:left="460" w:hanging="452"/>
        <w:spacing w:after="0" w:line="31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Providing consistent customer service before, during, and after the sale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have earned a reputation for providing superior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by consistently focusing on our customers’ needs. We deliver value to our customers through high-quality service and technical support provided by our knowledgeable, well-trained personnel. We also have efficient delivery programs and offer our customers reasonable return policies.</w:t>
      </w:r>
    </w:p>
    <w:p>
      <w:pPr>
        <w:spacing w:after="0" w:line="22"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Offering a broad product selection at competitive prices</w:t>
      </w:r>
      <w:r>
        <w:rPr>
          <w:rFonts w:ascii="Arial" w:cs="Arial" w:eastAsia="Arial" w:hAnsi="Arial"/>
          <w:sz w:val="16"/>
          <w:szCs w:val="16"/>
          <w:color w:val="auto"/>
        </w:rPr>
        <w:t>. We offer our customers a wide assortment of IT products and solutions, including personal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computers and related products and networking products, at competitive prices. Our merchandising programs feature products that provide customers with aggressive price and performance and the convenience of one-stop shopping for their personal computer and related needs.</w:t>
      </w:r>
    </w:p>
    <w:p>
      <w:pPr>
        <w:spacing w:after="0" w:line="25"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Simplifying technology products procurement for corporate customers</w:t>
      </w:r>
      <w:r>
        <w:rPr>
          <w:rFonts w:ascii="Arial" w:cs="Arial" w:eastAsia="Arial" w:hAnsi="Arial"/>
          <w:sz w:val="18"/>
          <w:szCs w:val="18"/>
          <w:color w:val="auto"/>
        </w:rPr>
        <w:t>. We offer Internet based procurement options that simplify the process and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procurement for our customers. Our Large Account subsidiary, MoreDirect, specializes in Internet based solutions and provides electronic integration with its customers and suppliers.</w:t>
      </w:r>
    </w:p>
    <w:p>
      <w:pPr>
        <w:spacing w:after="0" w:line="59" w:lineRule="exact"/>
        <w:rPr>
          <w:rFonts w:ascii="Arial" w:cs="Arial" w:eastAsia="Arial" w:hAnsi="Arial"/>
          <w:sz w:val="18"/>
          <w:szCs w:val="18"/>
          <w:color w:val="auto"/>
        </w:rPr>
      </w:pPr>
    </w:p>
    <w:p>
      <w:pPr>
        <w:ind w:left="460" w:right="240" w:hanging="452"/>
        <w:spacing w:after="0" w:line="306"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Maintaining a strong brand name and customer awareness. </w:t>
      </w:r>
      <w:r>
        <w:rPr>
          <w:rFonts w:ascii="Arial" w:cs="Arial" w:eastAsia="Arial" w:hAnsi="Arial"/>
          <w:sz w:val="16"/>
          <w:szCs w:val="16"/>
          <w:color w:val="auto"/>
        </w:rPr>
        <w:t>Since our founding in 1982, we have built a strong brand name and customer awareness.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been named to the Fortune 1000 and the VARBusiness 500 for each of the last six years. Our mailing list includes approximately 3,800,000 names, of which approximately 426,000 have purchased products from us during the last 12 months.</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Maintaining long-standing vendor relationships</w:t>
      </w:r>
      <w:r>
        <w:rPr>
          <w:rFonts w:ascii="Arial" w:cs="Arial" w:eastAsia="Arial" w:hAnsi="Arial"/>
          <w:sz w:val="18"/>
          <w:szCs w:val="18"/>
          <w:color w:val="auto"/>
        </w:rPr>
        <w:t>. We have a history of strong relationships with vendors, and were among the first direct marketers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by manufacturers to market computer systems to end users. We provide our vendors with both information concerning customer preferences and an efficient channel for the advertising and distribution of their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growth strategies are to increase revenues derived from increased penetration of our existing customers, broader product and service offerings, and expanded customer base. The key elements of our growth strategies include:</w:t>
      </w:r>
    </w:p>
    <w:p>
      <w:pPr>
        <w:spacing w:after="0" w:line="51" w:lineRule="exact"/>
        <w:rPr>
          <w:sz w:val="20"/>
          <w:szCs w:val="20"/>
          <w:color w:val="auto"/>
        </w:rPr>
      </w:pPr>
    </w:p>
    <w:p>
      <w:pPr>
        <w:ind w:left="460" w:right="18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product, solution, and service offerings. </w:t>
      </w:r>
      <w:r>
        <w:rPr>
          <w:rFonts w:ascii="Arial" w:cs="Arial" w:eastAsia="Arial" w:hAnsi="Arial"/>
          <w:sz w:val="16"/>
          <w:szCs w:val="16"/>
          <w:color w:val="auto"/>
        </w:rPr>
        <w:t>We offer our customers an extensive range of IT products, solutions, and services, and continually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and add new products and services, as they become available or in response to customer demand. We work closely with vendors to identify and source first-to-market product offerings at aggressive prices. We offer a growing range of repair, configuration, installation, and other services performed by our personnel and third-party providers, and seek to become a total IT solution provider to our customers.</w:t>
      </w:r>
    </w:p>
    <w:p>
      <w:pPr>
        <w:spacing w:after="0" w:line="31"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Increasing productivity of our sales representatives</w:t>
      </w:r>
      <w:r>
        <w:rPr>
          <w:rFonts w:ascii="Arial" w:cs="Arial" w:eastAsia="Arial" w:hAnsi="Arial"/>
          <w:sz w:val="18"/>
          <w:szCs w:val="18"/>
          <w:color w:val="auto"/>
        </w:rPr>
        <w:t>. We believe that higher sales productivity is the key to leveraging our expense structure and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profitability improvements. We invest significant resources in training new sales representatives, and provide on-going training to experienced personnel. We have focused our training and evaluation programs towards assisting our sales personnel in understanding and anticipating clients’ IT needs, with the goal of fostering loyal client relationships. As we increase productivity, we plan to increase the number of our sales representatives and assign them a greater number of our customers.</w:t>
      </w:r>
    </w:p>
    <w:p>
      <w:pPr>
        <w:spacing w:after="0" w:line="61"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Targeting customer segments. </w:t>
      </w:r>
      <w:r>
        <w:rPr>
          <w:rFonts w:ascii="Arial" w:cs="Arial" w:eastAsia="Arial" w:hAnsi="Arial"/>
          <w:sz w:val="18"/>
          <w:szCs w:val="18"/>
          <w:color w:val="auto"/>
        </w:rPr>
        <w:t>Through targeted marketing, we seek to expand the number of our active customers and generate additional sales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existing customers. We have developed specialty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catalogs featuring product offerings designed to address the needs of specific customer populations, including new product inserts targeted to purchasers of graphics, server, and networking products. We also utilize internet marketing campaigns that focus on select markets.</w:t>
      </w:r>
    </w:p>
    <w:p>
      <w:pPr>
        <w:spacing w:after="0" w:line="18" w:lineRule="exact"/>
        <w:rPr>
          <w:sz w:val="20"/>
          <w:szCs w:val="20"/>
          <w:color w:val="auto"/>
        </w:rPr>
      </w:pPr>
    </w:p>
    <w:p>
      <w:pPr>
        <w:ind w:left="460" w:right="34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Pursuing strategic acquisitions and alliances. </w:t>
      </w:r>
      <w:r>
        <w:rPr>
          <w:rFonts w:ascii="Arial" w:cs="Arial" w:eastAsia="Arial" w:hAnsi="Arial"/>
          <w:sz w:val="16"/>
          <w:szCs w:val="16"/>
          <w:color w:val="auto"/>
        </w:rPr>
        <w:t>We seek acquisitions and alliances that add new customers, strengthen our product offerings,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talent, and produce operating results which are accretive to our core business earnings. In 2002 we acquired MoreDirect, a premier e-procurement supplier of IT products for medium-to-large corporate organizations nationwide. In October 2005 we acquired selected assets of Amherst Technologies, and as a result, we added former Amherst sales and service representatives in the fourth quarter of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Since our founding in 1982, our primary objective has been to provide products that meet the demands and needs of customers and to supplement those products with up-to-date product information and excellent customer service and support. We believe that offering our customers superior value, through a combination of product knowledge, consistent and reliable service, and leading products at competitive prices, differentiates us from other direct marketers and provides the foundation for developing a broad and loyal customer base.</w:t>
      </w:r>
    </w:p>
    <w:p>
      <w:pPr>
        <w:spacing w:after="0" w:line="143"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We invest in training programs for our service and support personnel, with an emphasis on putting customer needs and service first. We provide toll-free technical support from 9:00 a.m. through 5:30 p.m. Eastern Time, Monday through Friday. Product support technicians assist callers with questions concerning compatibility, installation, determination of defects, and more difficult questions relating to product use. The product support technicians authorize customers to return defective or incompatible products to either the manufacturer or to us for warranty service. In-house technicians perform both warranty and non-warranty repair on most major systems and hardware products.</w:t>
      </w:r>
    </w:p>
    <w:p>
      <w:pPr>
        <w:spacing w:after="0" w:line="143"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Using our customized information system, we send our customer orders to our distribution center for processing immediately after a customer receives credit approval. Through our Everything Overnight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service, orders accepted up until 2:00 a.m. Eastern Time, (until midnight on most custom-configured systems) are generally shipped for overnight delivery. At our distribution center, we also perform custom configurations of computer systems, which typically consists of the installation of memory, accessories, and/or software.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sell our products through our direct marketing channels to SMBs, government agencies and educational organizations, and medium-to-large corporate accounts. We seek to be the primary supplier of IT products and solutions, including personal computers and related products, to our existing customers and to expand our customer base. We use multiple marketing approaches to reach existing and prospective customers, including:</w:t>
      </w:r>
    </w:p>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outbound telemarketing and field sales;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Web and print media advertising;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programs targeted to specific customer populations;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catalogs and inbound telesales.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of our marketing approaches emphasize our broad product offerings, fast delivery, customer support, competitive pricing, and our increasing range of service solutions.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believe that our ability to establish and maintain long-term customer relationships and to encourage repeat purchases is largely dependent on the strength of our sales personnel and programs. Because our customers’ primary contact with us is through our telemarketers, we are committed to maintaining a qualified, knowledgeable, and motivated sales staff with its principal focus on customer service.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b w:val="1"/>
          <w:bCs w:val="1"/>
          <w:i w:val="1"/>
          <w:iCs w:val="1"/>
          <w:color w:val="auto"/>
        </w:rPr>
        <w:t>Sales Channels.</w:t>
      </w:r>
      <w:r>
        <w:rPr>
          <w:sz w:val="20"/>
          <w:szCs w:val="20"/>
          <w:color w:val="auto"/>
        </w:rPr>
        <w:tab/>
      </w:r>
      <w:r>
        <w:rPr>
          <w:rFonts w:ascii="Arial" w:cs="Arial" w:eastAsia="Arial" w:hAnsi="Arial"/>
          <w:sz w:val="15"/>
          <w:szCs w:val="15"/>
          <w:color w:val="auto"/>
        </w:rPr>
        <w:t>The following table sets forth our percentage of net sales by sales channel:</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vMerge w:val="restart"/>
          </w:tcPr>
          <w:p>
            <w:pPr>
              <w:spacing w:after="0"/>
              <w:rPr>
                <w:sz w:val="20"/>
                <w:szCs w:val="20"/>
                <w:color w:val="auto"/>
              </w:rPr>
            </w:pPr>
            <w:r>
              <w:rPr>
                <w:rFonts w:ascii="Arial" w:cs="Arial" w:eastAsia="Arial" w:hAnsi="Arial"/>
                <w:sz w:val="14"/>
                <w:szCs w:val="14"/>
                <w:b w:val="1"/>
                <w:bCs w:val="1"/>
                <w:color w:val="auto"/>
              </w:rPr>
              <w:t>Sales Channel</w:t>
            </w:r>
          </w:p>
        </w:tc>
        <w:tc>
          <w:tcPr>
            <w:tcW w:w="640" w:type="dxa"/>
            <w:vAlign w:val="bottom"/>
            <w:vMerge w:val="restart"/>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80" w:type="dxa"/>
            <w:vAlign w:val="bottom"/>
            <w:tcBorders>
              <w:bottom w:val="single" w:sz="8" w:color="auto"/>
            </w:tcBorders>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2006</w:t>
            </w:r>
          </w:p>
        </w:tc>
        <w:tc>
          <w:tcPr>
            <w:tcW w:w="74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2005</w:t>
            </w:r>
          </w:p>
        </w:tc>
        <w:tc>
          <w:tcPr>
            <w:tcW w:w="74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2004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Outbound Telemarketing and Field Sales</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66%</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Online Internet</w:t>
            </w:r>
          </w:p>
        </w:tc>
        <w:tc>
          <w:tcPr>
            <w:tcW w:w="1080" w:type="dxa"/>
            <w:vAlign w:val="bottom"/>
            <w:gridSpan w:val="2"/>
          </w:tcPr>
          <w:p>
            <w:pPr>
              <w:jc w:val="right"/>
              <w:ind w:right="672"/>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740"/>
              <w:spacing w:after="0"/>
              <w:rPr>
                <w:sz w:val="20"/>
                <w:szCs w:val="20"/>
                <w:color w:val="auto"/>
              </w:rPr>
            </w:pPr>
            <w:r>
              <w:rPr>
                <w:rFonts w:ascii="Arial" w:cs="Arial" w:eastAsia="Arial" w:hAnsi="Arial"/>
                <w:sz w:val="18"/>
                <w:szCs w:val="18"/>
                <w:color w:val="auto"/>
              </w:rPr>
              <w:t>26</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Inbound Telesales</w:t>
            </w:r>
          </w:p>
        </w:tc>
        <w:tc>
          <w:tcPr>
            <w:tcW w:w="10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00" w:firstLine="438"/>
        <w:spacing w:after="0" w:line="290" w:lineRule="auto"/>
        <w:rPr>
          <w:sz w:val="20"/>
          <w:szCs w:val="20"/>
          <w:color w:val="auto"/>
        </w:rPr>
      </w:pPr>
      <w:r>
        <w:rPr>
          <w:rFonts w:ascii="Arial" w:cs="Arial" w:eastAsia="Arial" w:hAnsi="Arial"/>
          <w:sz w:val="16"/>
          <w:szCs w:val="16"/>
          <w:b w:val="1"/>
          <w:bCs w:val="1"/>
          <w:i w:val="1"/>
          <w:iCs w:val="1"/>
          <w:color w:val="auto"/>
        </w:rPr>
        <w:t>Outbound Telemarketing and Field Sales</w:t>
      </w:r>
      <w:r>
        <w:rPr>
          <w:rFonts w:ascii="Arial" w:cs="Arial" w:eastAsia="Arial" w:hAnsi="Arial"/>
          <w:sz w:val="16"/>
          <w:szCs w:val="16"/>
          <w:color w:val="auto"/>
        </w:rPr>
        <w:t>. We seek to build loyal relationships with our potential high-volume customers by assigning them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account managers. We believe that customers respond favorably to a one-on-one relationship with personalized, well-trained account managers. Once established, these one-on-one relationships are maintained and enhanced through frequent telecommunications and targeted catalogs and other marketing materials designed to meet each customer’s specific IT needs. We pay most of our account managers a base annual salary plus incentive compensation. Incentive compensation is tied to gross profit dollars produced by the individual account manager. Account managers historically have significantly increased productivity after approximately twelve months of training and experience. At December 31, 2006, we employed 666 sales representatives, including 201 with less than twelve months of outbound telemarketing experience with us.</w:t>
      </w:r>
    </w:p>
    <w:p>
      <w:pPr>
        <w:spacing w:after="0" w:line="118"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b w:val="1"/>
          <w:bCs w:val="1"/>
          <w:i w:val="1"/>
          <w:iCs w:val="1"/>
          <w:color w:val="auto"/>
        </w:rPr>
        <w:t xml:space="preserve">Online Internet. </w:t>
      </w:r>
      <w:r>
        <w:rPr>
          <w:rFonts w:ascii="Arial" w:cs="Arial" w:eastAsia="Arial" w:hAnsi="Arial"/>
          <w:sz w:val="16"/>
          <w:szCs w:val="16"/>
          <w:color w:val="auto"/>
        </w:rPr>
        <w:t>(</w:t>
      </w:r>
      <w:r>
        <w:rPr>
          <w:rFonts w:ascii="Arial" w:cs="Arial" w:eastAsia="Arial" w:hAnsi="Arial"/>
          <w:sz w:val="16"/>
          <w:szCs w:val="16"/>
          <w:b w:val="1"/>
          <w:bCs w:val="1"/>
          <w:i w:val="1"/>
          <w:iCs w:val="1"/>
          <w:color w:val="auto"/>
        </w:rPr>
        <w:t>www.pcconnection.com, www.macconnection.com, www.moredirect.com, and www.govconnection.com)</w:t>
      </w:r>
      <w:r>
        <w:rPr>
          <w:rFonts w:ascii="Arial" w:cs="Arial" w:eastAsia="Arial" w:hAnsi="Arial"/>
          <w:sz w:val="16"/>
          <w:szCs w:val="16"/>
          <w:color w:val="auto"/>
        </w:rPr>
        <w:t>. We provide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descriptions and prices of generally all products online. Our PC Connection Web site also provides updated information for more than 115,000 items and on-screen images for more than 68,000 items. We offer, and continuously update, selected product offerings and other special buys. We believe our Web sites will be an increasingly important sales source and communication tool for improving customer service.</w:t>
      </w:r>
    </w:p>
    <w:p>
      <w:pPr>
        <w:spacing w:after="0" w:line="113"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Our MoreDirect subsidiary’s business process and operations are primarily Web based. During 2006 more than 63% of MoreDirect’s orders were received via the Internet. Most of its corporate customers utilize a customized Web page to quickly search, source, and track IT products. MoreDirect’s Web site aggregates the current available inventories of its largest IT suppliers into a single on-line source for its corporate customers. Its custom designed Internet-based system, TRAXX, provides corporate buyers with comparative pricing from several suppliers as well as special pricing arranged through the manufacturer.</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Internet supports three key business initiatives for us:</w:t>
      </w:r>
    </w:p>
    <w:p>
      <w:pPr>
        <w:spacing w:after="0" w:line="90" w:lineRule="exact"/>
        <w:rPr>
          <w:sz w:val="20"/>
          <w:szCs w:val="20"/>
          <w:color w:val="auto"/>
        </w:rPr>
      </w:pPr>
    </w:p>
    <w:p>
      <w:pPr>
        <w:ind w:left="1460" w:right="220" w:hanging="547"/>
        <w:spacing w:after="0" w:line="268"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Customer choice </w:t>
      </w:r>
      <w:r>
        <w:rPr>
          <w:rFonts w:ascii="Arial" w:cs="Arial" w:eastAsia="Arial" w:hAnsi="Arial"/>
          <w:sz w:val="18"/>
          <w:szCs w:val="18"/>
          <w:color w:val="auto"/>
        </w:rPr>
        <w:t>— We have built our business on the premise that our customers should be able to choose how they interact with us, be it</w:t>
      </w:r>
      <w:r>
        <w:rPr>
          <w:rFonts w:ascii="Arial" w:cs="Arial" w:eastAsia="Arial" w:hAnsi="Arial"/>
          <w:sz w:val="18"/>
          <w:szCs w:val="18"/>
          <w:i w:val="1"/>
          <w:iCs w:val="1"/>
          <w:color w:val="auto"/>
        </w:rPr>
        <w:t xml:space="preserve"> </w:t>
      </w:r>
      <w:r>
        <w:rPr>
          <w:rFonts w:ascii="Arial" w:cs="Arial" w:eastAsia="Arial" w:hAnsi="Arial"/>
          <w:sz w:val="18"/>
          <w:szCs w:val="18"/>
          <w:color w:val="auto"/>
        </w:rPr>
        <w:t>by mail, telephone, fax, e-mail, or over the Internet.</w:t>
      </w:r>
    </w:p>
    <w:p>
      <w:pPr>
        <w:spacing w:after="0" w:line="50" w:lineRule="exact"/>
        <w:rPr>
          <w:rFonts w:ascii="Arial" w:cs="Arial" w:eastAsia="Arial" w:hAnsi="Arial"/>
          <w:sz w:val="18"/>
          <w:szCs w:val="18"/>
          <w:color w:val="auto"/>
        </w:rPr>
      </w:pPr>
    </w:p>
    <w:p>
      <w:pPr>
        <w:ind w:left="1460" w:hanging="547"/>
        <w:spacing w:after="0" w:line="256"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Lowering transactions costs </w:t>
      </w:r>
      <w:r>
        <w:rPr>
          <w:rFonts w:ascii="Arial" w:cs="Arial" w:eastAsia="Arial" w:hAnsi="Arial"/>
          <w:sz w:val="18"/>
          <w:szCs w:val="18"/>
          <w:color w:val="auto"/>
        </w:rPr>
        <w:t>— Our Web site tools, including robust product search features and Internet Business Accounts, allow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to quickly and easily find information about products of interest to them. If customers still have questions, they may call into our Telesales Representatives or Account Managers. Such phone calls are typically shorter and have higher close rates than calls from customers who have not first visited our Web sites.</w:t>
      </w:r>
    </w:p>
    <w:p>
      <w:pPr>
        <w:spacing w:after="0" w:line="62" w:lineRule="exact"/>
        <w:rPr>
          <w:rFonts w:ascii="Arial" w:cs="Arial" w:eastAsia="Arial" w:hAnsi="Arial"/>
          <w:sz w:val="18"/>
          <w:szCs w:val="18"/>
          <w:color w:val="auto"/>
        </w:rPr>
      </w:pPr>
    </w:p>
    <w:p>
      <w:pPr>
        <w:jc w:val="both"/>
        <w:ind w:left="1460" w:right="580" w:hanging="547"/>
        <w:spacing w:after="0" w:line="370" w:lineRule="auto"/>
        <w:tabs>
          <w:tab w:leader="none" w:pos="146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Leveraging the time of experienced Account Managers </w:t>
      </w:r>
      <w:r>
        <w:rPr>
          <w:rFonts w:ascii="Arial" w:cs="Arial" w:eastAsia="Arial" w:hAnsi="Arial"/>
          <w:sz w:val="15"/>
          <w:szCs w:val="15"/>
          <w:color w:val="auto"/>
        </w:rPr>
        <w:t>— Our investments in technology-based sales and service programs allow our</w:t>
      </w:r>
      <w:r>
        <w:rPr>
          <w:rFonts w:ascii="Arial" w:cs="Arial" w:eastAsia="Arial" w:hAnsi="Arial"/>
          <w:sz w:val="15"/>
          <w:szCs w:val="15"/>
          <w:i w:val="1"/>
          <w:iCs w:val="1"/>
          <w:color w:val="auto"/>
        </w:rPr>
        <w:t xml:space="preserve"> </w:t>
      </w:r>
      <w:r>
        <w:rPr>
          <w:rFonts w:ascii="Arial" w:cs="Arial" w:eastAsia="Arial" w:hAnsi="Arial"/>
          <w:sz w:val="15"/>
          <w:szCs w:val="15"/>
          <w:color w:val="auto"/>
        </w:rPr>
        <w:t>Account Managers more time to build and maintain relationships with our customers and help them to solve their business problems.</w:t>
      </w:r>
    </w:p>
    <w:p>
      <w:pPr>
        <w:spacing w:after="0" w:line="62"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b w:val="1"/>
          <w:bCs w:val="1"/>
          <w:i w:val="1"/>
          <w:iCs w:val="1"/>
          <w:color w:val="auto"/>
        </w:rPr>
        <w:t>Inbound Telesales</w:t>
      </w:r>
      <w:r>
        <w:rPr>
          <w:rFonts w:ascii="Arial" w:cs="Arial" w:eastAsia="Arial" w:hAnsi="Arial"/>
          <w:sz w:val="16"/>
          <w:szCs w:val="16"/>
          <w:color w:val="auto"/>
        </w:rPr>
        <w:t>. Our inbound sales representatives answer customer telephone calls generated by our catalogs and other advertising programs.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representatives also assist customers in making purchasing decisions, process product orders, and respond to customer inquiries on order status, product pricing, and availability. Using our proprietary information systems, sales representatives can quickly access customer records which detail purchase history and billing and shipping information, expediting the ordering process.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2040" w:val="left"/>
        </w:tabs>
        <w:rPr>
          <w:sz w:val="20"/>
          <w:szCs w:val="20"/>
          <w:color w:val="auto"/>
        </w:rPr>
      </w:pPr>
      <w:r>
        <w:rPr>
          <w:rFonts w:ascii="Arial" w:cs="Arial" w:eastAsia="Arial" w:hAnsi="Arial"/>
          <w:sz w:val="18"/>
          <w:szCs w:val="18"/>
          <w:b w:val="1"/>
          <w:bCs w:val="1"/>
          <w:i w:val="1"/>
          <w:iCs w:val="1"/>
          <w:color w:val="auto"/>
        </w:rPr>
        <w:t>Business Segments.</w:t>
      </w:r>
      <w:r>
        <w:rPr>
          <w:sz w:val="20"/>
          <w:szCs w:val="20"/>
          <w:color w:val="auto"/>
        </w:rPr>
        <w:tab/>
      </w:r>
      <w:r>
        <w:rPr>
          <w:rFonts w:ascii="Arial" w:cs="Arial" w:eastAsia="Arial" w:hAnsi="Arial"/>
          <w:sz w:val="15"/>
          <w:szCs w:val="15"/>
          <w:color w:val="auto"/>
        </w:rPr>
        <w:t>We conduct our business operations through three primary business segments: (1) SMB, (2) Large Account, and (3) Public Sector.</w:t>
      </w:r>
    </w:p>
    <w:p>
      <w:pPr>
        <w:spacing w:after="0" w:line="171"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b w:val="1"/>
          <w:bCs w:val="1"/>
          <w:i w:val="1"/>
          <w:iCs w:val="1"/>
          <w:color w:val="auto"/>
        </w:rPr>
        <w:t>SMB Segment</w:t>
      </w:r>
      <w:r>
        <w:rPr>
          <w:rFonts w:ascii="Arial" w:cs="Arial" w:eastAsia="Arial" w:hAnsi="Arial"/>
          <w:sz w:val="18"/>
          <w:szCs w:val="18"/>
          <w:color w:val="auto"/>
        </w:rPr>
        <w:t>. While we continue to generate credit card sales to consumers, our principal target customers in this segment are small-to-medium-sized business customers with 20 to 1,000 employees. Our primary means of marketing to this segment incorporate all three sales channels—outbound telemarketing, primarily to our business customers; inbound telesales, particularly to our consumer group; and online Internet sales to both consumer and business customers.</w:t>
      </w:r>
    </w:p>
    <w:p>
      <w:pPr>
        <w:spacing w:after="0" w:line="143" w:lineRule="exact"/>
        <w:rPr>
          <w:sz w:val="20"/>
          <w:szCs w:val="20"/>
          <w:color w:val="auto"/>
        </w:rPr>
      </w:pPr>
    </w:p>
    <w:p>
      <w:pPr>
        <w:jc w:val="both"/>
        <w:ind w:left="460" w:right="320" w:firstLine="438"/>
        <w:spacing w:after="0" w:line="283" w:lineRule="auto"/>
        <w:rPr>
          <w:sz w:val="20"/>
          <w:szCs w:val="20"/>
          <w:color w:val="auto"/>
        </w:rPr>
      </w:pPr>
      <w:r>
        <w:rPr>
          <w:rFonts w:ascii="Arial" w:cs="Arial" w:eastAsia="Arial" w:hAnsi="Arial"/>
          <w:sz w:val="16"/>
          <w:szCs w:val="16"/>
          <w:b w:val="1"/>
          <w:bCs w:val="1"/>
          <w:i w:val="1"/>
          <w:iCs w:val="1"/>
          <w:color w:val="auto"/>
        </w:rPr>
        <w:t>Large Account Segment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our MoreDirect subsidiary’s custom designed Web-based system, we are able to offer our larger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 efficient and effective method of sourcing, evaluating, purchasing, and tracking a wide variety of IT products and services. MoreDirect’s strategy is to be the primary single source procurement portal for its large corporate customers. MoreDirect’s sales representatives typically have ten to twenty years of experience and are located strategically across the United States. This allows them to work directly with customers, often on site.</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MoreDirect generally places its product orders with manufacturers and/or distribution companies for drop shipment directly to its customers.</w:t>
      </w:r>
    </w:p>
    <w:p>
      <w:pPr>
        <w:spacing w:after="0" w:line="188"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b w:val="1"/>
          <w:bCs w:val="1"/>
          <w:i w:val="1"/>
          <w:iCs w:val="1"/>
          <w:color w:val="auto"/>
        </w:rPr>
        <w:t>Public Sector Segment</w:t>
      </w:r>
      <w:r>
        <w:rPr>
          <w:rFonts w:ascii="Arial" w:cs="Arial" w:eastAsia="Arial" w:hAnsi="Arial"/>
          <w:sz w:val="18"/>
          <w:szCs w:val="18"/>
          <w:color w:val="auto"/>
        </w:rPr>
        <w:t>. We use a combination of outbound telemarketing, including some on-site sales solicitation by field sales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and online Internet sales through Internet Business Accounts, to reach these customers. Through our GovConnection subsidiary, we target each of the four distinct market sectors within this segment—federal government, higher educational institutions, school grades K–12, and state and local governments.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relative distribution of our net sales by business segment: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Business Segment</w:t>
            </w: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5"/>
              </w:rPr>
              <w:t>Years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00" w:type="dxa"/>
            <w:vAlign w:val="bottom"/>
            <w:gridSpan w:val="3"/>
            <w:vMerge w:val="continue"/>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Large Account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Sector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b w:val="1"/>
          <w:bCs w:val="1"/>
          <w:i w:val="1"/>
          <w:iCs w:val="1"/>
          <w:color w:val="auto"/>
        </w:rPr>
        <w:t xml:space="preserve">Catalog Distribution. </w:t>
      </w:r>
      <w:r>
        <w:rPr>
          <w:rFonts w:ascii="Arial" w:cs="Arial" w:eastAsia="Arial" w:hAnsi="Arial"/>
          <w:sz w:val="18"/>
          <w:szCs w:val="18"/>
          <w:color w:val="auto"/>
        </w:rPr>
        <w:t>Our two principal catalogs are PC Connection</w:t>
      </w:r>
      <w:r>
        <w:rPr>
          <w:rFonts w:ascii="Arial" w:cs="Arial" w:eastAsia="Arial" w:hAnsi="Arial"/>
          <w:sz w:val="22"/>
          <w:szCs w:val="22"/>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PC market and MacConnection</w:t>
      </w:r>
      <w:r>
        <w:rPr>
          <w:rFonts w:ascii="Arial" w:cs="Arial" w:eastAsia="Arial" w:hAnsi="Arial"/>
          <w:sz w:val="22"/>
          <w:szCs w:val="22"/>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Apple market. In 2006,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published twelve editions of each. We distribute catalogs to purchasers on our in-house mailing list as well as to other prospective customers. In addition, we distribute specialty catalogs to educational and governmental customers and prospects on a periodic basis. We also distribute our monthly catalogs customized with special covers and inserts, offering a wider assortment of special offers on products in specific areas such as graphics, server/netcom, and mobile computing, or for specific customers, such as developers.</w:t>
      </w:r>
    </w:p>
    <w:p>
      <w:pPr>
        <w:spacing w:after="0" w:line="15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Specialty Marketing. </w:t>
      </w:r>
      <w:r>
        <w:rPr>
          <w:rFonts w:ascii="Arial" w:cs="Arial" w:eastAsia="Arial" w:hAnsi="Arial"/>
          <w:sz w:val="16"/>
          <w:szCs w:val="16"/>
          <w:color w:val="auto"/>
        </w:rPr>
        <w:t>Our specialty marketing activities include direct mail, other inbound and outbound telemarketing services, bulletin board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package inserts, fax broadcasts, and electronic mail. We also market call-answering and fulfillment services to certain of our product vendors.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We maintain an extensive database of customers and prospects currently aggregating approximately 3,800,000 names. Approximately 89%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the year ended December 31, 2006 were made to customers who had previously purchased products from us. Except for sales to the federal government, no single customer accounted for more than 3% of our consolidated revenue in 2006. The loss of any single customer will not have a material adverse effect on any of our business segments. In addition, we do not have individual orders in our backlog that are material to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MERCHANDISING</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continuously focus on expanding the breadth of our product offerings. We currently offer our customers over 150,000 information technology products designed for business applications from more than 1,400 manufacturers, including hardware and peripherals, accessories, networking products, and software. We select the products we sell based upon their technology and effectiveness, market demand, product features, quality, price, margins, and warranties. As part of our merchandising strategy, we also offer products related to PCs, such as digital cameras.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our percentage of net sales (in dollars) of notebooks and personal digital assistants (“PDAs”), desktops and servers, storage devices, software, and other major product categories during the years ended December 31,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4"/>
              </w:rPr>
              <w:t>PERCENTAGE OF NET SALES</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5"/>
              </w:rPr>
              <w:t>Years Ended December 31,</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Notebooks and PDAs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Desktops/Servers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Storage Devices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Software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Net/Com Products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Printers and Printer Supplies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Video, Imaging, and Sound</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Memory and System Enhancements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Accessories/Other</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offer a 30-day right of return generally limited to defective merchandise. Returns of non-defective products are subject to restocking fees. Substantially all of the products marketed by us are warranted by the manufacturer. We generally accept returns directly from the customer and then either credit the customer’s account or ship the customer a similar product from our inventory.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VENDOR RELATIONS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year ended December 31, 2006, we purchased approximately 61% of our products from distributors and the balance directly from manufacturers. We ship approximately half of our purchases directly to our distribution facility in Wilmington, Ohio. During the years ended December 31, 2006, 2005, and 2004, product purchases from Ingram Micro, Inc., our largest vendor, accounted for 27%, 26%, and 27%, respectively, of our total product purchases. Purchases from Tech Data Corporation comprised 17%, 19%, and 14% of our total product purchases in the years ended December 31, 2006, 2005, and 2004, respectively. Purchases from Hewlett Packard (“HP”) constituted 15%, 11%, and 11% of our total product purchases in 2006, 2005, and 2004, respectively. No other vendor accounted for more than 10% of our total product purchases in the years ended December 31, 2006, 2005, and 2004. We believe that, while we may experience some short-term disruption, alternative sources for products obtained from Ingram Micro, Tech Data, and HP are available to us.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Many product suppliers reimburse us for advertisements or other cooperative marketing programs in our catalogs or advertisements in personal computer magazines that feature a manufacturer’s product. Reimbursements may be in the form of discounts, advertising allowances, and/or rebates. We also receive allowances from certain vendors based upon the volume of purchases or sales of the vendors’ products by 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Some of our vendors offer limited price protection in the form of rebates or credits against future purchases. We may also participate in end-of-life-cycle and other special purchases which may not be eligible for price protection.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that we have excellent relationships with vendors. We generally pay vendors within stated terms and take advantage of all appropriate discounts. We believe that because of our volume purchases we are able to obtain product pricing and terms that are competitive with those available to other major direct marketers. Although brand names and individual product offerings are important to our business, we believe that competitive products are available in substantially all of the merchandise categories offered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96"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At our approximately 205,000 square foot distribution and fulfillment complex in Wilmington, Ohio, we receive and ship inventory, configure computer systems, and process returned products. Orders are transmitted electronically from our Connecticut, Florida, Maryland, Massachusetts, New Hampshire, and Texas sales facilities to our Wilmington distribution center after credit approval, where packing documentation is printed automatically and order fulfillment takes place. Through our Everything Overnight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service, orders accepted up until 2:00 a.m. Eastern Time, (until midnight on custom-configured systems) are generally shipped for overnight delivery via DHL Worldwide Express, or DHL, United Parcel Service, or FedEx Corporation. Upon request, orders may also be shipped by other common carriers.</w:t>
      </w:r>
    </w:p>
    <w:p>
      <w:pPr>
        <w:spacing w:after="0" w:line="15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also place product orders directly with manufacturers and/or distribution companies for drop shipment by those manufacturers and/or suppliers directly to customers. Our MoreDirect subsidiary generally places all product orders with manufacturers and/or distribution companies for drop shipment directly to customers. Order status with distributors is tracked online and in all circumstances, a confirmation of shipment from manufacturers and/or distribution companies is received prior to initial recording of the transaction. At the end of each financial reporting period, revenue is adjusted pursuant to Staff Accounting Bulletin No. 101, “Revenue Recognition in Financial Statements,” to reflect the anticipated receipt of products by the customers in the period. Products dropped shipped by suppliers increased from 44% of net sales in 2005 to 50% of net sales in 2006. In future years, we expect that products drop shipped from suppliers will continue to increase, both in dollars and as a percentage of net sales, as we seek to lower our overall inventory and distribution costs while maintaining excellent customer service.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All of our subsidiaries, except for MoreDirect, use centralized management information systems principally comprised of applications software running on IBM AS/400 and RS6000 computers and Microsoft Windows 2003-based servers, which we have customized for our use. These systems permit centralized management of key functions, including order taking and processing, inventory and accounts receivable management, purchasing, sales, and distribution, and the preparation of daily operating control reports on key aspects of the business. We also operate advanced telecommunications equipment to support our sales and customer service operations. Key elements of the telecommunications systems are integrated with our computer systems to provide timely customer information to sales and service representatives, and to facilitate the preparation of operating and performance data.</w:t>
      </w:r>
    </w:p>
    <w:p>
      <w:pPr>
        <w:spacing w:after="0" w:line="12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MoreDirect has developed a custom designed Internet-based system, Traxx, which comprises applications software running on Linux and Sun Solaris servers. This system is an integrated application of sales order processing, integrated supply chain visibility, and full EDI links with major manufacturers’ distribution partners for product information, availability, pricing, ordering, delivery, and tracking, including related accounting functions.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our customized information systems enable us to improve our productivity, ship customer orders on a same-day basis, respond quickly to changes in our industry, and provide high levels of customer service.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success is dependent in large part on the accuracy and proper use of our information systems, including our telephone systems, to manage our inventory and accounts receivable collections, to purchase, sell, and ship our products efficiently and on a timely basis, and to maintain cost-efficient operations. We have undertaken a significant upgrade of our sales processing systems and expect to continually upgrade our information systems to more effectively manage our operations and customer database.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direct marketing and sale of information technology products, including personal computers and related products, is highly competitive. We compete with other direct marketers of IT products, including CDW Corporation and Insight Enterprises, Inc., who are much larger than we are. We also compete with:</w:t>
      </w:r>
    </w:p>
    <w:p>
      <w:pPr>
        <w:spacing w:after="0" w:line="4" w:lineRule="exact"/>
        <w:rPr>
          <w:sz w:val="20"/>
          <w:szCs w:val="20"/>
          <w:color w:val="auto"/>
        </w:rPr>
      </w:pPr>
    </w:p>
    <w:p>
      <w:pPr>
        <w:ind w:left="460" w:right="5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product manufacturers that sell directly to customers, such as Dell Inc. and Gateway, Inc., as well as some of our own suppliers, such as HP, Lenovo, and Apple;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distributors that sell directly to certain customers;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various franchisers, office supply superstores, and national computer retailers;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companies with more extensive Web sites and commercial online networks.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Additional competition may arise if other new methods of distribution, such as broadband electronic software distribution, emerge in the future.</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compete not only for customers, but also for favorable product allocations and cooperative advertising support from product manufacturers. Several of our competitors are larger and have substantially greater financial resources than we have.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price, product selection and availability, and service and support are the most important competitive factors in our industry.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right="20" w:firstLine="456"/>
        <w:spacing w:after="0" w:line="226" w:lineRule="auto"/>
        <w:rPr>
          <w:sz w:val="20"/>
          <w:szCs w:val="20"/>
          <w:color w:val="auto"/>
        </w:rPr>
      </w:pPr>
      <w:r>
        <w:rPr>
          <w:rFonts w:ascii="Arial" w:cs="Arial" w:eastAsia="Arial" w:hAnsi="Arial"/>
          <w:sz w:val="18"/>
          <w:szCs w:val="18"/>
          <w:color w:val="auto"/>
        </w:rPr>
        <w:t>Our trademarks include, but are not limited to, PC Connection</w:t>
      </w:r>
      <w:r>
        <w:rPr>
          <w:rFonts w:ascii="Arial" w:cs="Arial" w:eastAsia="Arial" w:hAnsi="Arial"/>
          <w:sz w:val="22"/>
          <w:szCs w:val="22"/>
          <w:color w:val="auto"/>
          <w:vertAlign w:val="superscript"/>
        </w:rPr>
        <w:t>®</w:t>
      </w:r>
      <w:r>
        <w:rPr>
          <w:rFonts w:ascii="Arial" w:cs="Arial" w:eastAsia="Arial" w:hAnsi="Arial"/>
          <w:sz w:val="18"/>
          <w:szCs w:val="18"/>
          <w:color w:val="auto"/>
        </w:rPr>
        <w:t>, GovConnection</w:t>
      </w:r>
      <w:r>
        <w:rPr>
          <w:rFonts w:ascii="Arial" w:cs="Arial" w:eastAsia="Arial" w:hAnsi="Arial"/>
          <w:sz w:val="22"/>
          <w:szCs w:val="22"/>
          <w:color w:val="auto"/>
          <w:vertAlign w:val="superscript"/>
        </w:rPr>
        <w:t>®</w:t>
      </w:r>
      <w:r>
        <w:rPr>
          <w:rFonts w:ascii="Arial" w:cs="Arial" w:eastAsia="Arial" w:hAnsi="Arial"/>
          <w:sz w:val="18"/>
          <w:szCs w:val="18"/>
          <w:color w:val="auto"/>
        </w:rPr>
        <w:t>, MacConnection</w:t>
      </w:r>
      <w:r>
        <w:rPr>
          <w:rFonts w:ascii="Arial" w:cs="Arial" w:eastAsia="Arial" w:hAnsi="Arial"/>
          <w:sz w:val="22"/>
          <w:szCs w:val="22"/>
          <w:color w:val="auto"/>
          <w:vertAlign w:val="superscript"/>
        </w:rPr>
        <w:t>®</w:t>
      </w:r>
      <w:r>
        <w:rPr>
          <w:rFonts w:ascii="Arial" w:cs="Arial" w:eastAsia="Arial" w:hAnsi="Arial"/>
          <w:sz w:val="18"/>
          <w:szCs w:val="18"/>
          <w:color w:val="auto"/>
        </w:rPr>
        <w:t>, and MoreDirect</w:t>
      </w:r>
      <w:r>
        <w:rPr>
          <w:rFonts w:ascii="Arial" w:cs="Arial" w:eastAsia="Arial" w:hAnsi="Arial"/>
          <w:sz w:val="22"/>
          <w:szCs w:val="22"/>
          <w:color w:val="auto"/>
          <w:vertAlign w:val="superscript"/>
        </w:rPr>
        <w:t>®</w:t>
      </w:r>
      <w:r>
        <w:rPr>
          <w:rFonts w:ascii="Arial" w:cs="Arial" w:eastAsia="Arial" w:hAnsi="Arial"/>
          <w:sz w:val="18"/>
          <w:szCs w:val="18"/>
          <w:color w:val="auto"/>
        </w:rPr>
        <w:t>, and their related logos; Everything Overnight</w:t>
      </w:r>
      <w:r>
        <w:rPr>
          <w:rFonts w:ascii="Arial" w:cs="Arial" w:eastAsia="Arial" w:hAnsi="Arial"/>
          <w:sz w:val="22"/>
          <w:szCs w:val="22"/>
          <w:color w:val="auto"/>
          <w:vertAlign w:val="superscript"/>
        </w:rPr>
        <w:t>®</w:t>
      </w:r>
      <w:r>
        <w:rPr>
          <w:rFonts w:ascii="Arial" w:cs="Arial" w:eastAsia="Arial" w:hAnsi="Arial"/>
          <w:sz w:val="18"/>
          <w:szCs w:val="18"/>
          <w:color w:val="auto"/>
        </w:rPr>
        <w:t>, The Connection</w:t>
      </w:r>
      <w:r>
        <w:rPr>
          <w:rFonts w:ascii="Arial" w:cs="Arial" w:eastAsia="Arial" w:hAnsi="Arial"/>
          <w:sz w:val="22"/>
          <w:szCs w:val="22"/>
          <w:color w:val="auto"/>
          <w:vertAlign w:val="superscript"/>
        </w:rPr>
        <w:t>®</w:t>
      </w:r>
      <w:r>
        <w:rPr>
          <w:rFonts w:ascii="Arial" w:cs="Arial" w:eastAsia="Arial" w:hAnsi="Arial"/>
          <w:sz w:val="18"/>
          <w:szCs w:val="18"/>
          <w:color w:val="auto"/>
        </w:rPr>
        <w:t>, Raccoon Character</w:t>
      </w:r>
      <w:r>
        <w:rPr>
          <w:rFonts w:ascii="Arial" w:cs="Arial" w:eastAsia="Arial" w:hAnsi="Arial"/>
          <w:sz w:val="22"/>
          <w:szCs w:val="22"/>
          <w:color w:val="auto"/>
          <w:vertAlign w:val="superscript"/>
        </w:rPr>
        <w:t>®</w:t>
      </w:r>
      <w:r>
        <w:rPr>
          <w:rFonts w:ascii="Arial" w:cs="Arial" w:eastAsia="Arial" w:hAnsi="Arial"/>
          <w:sz w:val="18"/>
          <w:szCs w:val="18"/>
          <w:color w:val="auto"/>
        </w:rPr>
        <w:t>, Service Connection</w:t>
      </w:r>
      <w:r>
        <w:rPr>
          <w:rFonts w:ascii="Arial" w:cs="Arial" w:eastAsia="Arial" w:hAnsi="Arial"/>
          <w:sz w:val="22"/>
          <w:szCs w:val="22"/>
          <w:color w:val="auto"/>
          <w:vertAlign w:val="superscript"/>
        </w:rPr>
        <w:t>®</w:t>
      </w:r>
      <w:r>
        <w:rPr>
          <w:rFonts w:ascii="Arial" w:cs="Arial" w:eastAsia="Arial" w:hAnsi="Arial"/>
          <w:sz w:val="18"/>
          <w:szCs w:val="18"/>
          <w:color w:val="auto"/>
        </w:rPr>
        <w:t>, HealthConnection</w:t>
      </w:r>
      <w:r>
        <w:rPr>
          <w:rFonts w:ascii="Arial" w:cs="Arial" w:eastAsia="Arial" w:hAnsi="Arial"/>
          <w:sz w:val="22"/>
          <w:szCs w:val="22"/>
          <w:color w:val="auto"/>
          <w:vertAlign w:val="superscript"/>
        </w:rPr>
        <w:t>™</w:t>
      </w:r>
      <w:r>
        <w:rPr>
          <w:rFonts w:ascii="Arial" w:cs="Arial" w:eastAsia="Arial" w:hAnsi="Arial"/>
          <w:sz w:val="18"/>
          <w:szCs w:val="18"/>
          <w:color w:val="auto"/>
        </w:rPr>
        <w:t>, Graphics Connection</w:t>
      </w:r>
      <w:r>
        <w:rPr>
          <w:rFonts w:ascii="Arial" w:cs="Arial" w:eastAsia="Arial" w:hAnsi="Arial"/>
          <w:sz w:val="22"/>
          <w:szCs w:val="22"/>
          <w:color w:val="auto"/>
          <w:vertAlign w:val="superscript"/>
        </w:rPr>
        <w:t>®</w:t>
      </w:r>
      <w:r>
        <w:rPr>
          <w:rFonts w:ascii="Arial" w:cs="Arial" w:eastAsia="Arial" w:hAnsi="Arial"/>
          <w:sz w:val="18"/>
          <w:szCs w:val="18"/>
          <w:color w:val="auto"/>
        </w:rPr>
        <w:t>, and Education Connection</w:t>
      </w:r>
      <w:r>
        <w:rPr>
          <w:rFonts w:ascii="Arial" w:cs="Arial" w:eastAsia="Arial" w:hAnsi="Arial"/>
          <w:sz w:val="22"/>
          <w:szCs w:val="22"/>
          <w:color w:val="auto"/>
          <w:vertAlign w:val="superscript"/>
        </w:rPr>
        <w:t>®</w:t>
      </w:r>
      <w:r>
        <w:rPr>
          <w:rFonts w:ascii="Arial" w:cs="Arial" w:eastAsia="Arial" w:hAnsi="Arial"/>
          <w:sz w:val="18"/>
          <w:szCs w:val="18"/>
          <w:color w:val="auto"/>
        </w:rPr>
        <w:t>, and Your Brands, Your Way, Next Day</w:t>
      </w:r>
      <w:r>
        <w:rPr>
          <w:rFonts w:ascii="Arial" w:cs="Arial" w:eastAsia="Arial" w:hAnsi="Arial"/>
          <w:sz w:val="22"/>
          <w:szCs w:val="22"/>
          <w:color w:val="auto"/>
          <w:vertAlign w:val="superscript"/>
        </w:rPr>
        <w:t>®</w:t>
      </w:r>
      <w:r>
        <w:rPr>
          <w:rFonts w:ascii="Arial" w:cs="Arial" w:eastAsia="Arial" w:hAnsi="Arial"/>
          <w:sz w:val="18"/>
          <w:szCs w:val="18"/>
          <w:color w:val="auto"/>
        </w:rPr>
        <w:t>. We intend to use and protect these and our other marks, as we deem necessary. We believe our trademarks have significant value and are an important factor in the marketing of our products. We do not maintain a traditional research and development group, but we work closely with computer product manufacturers and other technology developers to stay abreast of the latest developments in computer technology, with respect to the products we both sell and use.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FORCE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2006, we employed 1,635 persons, of whom 865 were engaged in sales related activities, 140 were engaged in providing IT services and customer service and support, 291 were engaged in purchasing, marketing, and distribution related activities, 106 were engaged in the operation and development of management information systems, and 233 were engaged in administrative and accounting functions. We consider our employee relations to be good. Our employees are not represented by a labor union, and we have never experienced a work stoppage since our inception.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Annual Report on Form 10-K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new merchandise and catalog offerings;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product offerings;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results also may vary based on our ability to hire and retain sales representatives and other essential personnel, as well as our success in integrating acquisitions into our business, and their relative costs.</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b w:val="1"/>
          <w:bCs w:val="1"/>
          <w:color w:val="auto"/>
        </w:rPr>
        <w:t>Despite our August 2004 award of an authorization to sell to the federal government under a new General Services Administration, or GSA, schedule, our sales to that organization may not regain prior years’ sales levels, which would negatively impact our business.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was referred to the Department of Justice, or DOJ, for review. We cooperated in that review, and in 2006, we concluded a settlement with the DOJ of this matter.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“configure-to-order”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70%, 67%, and 63% of our total product purchases in the years ended December 31, 2006, 2005, and 2004, respectively. Among these five vendors, purchases from Ingram represented 27%, 26%, and 27% of our total product purchases in the years ended December 31, 2006, 2005, and 2004, respectively. Purchases from Tech Data comprised 17%, 19%, and 14% of our total product purchases in the years ended December 31, 2006, 2005, and 2004, respectively. Purchases from HP represented 15%, 11%, and 11% of our total product purchases in the years ended December 31, 2006, 2005, and 2004, respectively. No other vendor supplied more than 10% of our total product purchases in the years ended December 31, 2006, 2005, and 2004. If we were unable to acquire products from Ingram, HP, or Tech Data, we could experience a short-term disruption in the availability of products, and such disruption could have a material adverse effect on our results of operations and cash flows.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December 31, 2006 was $111.0 million. Termination, interruption, or contraction of relationships with our vendors, including a reduction in the level of trade credit provided to us, could have a material adverse effect on our financial position.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Some product manufacturers either do not permit us to sell the full line of their products or limit the number of product units available to direct marketers such as us. An element of our business strategy is to continue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product suppliers provide us with advertising allowances, and in exchange, we feature their products in our catalogs and other marketing vehicles. These vendor allowances, to the extent that they represent specific reimbursements of incremental and identifiable costs, are offset against selling, general and administrative, or SG&amp;A, expenses. Advertising allowances that cannot be associated with a specific program funded by an individual vendor or that exceed the fair value of advertising expense associated with that program are classified as offsets to cost of sales or inventory. In the past, we have experienced a decrease in the level of vendor consideration available to us from certain manufacturers. The level of such consideration we receive from some manufacturers may decline in the future. Such a decline could decrease our gross margin and have a material adverse effect on our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had an increasing level of sales made over the Internet in part because of the growing use and acceptance of the Internet by end users.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success in growing our Internet business will depend in large part upon the development of an increasingly sophisticated infrastructure for providing Internet access and services. If the number of Internet users or their use of Internet resources continues to grow rapidly, such growth may overwhelm the existing Internet infrastructure. Our ability to increase the speed with which we provide services to customers and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increase the scope of such services ultimately is limited by, and reliant upon, the sophistication, speed, reliability, and cost-effectiveness of the networks operated by third parties, and these networks may not continue to be developed or be available at prices consistent with our required business model.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Many of our customers elect to have their purchases shipped by an interstate common carrier, such as DHL, United Parcel Service, or FedEx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strike or other interruption in service by these shippers could adversely affect our ability to market or deliver products to customers on a timely basis.</w:t>
      </w:r>
    </w:p>
    <w:p>
      <w:pPr>
        <w:spacing w:after="0" w:line="26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our primary freight carrier.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collect and remit sales and use taxes in states in which we have either voluntarily registered or have a physical presence.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65%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November 1997 we entered into a fifteen year lease for our corporate headquarters and telemarketing center located at 730 Milford Road, Merrimack, New Hampshire 03054-4631, with an affiliated entity, G&amp;H Post, which is related to us through common ownership. The total lease is valued at approximately $7.0 million, based upon an independent property appraisal obtained at the date of lease, and interest is calculated at an annual rate of 11%. The lease requires us to pay our proportionate share of real estate taxes and common area maintenance charges as additional rent and also to pay insurance premiums for the leased property. We have the option to renew the lease for two additional terms of five years each. The lease has been recorded as a capital lease in the financial statements.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lease 205,000 square feet in two facilities in Wilmington, Ohio, which houses our distribution and order fulfillment operations. The leases governing these two facilities expire in the first and fourth quarter of 2009, respectively. We also operate sales and support offices in Keene and Portsmouth, New Hampshire; Marlborough, Massachusetts; Rockville, Maryland; Fairfield, Connecticut; Addison, Texas; and Boca Raton, Florida, and lease facilities at these locations. Leasehold improvements associated with these properties are amortized over the terms of the leases or their useful lives, whichever is shorter. We believe that existing distribution facilities in Wilmington, Ohio will be sufficient to support our anticipated needs through the next twelve months and beyond.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are subject to audits by states on sales and income taxes, unclaimed property, and other assessments. A multi-state unclaimed property audit is in progress, and certain sales tax audits may be imminent. 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107"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during the fourth quarter of 2006 to a vote of security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PC Connection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and their ages as of March 16,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060" w:type="dxa"/>
            <w:vAlign w:val="bottom"/>
            <w:tcBorders>
              <w:bottom w:val="single" w:sz="8" w:color="auto"/>
            </w:tcBorders>
          </w:tcPr>
          <w:p>
            <w:pPr>
              <w:ind w:left="33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Patricia Gallup</w:t>
            </w:r>
          </w:p>
        </w:tc>
        <w:tc>
          <w:tcPr>
            <w:tcW w:w="22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6"/>
                <w:szCs w:val="16"/>
                <w:color w:val="auto"/>
              </w:rPr>
            </w:pPr>
          </w:p>
        </w:tc>
        <w:tc>
          <w:tcPr>
            <w:tcW w:w="7060" w:type="dxa"/>
            <w:vAlign w:val="bottom"/>
          </w:tcPr>
          <w:p>
            <w:pPr>
              <w:spacing w:after="0" w:line="195" w:lineRule="exact"/>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David B. Beffa-Negrini</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Vice President, Corporate Marketing and Creative Service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Jack L. Ferguson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Timothy J. McGrath</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Vice President, PC Connection Enterprises</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Bradley G. Mousseau</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Senior Vice President, Human Resources</w:t>
            </w:r>
          </w:p>
        </w:tc>
      </w:tr>
    </w:tbl>
    <w:p>
      <w:pPr>
        <w:spacing w:after="0" w:line="15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Patricia Gallup </w:t>
      </w:r>
      <w:r>
        <w:rPr>
          <w:rFonts w:ascii="Arial" w:cs="Arial" w:eastAsia="Arial" w:hAnsi="Arial"/>
          <w:sz w:val="16"/>
          <w:szCs w:val="16"/>
          <w:color w:val="auto"/>
        </w:rPr>
        <w:t>is a co-founder of PC Connection and has served as Chief Executive Officer and Chairman of the Board since September 2002. Ms. Gallup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assumed the role of President of PC Connection upon the resignation of its former president on March 21, 2003. Ms. Gallup served as Chairman from June 2001 to August 2002. Ms. Gallup has served as a member of our executive management team since its inception in 1982.</w:t>
      </w:r>
    </w:p>
    <w:p>
      <w:pPr>
        <w:spacing w:after="0" w:line="10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David Beffa-Negrini </w:t>
      </w:r>
      <w:r>
        <w:rPr>
          <w:rFonts w:ascii="Arial" w:cs="Arial" w:eastAsia="Arial" w:hAnsi="Arial"/>
          <w:sz w:val="15"/>
          <w:szCs w:val="15"/>
          <w:color w:val="auto"/>
        </w:rPr>
        <w:t>has served as Senior Vice President, Corporate Marketing and Creative Services since February 2007. Mr. Beffa-Negrini served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Co-President of our Merrimack Services subsidiary from September 2005 to February 2007 and as Vice President of Corporate Communications from June 2000 to February 2007. Mr. Beffa-Negrini has served on our Board of Directors since September 1994. He has been an employee of PC Connection, Inc. since 1983.</w:t>
      </w:r>
    </w:p>
    <w:p>
      <w:pPr>
        <w:spacing w:after="0" w:line="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Jack L. Ferguson </w:t>
      </w:r>
      <w:r>
        <w:rPr>
          <w:rFonts w:ascii="Arial" w:cs="Arial" w:eastAsia="Arial" w:hAnsi="Arial"/>
          <w:sz w:val="18"/>
          <w:szCs w:val="18"/>
          <w:color w:val="auto"/>
        </w:rPr>
        <w:t>has served as Senior Vice President since April 2006, as Chief Financial Officer since December 2005, and as Treasurer since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1997. Mr. Ferguson served as Vice President from December 2005 to April 2006 and as Interim Chief Financial Officer from October 2004 to December 2005. Mr. Ferguson served as Director of Finance from December 1992 to November 1997. Prior to joining PC Connection, Mr. Ferguson was a partner with Deloitte &amp; Touche LLP, an international accounting firm.</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Timothy J. McGrath </w:t>
      </w:r>
      <w:r>
        <w:rPr>
          <w:rFonts w:ascii="Arial" w:cs="Arial" w:eastAsia="Arial" w:hAnsi="Arial"/>
          <w:sz w:val="18"/>
          <w:szCs w:val="18"/>
          <w:color w:val="auto"/>
        </w:rPr>
        <w:t>has served as Senior Vice President, PC Connection Enterprises since December 2006. Mr. McGrath served as President of 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Sales Corporation, our largest sales subsidiary, from August 2005 to December 2006. Prior to joining PC Connection, Mr. McGrath served from 2002 to 2005 in a variety of senior management positions at Insight Enterprises, Inc. Initially he served as President of Comark, a division of Insight, and later as Executive Vice President of Sales. Mr. McGrath served in various executive sales positions at Comark Inc. from 1999 to 2002, which was purchased by Insight Enterprises, Inc. in April 2002.</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Bradley G. Mousseau </w:t>
      </w:r>
      <w:r>
        <w:rPr>
          <w:rFonts w:ascii="Arial" w:cs="Arial" w:eastAsia="Arial" w:hAnsi="Arial"/>
          <w:sz w:val="18"/>
          <w:szCs w:val="18"/>
          <w:color w:val="auto"/>
        </w:rPr>
        <w:t>has served as Senior Vice President, Human Resources since April 2006. Mr. Mousseau served as Vice President,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2000 to April 2006. Prior to joining PC Connection, Mr. Mousseau served as Vice President of Global Workforce Strategies for Systems &amp; Computer Technology Corporation (SCT) from April 1997 to January 2000.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the Registrant’s Common Equity, Related Stockholder Matters, and Issuer Purchases of Equity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Information</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PC Connection’s Common Stock commenced trading on March 3, 1998 on the Nasdaq Global Market under the symbol “PCCC.” As of March 16, 2007, there were 26,793,771 shares outstanding of our common stock held by approximately 104 stockholders of record and 7,230 beneficial holders.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fiscal periods indicated the range of high and low sales prices for our common stock on the Nasdaq Global Market.</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740" w:type="dxa"/>
            <w:vAlign w:val="bottom"/>
          </w:tcPr>
          <w:p>
            <w:pPr>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High</w:t>
            </w:r>
          </w:p>
        </w:tc>
        <w:tc>
          <w:tcPr>
            <w:tcW w:w="24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6"/>
        </w:trPr>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Quarter Ended:</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December 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15.68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$9.16</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September 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 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372"/>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Quarter Ended: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December 31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September 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8.60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 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never declared or paid cash dividends on our capital stock. We anticipate that we will retain all future earnings, if any, to fund the development and growth of our business, and we do not anticipate paying any cash dividends on our Common Stock in the foreseeable future. Our secured credit agreement contains restrictions that may limit our ability to pay dividends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 Repurchase Authorization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announced on March 28, 2001, that our Board of Directors authorized the spending of up to $15.0 million to repurchase our common stock. Share purchases will be made in the open market from time to time depending on market conditions. As of December 31, 2006, we have repurchased an aggregate of 362,417 shares for $2.3 million. Our current bank line of credit, however, limits additional repurchases to $10 million without bank approval of higher amounts. We did not repurchase any shares of our common stock in the year ended December 31, 2006.</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issued 10,000 shares of nonvested stock from treasury stock in the year ended December 31, 2006 and have reflected the net remaining balance of treasury stock on the consolidated balance sheet.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December 31, 2006 of equity securities that we registered pursuant to Section 12 of the Exchange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7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7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w:t>
            </w:r>
          </w:p>
        </w:tc>
        <w:tc>
          <w:tcPr>
            <w:tcW w:w="7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Share</w:t>
            </w: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78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2"/>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7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(or Unit)</w:t>
            </w: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rPr>
              <w:t xml:space="preserve">Program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10/01/06 – 10/31/06</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11/01/06 – 11/30/06</w:t>
            </w:r>
          </w:p>
        </w:tc>
        <w:tc>
          <w:tcPr>
            <w:tcW w:w="7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12/01/06 – 12/31/06</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5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approved our repurchase of shares of our common stock having a value of up to $15.0 million in the aggregate pursuant to a repurchase program announced on March 28,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stock performance graph compares cumulative total stockholder return on the Company’s Common Stock for the period from December 31, 2001 through December 31, 2006 with the cumulative total return for (i) the Russell 2000 Index and (ii) the Company’s Peer Group. This graph assumes the investment of $100 on December 31, 2001 in the Company’s Common Stock, the Russell 2000 Index, and the Company’s Peer Group and assumes dividends are reinvested. The Company’s Peer Group consists of CDW Corporation, PC Mall, Inc., Insight Enterprises, Inc., Zones, Inc., and Systemax,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76835</wp:posOffset>
            </wp:positionV>
            <wp:extent cx="4862195" cy="3027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6219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Arial" w:cs="Arial" w:eastAsia="Arial" w:hAnsi="Arial"/>
                <w:sz w:val="14"/>
                <w:szCs w:val="14"/>
                <w:b w:val="1"/>
                <w:bCs w:val="1"/>
                <w:color w:val="auto"/>
              </w:rPr>
              <w:t>Base</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left="546"/>
              <w:spacing w:after="0"/>
              <w:rPr>
                <w:sz w:val="20"/>
                <w:szCs w:val="20"/>
                <w:color w:val="auto"/>
              </w:rPr>
            </w:pPr>
            <w:r>
              <w:rPr>
                <w:rFonts w:ascii="Arial" w:cs="Arial" w:eastAsia="Arial" w:hAnsi="Arial"/>
                <w:sz w:val="14"/>
                <w:szCs w:val="14"/>
                <w:b w:val="1"/>
                <w:bCs w:val="1"/>
                <w:color w:val="auto"/>
                <w:w w:val="89"/>
              </w:rPr>
              <w:t>Indexed Returns</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 / Index</w:t>
            </w: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Years Ended</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gridSpan w:val="2"/>
            <w:vMerge w:val="continue"/>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Dec-01   Dec-02</w:t>
            </w:r>
          </w:p>
        </w:tc>
        <w:tc>
          <w:tcPr>
            <w:tcW w:w="120" w:type="dxa"/>
            <w:vAlign w:val="bottom"/>
          </w:tcPr>
          <w:p>
            <w:pPr>
              <w:spacing w:after="0"/>
              <w:rPr>
                <w:sz w:val="12"/>
                <w:szCs w:val="12"/>
                <w:color w:val="auto"/>
              </w:rPr>
            </w:pPr>
          </w:p>
        </w:tc>
        <w:tc>
          <w:tcPr>
            <w:tcW w:w="7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Dec-03</w:t>
            </w:r>
          </w:p>
        </w:tc>
        <w:tc>
          <w:tcPr>
            <w:tcW w:w="8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Dec-04</w:t>
            </w: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Dec-05</w:t>
            </w:r>
          </w:p>
        </w:tc>
        <w:tc>
          <w:tcPr>
            <w:tcW w:w="6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Dec-06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PC Connection, Inc.</w:t>
            </w:r>
          </w:p>
        </w:tc>
        <w:tc>
          <w:tcPr>
            <w:tcW w:w="3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Russell 2000 Index</w:t>
            </w:r>
          </w:p>
        </w:tc>
        <w:tc>
          <w:tcPr>
            <w:tcW w:w="43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79.52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117.09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138.55</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144.86</w:t>
            </w:r>
          </w:p>
        </w:tc>
        <w:tc>
          <w:tcPr>
            <w:tcW w:w="640" w:type="dxa"/>
            <w:vAlign w:val="bottom"/>
          </w:tcPr>
          <w:p>
            <w:pPr>
              <w:jc w:val="right"/>
              <w:spacing w:after="0"/>
              <w:rPr>
                <w:sz w:val="20"/>
                <w:szCs w:val="20"/>
                <w:color w:val="auto"/>
              </w:rPr>
            </w:pPr>
            <w:r>
              <w:rPr>
                <w:rFonts w:ascii="Arial" w:cs="Arial" w:eastAsia="Arial" w:hAnsi="Arial"/>
                <w:sz w:val="18"/>
                <w:szCs w:val="18"/>
                <w:color w:val="auto"/>
              </w:rPr>
              <w:t>171.47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4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108.28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109.85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80" w:type="dxa"/>
            <w:vAlign w:val="bottom"/>
          </w:tcPr>
          <w:p>
            <w:pPr>
              <w:jc w:val="right"/>
              <w:ind w:right="13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following selected financial and operating data should be read in conjunction with the Company’s Consolidated Financial Statements and the Notes thereto, and “Management’s Discussion and Analysis of Financial Condition and Results of Operations” and other financial information included elsewhere in this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center"/>
              <w:ind w:left="594"/>
              <w:spacing w:after="0"/>
              <w:rPr>
                <w:sz w:val="20"/>
                <w:szCs w:val="20"/>
                <w:color w:val="auto"/>
              </w:rPr>
            </w:pPr>
            <w:r>
              <w:rPr>
                <w:rFonts w:ascii="Arial" w:cs="Arial" w:eastAsia="Arial" w:hAnsi="Arial"/>
                <w:sz w:val="14"/>
                <w:szCs w:val="14"/>
                <w:b w:val="1"/>
                <w:bCs w:val="1"/>
                <w:color w:val="auto"/>
                <w:w w:val="86"/>
              </w:rPr>
              <w:t>Years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(dollars in thousands,</w:t>
            </w:r>
          </w:p>
        </w:tc>
        <w:tc>
          <w:tcPr>
            <w:tcW w:w="2700" w:type="dxa"/>
            <w:vAlign w:val="bottom"/>
            <w:gridSpan w:val="11"/>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except per share and selected operating data)</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Net sales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1,635,651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1,444,297</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1,353,834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1,312,891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1,191,497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1,201,780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1,175,212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40"/>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200,251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163,596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152,054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137,679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132,729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 xml:space="preserve">Special charges </w:t>
            </w:r>
            <w:r>
              <w:rPr>
                <w:rFonts w:ascii="Arial" w:cs="Arial" w:eastAsia="Arial" w:hAnsi="Arial"/>
                <w:sz w:val="22"/>
                <w:szCs w:val="22"/>
                <w:color w:val="auto"/>
                <w:vertAlign w:val="superscript"/>
              </w:rPr>
              <w:t>(1)</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52"/>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12,860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provision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(8,450)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13,776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4,447</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8,304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5,888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income per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40"/>
              <w:spacing w:after="0"/>
              <w:rPr>
                <w:sz w:val="20"/>
                <w:szCs w:val="20"/>
                <w:color w:val="auto"/>
              </w:rPr>
            </w:pPr>
            <w:r>
              <w:rPr>
                <w:rFonts w:ascii="Arial" w:cs="Arial" w:eastAsia="Arial" w:hAnsi="Arial"/>
                <w:sz w:val="18"/>
                <w:szCs w:val="18"/>
                <w:color w:val="auto"/>
              </w:rPr>
              <w:t>Diluted net income per share</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2"/>
            <w:vMerge w:val="continue"/>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Operating Data:</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Catalogs distributed</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15,326,000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27,467,000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31,125,000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31,525,000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Orders entered </w:t>
            </w:r>
            <w:r>
              <w:rPr>
                <w:rFonts w:ascii="Arial" w:cs="Arial" w:eastAsia="Arial" w:hAnsi="Arial"/>
                <w:sz w:val="22"/>
                <w:szCs w:val="22"/>
                <w:color w:val="auto"/>
                <w:vertAlign w:val="superscript"/>
              </w:rPr>
              <w:t>(2)</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1,528,000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1,439,000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1,281,000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1,333,000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 xml:space="preserve">Average order size </w:t>
            </w:r>
            <w:r>
              <w:rPr>
                <w:rFonts w:ascii="Arial" w:cs="Arial" w:eastAsia="Arial" w:hAnsi="Arial"/>
                <w:sz w:val="22"/>
                <w:szCs w:val="22"/>
                <w:color w:val="auto"/>
                <w:vertAlign w:val="superscript"/>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1,230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Working capital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126,965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100,893</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103,637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96,883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286,542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440"/>
              <w:spacing w:after="0"/>
              <w:rPr>
                <w:sz w:val="20"/>
                <w:szCs w:val="20"/>
                <w:color w:val="auto"/>
              </w:rPr>
            </w:pPr>
            <w:r>
              <w:rPr>
                <w:rFonts w:ascii="Arial" w:cs="Arial" w:eastAsia="Arial" w:hAnsi="Arial"/>
                <w:sz w:val="18"/>
                <w:szCs w:val="18"/>
                <w:color w:val="auto"/>
              </w:rPr>
              <w:t>Short-term debt: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Current maturities of capital lease obligations: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To affiliate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 third party</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ind w:left="660"/>
              <w:spacing w:after="0"/>
              <w:rPr>
                <w:sz w:val="20"/>
                <w:szCs w:val="20"/>
                <w:color w:val="auto"/>
              </w:rPr>
            </w:pPr>
            <w:r>
              <w:rPr>
                <w:rFonts w:ascii="Arial" w:cs="Arial" w:eastAsia="Arial" w:hAnsi="Arial"/>
                <w:sz w:val="18"/>
                <w:szCs w:val="18"/>
                <w:color w:val="auto"/>
              </w:rPr>
              <w:t>Notes payable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660"/>
              <w:spacing w:after="0"/>
              <w:rPr>
                <w:sz w:val="20"/>
                <w:szCs w:val="20"/>
                <w:color w:val="auto"/>
              </w:rPr>
            </w:pPr>
            <w:r>
              <w:rPr>
                <w:rFonts w:ascii="Arial" w:cs="Arial" w:eastAsia="Arial" w:hAnsi="Arial"/>
                <w:sz w:val="18"/>
                <w:szCs w:val="18"/>
                <w:color w:val="auto"/>
              </w:rPr>
              <w:t>Capital lease obligations, less current maturities: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 affiliate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880"/>
              <w:spacing w:after="0"/>
              <w:rPr>
                <w:sz w:val="20"/>
                <w:szCs w:val="20"/>
                <w:color w:val="auto"/>
              </w:rPr>
            </w:pPr>
            <w:r>
              <w:rPr>
                <w:rFonts w:ascii="Arial" w:cs="Arial" w:eastAsia="Arial" w:hAnsi="Arial"/>
                <w:sz w:val="18"/>
                <w:szCs w:val="18"/>
                <w:color w:val="auto"/>
              </w:rPr>
              <w:t>To third party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20" w:hanging="332"/>
        <w:spacing w:after="0" w:line="262"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6"/>
          <w:szCs w:val="16"/>
          <w:color w:val="auto"/>
        </w:rPr>
        <w:t>Our 2006 special charges consist of $520 for the cost of workforce reductions, $1,500 related to our settlement with the DOJ on our 2003 GSA audit matter, and $371 related to the temporary retention of certain Amherst employees and facilities subsequent to the purchase of certain assets of Amherst Technologies, or the Amherst Transaction. Our 2005 special charges consist of $1,071 for the cost of workforce reductions and $1,056 incurred related to the temporary retention of certain Amherst employees and facilities subsequent to the Amherst Transaction. Our 2004 special charges consist of $860 for the cost of workforce reductions, $101 for the remaining uninsured portion of a 2003 employee defalcation, $3,559 related to our review of the 2003 GSA contract cancellation and costs related to securing a new schedule, $512 in professional fees related to a review of certain prior year rebate-related transactions, and $200 related to a proposed litigation settlement. Our 2003 special charges consist of $407 for the cost of workforce reductions, $1,130 for an uninsured portion of an employee defalcation, and $392 for an internal review of our GSA contract cancellation. Our 2002 special charges consist of $886 for the cost of workforce reductions and $750 for costs relating to a Microsoft settlement.</w:t>
      </w:r>
    </w:p>
    <w:p>
      <w:pPr>
        <w:spacing w:after="0" w:line="2" w:lineRule="exact"/>
        <w:rPr>
          <w:rFonts w:ascii="Arial" w:cs="Arial" w:eastAsia="Arial" w:hAnsi="Arial"/>
          <w:sz w:val="11"/>
          <w:szCs w:val="11"/>
          <w:color w:val="auto"/>
        </w:rPr>
      </w:pPr>
    </w:p>
    <w:p>
      <w:pPr>
        <w:ind w:left="340" w:hanging="332"/>
        <w:spacing w:after="0"/>
        <w:tabs>
          <w:tab w:leader="none" w:pos="340" w:val="left"/>
        </w:tabs>
        <w:numPr>
          <w:ilvl w:val="0"/>
          <w:numId w:val="14"/>
        </w:numPr>
        <w:rPr>
          <w:rFonts w:ascii="Arial" w:cs="Arial" w:eastAsia="Arial" w:hAnsi="Arial"/>
          <w:sz w:val="11"/>
          <w:szCs w:val="11"/>
          <w:color w:val="auto"/>
        </w:rPr>
      </w:pPr>
      <w:r>
        <w:rPr>
          <w:rFonts w:ascii="Arial" w:cs="Arial" w:eastAsia="Arial" w:hAnsi="Arial"/>
          <w:sz w:val="18"/>
          <w:szCs w:val="18"/>
          <w:color w:val="auto"/>
        </w:rPr>
        <w:t>Does not reflect cancellations or returns.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are a national direct marketer of a wide range of IT products and services—including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(a) consumers and small- to medium-sized businesses, or SMBs, through our PC Connection Sales subsidiaries, (b) large corporate accounts, or Large Account, through our MoreDirect subsidiary, and (c) federal, state, and local government entities and educational institutions, or Public Sector, through our GovConnection subsidiary.</w:t>
      </w:r>
    </w:p>
    <w:p>
      <w:pPr>
        <w:spacing w:after="0" w:line="14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primary challenges we face in effectively managing our business are (1) increasing our revenues in the face of increasing competition while improving our gross profit margins in all three business segments, (2) recruiting, retaining, and improving the productivity of our sales personnel, and (3) effectively managing and leveraging our selling, general and administrative, or SG&amp;A, expenses over a higher sales base. With only moderate growth projected in the overall IT industry, any significant sales growth for us must come through increased market share. Competition is expected to be even more intense in the future, which could put more pressure on margins.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information derived from our statements of income expressed as a percentage of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 (in millions)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1,635.7</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1,353.8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vMerge w:val="continue"/>
          </w:tcPr>
          <w:p>
            <w:pPr>
              <w:spacing w:after="0"/>
              <w:rPr>
                <w:sz w:val="18"/>
                <w:szCs w:val="18"/>
                <w:color w:val="auto"/>
              </w:rPr>
            </w:pPr>
          </w:p>
        </w:tc>
        <w:tc>
          <w:tcPr>
            <w:tcW w:w="3560" w:type="dxa"/>
            <w:vAlign w:val="bottom"/>
            <w:gridSpan w:val="3"/>
          </w:tcPr>
          <w:p>
            <w:pPr>
              <w:jc w:val="right"/>
              <w:ind w:right="152"/>
              <w:spacing w:after="0"/>
              <w:rPr>
                <w:sz w:val="20"/>
                <w:szCs w:val="20"/>
                <w:color w:val="auto"/>
              </w:rPr>
            </w:pPr>
            <w:r>
              <w:rPr>
                <w:rFonts w:ascii="Arial" w:cs="Arial" w:eastAsia="Arial" w:hAnsi="Arial"/>
                <w:sz w:val="18"/>
                <w:szCs w:val="18"/>
                <w:color w:val="auto"/>
              </w:rPr>
              <w:t>100.0%</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0.7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All three of our business segments experienced year-over-year sales growth in 2006. Although our Public Sector sales increased only slightly in 2006 compared to 2005, our Large Account and SMB segments sales increased by 39% and 6%, respectively. Our Large Account segment benefited from organic growth as well as from sales generated by former Amherst service and sales representatives who joined our organization in October 2005. Our SMB segment increased net sales in 2006 by adding new customers and penetrating existing accounts.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and product mix: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10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r>
      <w:tr>
        <w:trPr>
          <w:trHeight w:val="142"/>
        </w:trPr>
        <w:tc>
          <w:tcPr>
            <w:tcW w:w="8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Business Segment</w:t>
            </w:r>
          </w:p>
        </w:tc>
        <w:tc>
          <w:tcPr>
            <w:tcW w:w="5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820" w:type="dxa"/>
            <w:vAlign w:val="bottom"/>
            <w:gridSpan w:val="4"/>
          </w:tcPr>
          <w:p>
            <w:pPr>
              <w:ind w:left="440"/>
              <w:spacing w:after="0"/>
              <w:rPr>
                <w:sz w:val="20"/>
                <w:szCs w:val="20"/>
                <w:color w:val="auto"/>
              </w:rPr>
            </w:pPr>
            <w:r>
              <w:rPr>
                <w:rFonts w:ascii="Arial" w:cs="Arial" w:eastAsia="Arial" w:hAnsi="Arial"/>
                <w:sz w:val="18"/>
                <w:szCs w:val="18"/>
                <w:color w:val="auto"/>
              </w:rPr>
              <w:t>Large Account</w:t>
            </w:r>
          </w:p>
        </w:tc>
        <w:tc>
          <w:tcPr>
            <w:tcW w:w="540" w:type="dxa"/>
            <w:vAlign w:val="bottom"/>
            <w:gridSpan w:val="3"/>
          </w:tcPr>
          <w:p>
            <w:pPr>
              <w:jc w:val="right"/>
              <w:ind w:right="132"/>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5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320" w:type="dxa"/>
            <w:vAlign w:val="bottom"/>
            <w:gridSpan w:val="3"/>
            <w:vMerge w:val="restart"/>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8320" w:type="dxa"/>
            <w:vAlign w:val="bottom"/>
            <w:gridSpan w:val="3"/>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9"/>
                <w:szCs w:val="19"/>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100%</w:t>
            </w: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Mix</w:t>
            </w:r>
          </w:p>
        </w:tc>
        <w:tc>
          <w:tcPr>
            <w:tcW w:w="500" w:type="dxa"/>
            <w:vAlign w:val="bottom"/>
            <w:gridSpan w:val="2"/>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20" w:type="dxa"/>
            <w:vAlign w:val="bottom"/>
            <w:tcBorders>
              <w:bottom w:val="single" w:sz="8" w:color="auto"/>
            </w:tcBorders>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Notebooks and PDAs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20" w:type="dxa"/>
            <w:vAlign w:val="bottom"/>
            <w:gridSpan w:val="4"/>
          </w:tcPr>
          <w:p>
            <w:pPr>
              <w:ind w:left="440"/>
              <w:spacing w:after="0"/>
              <w:rPr>
                <w:sz w:val="20"/>
                <w:szCs w:val="20"/>
                <w:color w:val="auto"/>
              </w:rPr>
            </w:pPr>
            <w:r>
              <w:rPr>
                <w:rFonts w:ascii="Arial" w:cs="Arial" w:eastAsia="Arial" w:hAnsi="Arial"/>
                <w:sz w:val="18"/>
                <w:szCs w:val="18"/>
                <w:color w:val="auto"/>
              </w:rPr>
              <w:t>Desktop/Servers</w:t>
            </w:r>
          </w:p>
        </w:tc>
        <w:tc>
          <w:tcPr>
            <w:tcW w:w="540" w:type="dxa"/>
            <w:vAlign w:val="bottom"/>
            <w:gridSpan w:val="3"/>
          </w:tcPr>
          <w:p>
            <w:pPr>
              <w:jc w:val="right"/>
              <w:ind w:right="132"/>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Storage Devices</w:t>
            </w:r>
          </w:p>
        </w:tc>
        <w:tc>
          <w:tcPr>
            <w:tcW w:w="5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820" w:type="dxa"/>
            <w:vAlign w:val="bottom"/>
            <w:gridSpan w:val="4"/>
          </w:tcPr>
          <w:p>
            <w:pPr>
              <w:ind w:left="440"/>
              <w:spacing w:after="0"/>
              <w:rPr>
                <w:sz w:val="20"/>
                <w:szCs w:val="20"/>
                <w:color w:val="auto"/>
              </w:rPr>
            </w:pPr>
            <w:r>
              <w:rPr>
                <w:rFonts w:ascii="Arial" w:cs="Arial" w:eastAsia="Arial" w:hAnsi="Arial"/>
                <w:sz w:val="18"/>
                <w:szCs w:val="18"/>
                <w:color w:val="auto"/>
              </w:rPr>
              <w:t>Software</w:t>
            </w:r>
          </w:p>
        </w:tc>
        <w:tc>
          <w:tcPr>
            <w:tcW w:w="540" w:type="dxa"/>
            <w:vAlign w:val="bottom"/>
            <w:gridSpan w:val="3"/>
          </w:tcPr>
          <w:p>
            <w:pPr>
              <w:jc w:val="right"/>
              <w:ind w:right="132"/>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Net/Com Products</w:t>
            </w:r>
          </w:p>
        </w:tc>
        <w:tc>
          <w:tcPr>
            <w:tcW w:w="5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820" w:type="dxa"/>
            <w:vAlign w:val="bottom"/>
            <w:gridSpan w:val="4"/>
          </w:tcPr>
          <w:p>
            <w:pPr>
              <w:ind w:left="440"/>
              <w:spacing w:after="0"/>
              <w:rPr>
                <w:sz w:val="20"/>
                <w:szCs w:val="20"/>
                <w:color w:val="auto"/>
              </w:rPr>
            </w:pPr>
            <w:r>
              <w:rPr>
                <w:rFonts w:ascii="Arial" w:cs="Arial" w:eastAsia="Arial" w:hAnsi="Arial"/>
                <w:sz w:val="18"/>
                <w:szCs w:val="18"/>
                <w:color w:val="auto"/>
              </w:rPr>
              <w:t>Printers and Printer Supplies</w:t>
            </w:r>
          </w:p>
        </w:tc>
        <w:tc>
          <w:tcPr>
            <w:tcW w:w="540" w:type="dxa"/>
            <w:vAlign w:val="bottom"/>
            <w:gridSpan w:val="3"/>
          </w:tcPr>
          <w:p>
            <w:pPr>
              <w:jc w:val="right"/>
              <w:ind w:right="13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Video, Imaging, and Sound</w:t>
            </w:r>
          </w:p>
        </w:tc>
        <w:tc>
          <w:tcPr>
            <w:tcW w:w="5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820" w:type="dxa"/>
            <w:vAlign w:val="bottom"/>
            <w:gridSpan w:val="4"/>
          </w:tcPr>
          <w:p>
            <w:pPr>
              <w:ind w:left="440"/>
              <w:spacing w:after="0"/>
              <w:rPr>
                <w:sz w:val="20"/>
                <w:szCs w:val="20"/>
                <w:color w:val="auto"/>
              </w:rPr>
            </w:pPr>
            <w:r>
              <w:rPr>
                <w:rFonts w:ascii="Arial" w:cs="Arial" w:eastAsia="Arial" w:hAnsi="Arial"/>
                <w:sz w:val="18"/>
                <w:szCs w:val="18"/>
                <w:color w:val="auto"/>
              </w:rPr>
              <w:t>Memory and System Enhancements</w:t>
            </w:r>
          </w:p>
        </w:tc>
        <w:tc>
          <w:tcPr>
            <w:tcW w:w="540" w:type="dxa"/>
            <w:vAlign w:val="bottom"/>
            <w:gridSpan w:val="3"/>
          </w:tcPr>
          <w:p>
            <w:pPr>
              <w:jc w:val="right"/>
              <w:ind w:right="132"/>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Accessories/Other</w:t>
            </w:r>
          </w:p>
        </w:tc>
        <w:tc>
          <w:tcPr>
            <w:tcW w:w="5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54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320" w:type="dxa"/>
            <w:vAlign w:val="bottom"/>
            <w:gridSpan w:val="3"/>
            <w:vMerge w:val="restart"/>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8320" w:type="dxa"/>
            <w:vAlign w:val="bottom"/>
            <w:gridSpan w:val="3"/>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9"/>
                <w:szCs w:val="19"/>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100%</w:t>
            </w: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20" w:type="dxa"/>
            <w:vAlign w:val="bottom"/>
            <w:gridSpan w:val="4"/>
            <w:vMerge w:val="restart"/>
          </w:tcPr>
          <w:p>
            <w:pPr>
              <w:ind w:left="240"/>
              <w:spacing w:after="0"/>
              <w:rPr>
                <w:sz w:val="20"/>
                <w:szCs w:val="20"/>
                <w:color w:val="auto"/>
              </w:rPr>
            </w:pPr>
            <w:r>
              <w:rPr>
                <w:rFonts w:ascii="Arial" w:cs="Arial" w:eastAsia="Arial" w:hAnsi="Arial"/>
                <w:sz w:val="18"/>
                <w:szCs w:val="18"/>
                <w:b w:val="1"/>
                <w:bCs w:val="1"/>
                <w:i w:val="1"/>
                <w:iCs w:val="1"/>
                <w:color w:val="auto"/>
              </w:rPr>
              <w:t>Gross Profit Margins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20" w:type="dxa"/>
            <w:vAlign w:val="bottom"/>
            <w:gridSpan w:val="4"/>
          </w:tcPr>
          <w:p>
            <w:pPr>
              <w:ind w:left="460"/>
              <w:spacing w:after="0"/>
              <w:rPr>
                <w:sz w:val="20"/>
                <w:szCs w:val="20"/>
                <w:color w:val="auto"/>
              </w:rPr>
            </w:pPr>
            <w:r>
              <w:rPr>
                <w:rFonts w:ascii="Arial" w:cs="Arial" w:eastAsia="Arial" w:hAnsi="Arial"/>
                <w:sz w:val="18"/>
                <w:szCs w:val="18"/>
                <w:color w:val="auto"/>
                <w:w w:val="89"/>
              </w:rPr>
              <w:t>The following table summarizes our overall gross profit margins, as a percentage of net sales, for the last three years: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3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85"/>
              </w:rPr>
              <w:t>Years Ended December 31,</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520" w:type="dxa"/>
            <w:vAlign w:val="bottom"/>
            <w:tcBorders>
              <w:bottom w:val="single" w:sz="8" w:color="auto"/>
            </w:tcBorders>
            <w:gridSpan w:val="3"/>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12"/>
              <w:spacing w:after="0" w:line="115" w:lineRule="exact"/>
              <w:rPr>
                <w:sz w:val="20"/>
                <w:szCs w:val="20"/>
                <w:color w:val="auto"/>
              </w:rPr>
            </w:pPr>
            <w:r>
              <w:rPr>
                <w:rFonts w:ascii="Arial" w:cs="Arial" w:eastAsia="Arial" w:hAnsi="Arial"/>
                <w:sz w:val="12"/>
                <w:szCs w:val="12"/>
                <w:b w:val="1"/>
                <w:bCs w:val="1"/>
                <w:color w:val="auto"/>
              </w:rPr>
              <w:t>2006</w:t>
            </w:r>
          </w:p>
        </w:tc>
        <w:tc>
          <w:tcPr>
            <w:tcW w:w="54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80"/>
              <w:spacing w:after="0" w:line="115" w:lineRule="exact"/>
              <w:rPr>
                <w:sz w:val="20"/>
                <w:szCs w:val="20"/>
                <w:color w:val="auto"/>
              </w:rPr>
            </w:pPr>
            <w:r>
              <w:rPr>
                <w:rFonts w:ascii="Arial" w:cs="Arial" w:eastAsia="Arial" w:hAnsi="Arial"/>
                <w:sz w:val="12"/>
                <w:szCs w:val="12"/>
                <w:b w:val="1"/>
                <w:bCs w:val="1"/>
                <w:color w:val="auto"/>
              </w:rPr>
              <w:t>2005</w:t>
            </w:r>
          </w:p>
        </w:tc>
        <w:tc>
          <w:tcPr>
            <w:tcW w:w="5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2004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80" w:type="dxa"/>
            <w:vAlign w:val="bottom"/>
            <w:tcBorders>
              <w:right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13.3%</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12.2%</w:t>
            </w:r>
          </w:p>
        </w:tc>
        <w:tc>
          <w:tcPr>
            <w:tcW w:w="0" w:type="dxa"/>
            <w:vAlign w:val="bottom"/>
          </w:tcPr>
          <w:p>
            <w:pPr>
              <w:spacing w:after="0"/>
              <w:rPr>
                <w:sz w:val="1"/>
                <w:szCs w:val="1"/>
                <w:color w:val="auto"/>
              </w:rPr>
            </w:pPr>
          </w:p>
        </w:tc>
      </w:tr>
      <w:tr>
        <w:trPr>
          <w:trHeight w:val="216"/>
        </w:trPr>
        <w:tc>
          <w:tcPr>
            <w:tcW w:w="8820" w:type="dxa"/>
            <w:vAlign w:val="bottom"/>
            <w:gridSpan w:val="4"/>
          </w:tcPr>
          <w:p>
            <w:pPr>
              <w:ind w:left="440"/>
              <w:spacing w:after="0"/>
              <w:rPr>
                <w:sz w:val="20"/>
                <w:szCs w:val="20"/>
                <w:color w:val="auto"/>
              </w:rPr>
            </w:pPr>
            <w:r>
              <w:rPr>
                <w:rFonts w:ascii="Arial" w:cs="Arial" w:eastAsia="Arial" w:hAnsi="Arial"/>
                <w:sz w:val="18"/>
                <w:szCs w:val="18"/>
                <w:color w:val="auto"/>
              </w:rPr>
              <w:t>Large Account</w:t>
            </w:r>
          </w:p>
        </w:tc>
        <w:tc>
          <w:tcPr>
            <w:tcW w:w="540" w:type="dxa"/>
            <w:vAlign w:val="bottom"/>
            <w:gridSpan w:val="3"/>
          </w:tcPr>
          <w:p>
            <w:pPr>
              <w:ind w:left="220"/>
              <w:spacing w:after="0"/>
              <w:rPr>
                <w:sz w:val="20"/>
                <w:szCs w:val="20"/>
                <w:color w:val="auto"/>
              </w:rPr>
            </w:pPr>
            <w:r>
              <w:rPr>
                <w:rFonts w:ascii="Arial" w:cs="Arial" w:eastAsia="Arial" w:hAnsi="Arial"/>
                <w:sz w:val="18"/>
                <w:szCs w:val="18"/>
                <w:color w:val="auto"/>
                <w:w w:val="85"/>
              </w:rPr>
              <w:t>10.8</w:t>
            </w:r>
          </w:p>
        </w:tc>
        <w:tc>
          <w:tcPr>
            <w:tcW w:w="540" w:type="dxa"/>
            <w:vAlign w:val="bottom"/>
          </w:tcPr>
          <w:p>
            <w:pPr>
              <w:spacing w:after="0"/>
              <w:rPr>
                <w:sz w:val="18"/>
                <w:szCs w:val="18"/>
                <w:color w:val="auto"/>
              </w:rPr>
            </w:pPr>
          </w:p>
        </w:tc>
        <w:tc>
          <w:tcPr>
            <w:tcW w:w="960" w:type="dxa"/>
            <w:vAlign w:val="bottom"/>
            <w:gridSpan w:val="3"/>
          </w:tcPr>
          <w:p>
            <w:pPr>
              <w:jc w:val="right"/>
              <w:ind w:right="5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8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11.2</w:t>
            </w:r>
          </w:p>
        </w:tc>
        <w:tc>
          <w:tcPr>
            <w:tcW w:w="5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8320" w:type="dxa"/>
            <w:vAlign w:val="bottom"/>
            <w:gridSpan w:val="3"/>
          </w:tcPr>
          <w:p>
            <w:pPr>
              <w:ind w:left="380"/>
              <w:spacing w:after="0"/>
              <w:rPr>
                <w:sz w:val="20"/>
                <w:szCs w:val="20"/>
                <w:color w:val="auto"/>
              </w:rPr>
            </w:pPr>
            <w:r>
              <w:rPr>
                <w:rFonts w:ascii="Arial" w:cs="Arial" w:eastAsia="Arial" w:hAnsi="Arial"/>
                <w:sz w:val="18"/>
                <w:szCs w:val="18"/>
                <w:color w:val="auto"/>
              </w:rPr>
              <w:t>Total</w:t>
            </w:r>
          </w:p>
        </w:tc>
        <w:tc>
          <w:tcPr>
            <w:tcW w:w="1080" w:type="dxa"/>
            <w:vAlign w:val="bottom"/>
            <w:gridSpan w:val="4"/>
          </w:tcPr>
          <w:p>
            <w:pPr>
              <w:ind w:left="220"/>
              <w:spacing w:after="0"/>
              <w:rPr>
                <w:sz w:val="20"/>
                <w:szCs w:val="20"/>
                <w:color w:val="auto"/>
              </w:rPr>
            </w:pPr>
            <w:r>
              <w:rPr>
                <w:rFonts w:ascii="Arial" w:cs="Arial" w:eastAsia="Arial" w:hAnsi="Arial"/>
                <w:sz w:val="18"/>
                <w:szCs w:val="18"/>
                <w:color w:val="auto"/>
              </w:rPr>
              <w:t>12.2%</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Consolidated gross profit dollars increased in 2006 by $36.7 million compared to 2005 due to increases in both net sales and gross profit margins. Gross margin improvement in 2006 resulted from higher customer invoice product margins, increased sales of higher margin services and software, larger net sales from software referral and other agency fees, and increased vendor consideration recorded as an offset to cost of sales.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Cost of sales includes the invoice cost of the product, direct costs of packaging, inbound and outbound freight, and provisions for inventory obsolescence, adjusted for discounts, rebates, and other vendor allowances,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operating expenses of our distribution center are included in selling, general and administrative expenses. Accordingly, our gross margins may not be comparable to those of other entities who include all of the operating costs related to their distribution network in cost of goods sold. Such costs, as a percentage of net sales for the years reported, are as follows:</w:t>
      </w:r>
    </w:p>
    <w:p>
      <w:pPr>
        <w:spacing w:after="0" w:line="156"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8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2006</w:t>
            </w:r>
          </w:p>
        </w:tc>
        <w:tc>
          <w:tcPr>
            <w:tcW w:w="3620" w:type="dxa"/>
            <w:vAlign w:val="bottom"/>
            <w:tcBorders>
              <w:top w:val="single" w:sz="8" w:color="auto"/>
            </w:tcBorders>
            <w:gridSpan w:val="2"/>
          </w:tcPr>
          <w:p>
            <w:pPr>
              <w:ind w:left="3340"/>
              <w:spacing w:after="0" w:line="143" w:lineRule="exact"/>
              <w:rPr>
                <w:sz w:val="20"/>
                <w:szCs w:val="20"/>
                <w:color w:val="auto"/>
              </w:rPr>
            </w:pPr>
            <w:r>
              <w:rPr>
                <w:rFonts w:ascii="Arial" w:cs="Arial" w:eastAsia="Arial" w:hAnsi="Arial"/>
                <w:sz w:val="14"/>
                <w:szCs w:val="14"/>
                <w:b w:val="1"/>
                <w:bCs w:val="1"/>
                <w:color w:val="auto"/>
                <w:w w:val="83"/>
              </w:rPr>
              <w:t>2005</w:t>
            </w:r>
          </w:p>
        </w:tc>
        <w:tc>
          <w:tcPr>
            <w:tcW w:w="3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0.67%</w:t>
            </w:r>
          </w:p>
        </w:tc>
        <w:tc>
          <w:tcPr>
            <w:tcW w:w="708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rPr>
              <w:t>0.73%</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0.76%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320" w:type="dxa"/>
            <w:vAlign w:val="bottom"/>
          </w:tcPr>
          <w:p>
            <w:pPr>
              <w:jc w:val="right"/>
              <w:ind w:right="1319"/>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last three years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41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$ 117.3</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Advertising, net</w:t>
            </w:r>
          </w:p>
        </w:tc>
        <w:tc>
          <w:tcPr>
            <w:tcW w:w="4120" w:type="dxa"/>
            <w:vAlign w:val="bottom"/>
            <w:gridSpan w:val="3"/>
          </w:tcPr>
          <w:p>
            <w:pPr>
              <w:jc w:val="right"/>
              <w:ind w:right="292"/>
              <w:spacing w:after="0"/>
              <w:rPr>
                <w:sz w:val="20"/>
                <w:szCs w:val="20"/>
                <w:color w:val="auto"/>
              </w:rPr>
            </w:pPr>
            <w:r>
              <w:rPr>
                <w:rFonts w:ascii="Arial" w:cs="Arial" w:eastAsia="Arial" w:hAnsi="Arial"/>
                <w:sz w:val="18"/>
                <w:szCs w:val="18"/>
                <w:color w:val="auto"/>
              </w:rPr>
              <w:t>13.3</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41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9.0</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Credit card fees</w:t>
            </w:r>
          </w:p>
        </w:tc>
        <w:tc>
          <w:tcPr>
            <w:tcW w:w="4120" w:type="dxa"/>
            <w:vAlign w:val="bottom"/>
            <w:gridSpan w:val="3"/>
          </w:tcPr>
          <w:p>
            <w:pPr>
              <w:jc w:val="right"/>
              <w:ind w:right="292"/>
              <w:spacing w:after="0"/>
              <w:rPr>
                <w:sz w:val="20"/>
                <w:szCs w:val="20"/>
                <w:color w:val="auto"/>
              </w:rPr>
            </w:pPr>
            <w:r>
              <w:rPr>
                <w:rFonts w:ascii="Arial" w:cs="Arial" w:eastAsia="Arial" w:hAnsi="Arial"/>
                <w:sz w:val="18"/>
                <w:szCs w:val="18"/>
                <w:color w:val="auto"/>
              </w:rPr>
              <w:t>8.1</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1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7.0</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Professional fees</w:t>
            </w:r>
          </w:p>
        </w:tc>
        <w:tc>
          <w:tcPr>
            <w:tcW w:w="4120" w:type="dxa"/>
            <w:vAlign w:val="bottom"/>
            <w:gridSpan w:val="3"/>
          </w:tcPr>
          <w:p>
            <w:pPr>
              <w:jc w:val="right"/>
              <w:ind w:right="292"/>
              <w:spacing w:after="0"/>
              <w:rPr>
                <w:sz w:val="20"/>
                <w:szCs w:val="20"/>
                <w:color w:val="auto"/>
              </w:rPr>
            </w:pPr>
            <w:r>
              <w:rPr>
                <w:rFonts w:ascii="Arial" w:cs="Arial" w:eastAsia="Arial" w:hAnsi="Arial"/>
                <w:sz w:val="18"/>
                <w:szCs w:val="18"/>
                <w:color w:val="auto"/>
              </w:rPr>
              <w:t>5.8</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Bad debts</w:t>
            </w:r>
          </w:p>
        </w:tc>
        <w:tc>
          <w:tcPr>
            <w:tcW w:w="412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Other–net</w:t>
            </w:r>
          </w:p>
        </w:tc>
        <w:tc>
          <w:tcPr>
            <w:tcW w:w="3260" w:type="dxa"/>
            <w:vAlign w:val="bottom"/>
          </w:tcPr>
          <w:p>
            <w:pPr>
              <w:spacing w:after="0"/>
              <w:rPr>
                <w:sz w:val="18"/>
                <w:szCs w:val="18"/>
                <w:color w:val="auto"/>
              </w:rPr>
            </w:pPr>
          </w:p>
        </w:tc>
        <w:tc>
          <w:tcPr>
            <w:tcW w:w="860" w:type="dxa"/>
            <w:vAlign w:val="bottom"/>
            <w:gridSpan w:val="2"/>
          </w:tcPr>
          <w:p>
            <w:pPr>
              <w:jc w:val="right"/>
              <w:ind w:right="292"/>
              <w:spacing w:after="0"/>
              <w:rPr>
                <w:sz w:val="20"/>
                <w:szCs w:val="20"/>
                <w:color w:val="auto"/>
              </w:rPr>
            </w:pPr>
            <w:r>
              <w:rPr>
                <w:rFonts w:ascii="Arial" w:cs="Arial" w:eastAsia="Arial" w:hAnsi="Arial"/>
                <w:sz w:val="18"/>
                <w:szCs w:val="18"/>
                <w:color w:val="auto"/>
              </w:rPr>
              <w:t>11.1</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173.9</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132.7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40"/>
              <w:spacing w:after="0"/>
              <w:rPr>
                <w:sz w:val="20"/>
                <w:szCs w:val="20"/>
                <w:color w:val="auto"/>
              </w:rPr>
            </w:pPr>
            <w:r>
              <w:rPr>
                <w:rFonts w:ascii="Arial" w:cs="Arial" w:eastAsia="Arial" w:hAnsi="Arial"/>
                <w:sz w:val="18"/>
                <w:szCs w:val="18"/>
                <w:color w:val="auto"/>
              </w:rPr>
              <w:t>Percentage of net sales</w:t>
            </w:r>
          </w:p>
        </w:tc>
        <w:tc>
          <w:tcPr>
            <w:tcW w:w="3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4120" w:type="dxa"/>
            <w:vAlign w:val="bottom"/>
            <w:gridSpan w:val="3"/>
          </w:tcPr>
          <w:p>
            <w:pPr>
              <w:jc w:val="right"/>
              <w:ind w:right="132"/>
              <w:spacing w:after="0"/>
              <w:rPr>
                <w:sz w:val="20"/>
                <w:szCs w:val="20"/>
                <w:color w:val="auto"/>
              </w:rPr>
            </w:pPr>
            <w:r>
              <w:rPr>
                <w:rFonts w:ascii="Arial" w:cs="Arial" w:eastAsia="Arial" w:hAnsi="Arial"/>
                <w:sz w:val="18"/>
                <w:szCs w:val="18"/>
                <w:color w:val="auto"/>
              </w:rPr>
              <w:t>10.6%</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have concentrated our efforts on managing our overall operating costs. While we plan to continue our focus on controlling discretionary expenditures, we expect that our SG&amp;A expense may vary depending on changes in sales volume, as well as the levels of continued investments in key growth initiatives such as enhancing our sales training, improving marketing programs, and deploying next generation technology to support the sales organization.</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Personnel costs continue to represent the majority of our operating expenses, with sales personnel representing the largest portion of these costs. The year-over-year increase in personnel costs resulted primarily from additional sales and service personnel from our Amherst transaction, increased variable compensation related to higher gross profits, and additional staffing at our Texas call center, which opened in March 2006. Our other operating costs, except for credit card fees and bad debts, tend to be relatively fixed over changing sales levels. The increase in other costs is attributable primarily to increases in professional fees and in non-income based state tax and other compliance accruals.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Vendors have the ability to place advertisements in the catalogs for which we receive advertising allowances. These vendor allowances, to the extent that they represent specific reimbursements of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accordance with EITF Issue No. 02-16.</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Gross advertising and marketing allowances received from vendors were $32.6 million, $28.6 million, and $29.1 million for the years ended December 31, 2006, 2005, and 2004, respectively. We classified $25.1 million, $16.7 million, and $7.5 million of these allowances as offsets to cost of sales or inventory for the years ended December 31, 2006, 2005, and 2004, respectively. Our net advertising expense, included in SG&amp;A, has been accordingly higher in each successive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13.3% to $1,635.7 million in 2006 from $1,444.3 million in 2005 due to increases in all three business segments. Changes in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gross profit by business segment are shown in the following table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86"/>
              </w:rPr>
              <w:t>Years Ended December 31,</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66"/>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9"/>
              </w:rPr>
              <w:t>Net Sales</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Net 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887.0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834.6</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57.8%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658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1,635.7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1,444.3</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2"/>
        </w:trPr>
        <w:tc>
          <w:tcPr>
            <w:tcW w:w="658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200.3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163.6</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9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sales for our SMB segment benefited from an increase in sales representatives employed in 2006. Sales representatives for the SMB segment totaled 473 at December 31, 2006, up from 411 at December 31, 2005. Sales growth was impacted by a slight decline in consumer sales, as lower inbound telephone sales were offset partially by higher internet consumer sales. These changes reflect a reduction in the number of catalogs we distributed and an increased focus and spending on more diverse marketing strategies and programs designed to reach our business customers. Also impacting sales growth in 2006 was an increased focus on more profitable sales compared to 2005. Average annualized sales productivity in 2006 decreased by 4% compared to 2005 in the SMB segment, primarily due to the additional number of new hires added at our Texas call center, which opened in March 2006.</w:t>
      </w:r>
    </w:p>
    <w:p>
      <w:pPr>
        <w:spacing w:after="0" w:line="39" w:lineRule="exact"/>
        <w:rPr>
          <w:rFonts w:ascii="Arial" w:cs="Arial" w:eastAsia="Arial" w:hAnsi="Arial"/>
          <w:sz w:val="16"/>
          <w:szCs w:val="16"/>
          <w:color w:val="auto"/>
        </w:rPr>
      </w:pPr>
    </w:p>
    <w:p>
      <w:pPr>
        <w:jc w:val="both"/>
        <w:ind w:left="460" w:right="2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due to improvement in sales representative productivity and as a result of the Amherst Transaction. Our 2006 net sales benefited from a full year of revenues generated by former Amherst sales representatives who joined this segment in the last quarter of 2005. Sales representatives for our Large Account segment totaled 83 at December 31, 2006, down from 100 at the end of 2005. Average annualized productivity for this segment’s sales representatives improved due to increased sales to existing customers, the addition of new accounts, and a decrease in headcount of sales representatives.</w:t>
      </w:r>
    </w:p>
    <w:p>
      <w:pPr>
        <w:spacing w:after="0" w:line="61" w:lineRule="exact"/>
        <w:rPr>
          <w:rFonts w:ascii="Arial" w:cs="Arial" w:eastAsia="Arial" w:hAnsi="Arial"/>
          <w:sz w:val="18"/>
          <w:szCs w:val="18"/>
          <w:color w:val="auto"/>
        </w:rPr>
      </w:pPr>
    </w:p>
    <w:p>
      <w:pPr>
        <w:ind w:left="460" w:right="160" w:hanging="452"/>
        <w:spacing w:after="0" w:line="36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Net sales for our Public Sector segment increased slightly year over year due to management’s focus on higher-margin sales opportunities in 2006 compared to 2005. Average annualized sales productivity in 2006 was unchanged year over year as both net sales and total sales representatives increased slightly compared to 2005. Sales representatives for our Public Sector segment totaled 110 at December 31, 2006, up from 107 at December 31, 2005. </w:t>
      </w: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increased in both dollars and as a percentage of net sales in all three business segments as shown by the above.</w:t>
      </w:r>
    </w:p>
    <w:p>
      <w:pPr>
        <w:spacing w:after="0" w:line="97" w:lineRule="exact"/>
        <w:rPr>
          <w:rFonts w:ascii="Arial" w:cs="Arial" w:eastAsia="Arial" w:hAnsi="Arial"/>
          <w:sz w:val="16"/>
          <w:szCs w:val="16"/>
          <w:color w:val="auto"/>
        </w:rPr>
      </w:pPr>
    </w:p>
    <w:p>
      <w:pPr>
        <w:ind w:left="460" w:right="18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90 basis point increase in gross margin for our SMB segment resulted from increased focus on achieving higher customer invoice margins, as well as increased vendor consideration recorded as an offset to cost of sales. Increased net agency sales in 2006 also contributed to higher gross margins in 2006 compared to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Gross profit for our Large Account segment increased year over year in 2006 compared to 2005 due to improvements in both net sales and gross profit margins. Gross profit margins increased in 2006 by 80 basis points as a percentage of sales compared to 2005 due to larger net sales of software referral and other agency fees, increased higher-margin service revenues, and increased vendor consideration.</w:t>
      </w:r>
    </w:p>
    <w:p>
      <w:pPr>
        <w:spacing w:after="0" w:line="25" w:lineRule="exact"/>
        <w:rPr>
          <w:rFonts w:ascii="Arial" w:cs="Arial" w:eastAsia="Arial" w:hAnsi="Arial"/>
          <w:sz w:val="16"/>
          <w:szCs w:val="16"/>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Gross profit for our Public Sector segment increased significantly, despite the modest increase in net sales due to management’s increased focus on achieving higher customer invoice margins, as well as increased vendor consideration recorded as an offset to cost of sales.</w:t>
      </w:r>
    </w:p>
    <w:p>
      <w:pPr>
        <w:spacing w:after="0" w:line="85" w:lineRule="exact"/>
        <w:rPr>
          <w:rFonts w:ascii="Arial" w:cs="Arial" w:eastAsia="Arial" w:hAnsi="Arial"/>
          <w:sz w:val="16"/>
          <w:szCs w:val="16"/>
          <w:color w:val="auto"/>
        </w:rPr>
      </w:pPr>
    </w:p>
    <w:p>
      <w:pPr>
        <w:ind w:left="460" w:right="2660"/>
        <w:spacing w:after="0" w:line="516" w:lineRule="auto"/>
        <w:rPr>
          <w:rFonts w:ascii="Arial" w:cs="Arial" w:eastAsia="Arial" w:hAnsi="Arial"/>
          <w:sz w:val="16"/>
          <w:szCs w:val="16"/>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increased in both dollars and as a percentage of sales in 2006 from 2005.</w:t>
      </w:r>
      <w:r>
        <w:rPr>
          <w:rFonts w:ascii="Arial" w:cs="Arial" w:eastAsia="Arial" w:hAnsi="Arial"/>
          <w:sz w:val="16"/>
          <w:szCs w:val="16"/>
          <w:i w:val="1"/>
          <w:iCs w:val="1"/>
          <w:color w:val="auto"/>
        </w:rPr>
        <w:t xml:space="preserve"> </w:t>
      </w:r>
      <w:r>
        <w:rPr>
          <w:rFonts w:ascii="Arial" w:cs="Arial" w:eastAsia="Arial" w:hAnsi="Arial"/>
          <w:sz w:val="16"/>
          <w:szCs w:val="16"/>
          <w:color w:val="auto"/>
        </w:rPr>
        <w:t>SG&amp;A expenses attributable to our operating segments are summarized below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7"/>
              </w:rPr>
              <w:t>Years Ended December 31,</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Net Sales</w:t>
            </w:r>
          </w:p>
        </w:tc>
        <w:tc>
          <w:tcPr>
            <w:tcW w:w="5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Net Sales</w:t>
            </w:r>
          </w:p>
        </w:tc>
        <w:tc>
          <w:tcPr>
            <w:tcW w:w="5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$ 111.0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Large Account</w:t>
            </w: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8"/>
                <w:szCs w:val="18"/>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173.9</w:t>
            </w:r>
          </w:p>
        </w:tc>
        <w:tc>
          <w:tcPr>
            <w:tcW w:w="40" w:type="dxa"/>
            <w:vAlign w:val="bottom"/>
          </w:tcPr>
          <w:p>
            <w:pPr>
              <w:spacing w:after="0"/>
              <w:rPr>
                <w:sz w:val="19"/>
                <w:szCs w:val="19"/>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152.0</w:t>
            </w:r>
          </w:p>
        </w:tc>
        <w:tc>
          <w:tcPr>
            <w:tcW w:w="40" w:type="dxa"/>
            <w:vAlign w:val="bottom"/>
          </w:tcPr>
          <w:p>
            <w:pPr>
              <w:spacing w:after="0"/>
              <w:rPr>
                <w:sz w:val="19"/>
                <w:szCs w:val="19"/>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SG&amp;A expenses for our SMB segment increased year over year, and also increased as a percentage of net sales, primarily due to increased variable compensation associated with higher gross profits, incremental expenses associated with our new call center in Texas, and increased management bonuses achieved in 2006 compared to the prior year. We believe that as our Texas sales representatives’ productivity increases, SG&amp;A as a percentage of sales will decrease in future periods. We invest considerable resources in our training of new and existing sales representatives and expect new sales representatives to be a net expense for their first twelve months of employment. The increased management bonuses in 2006 resulted from our improved results achieved in 2006 compared to the prior year.</w:t>
      </w:r>
    </w:p>
    <w:p>
      <w:pPr>
        <w:spacing w:after="0" w:line="39" w:lineRule="exact"/>
        <w:rPr>
          <w:rFonts w:ascii="Arial" w:cs="Arial" w:eastAsia="Arial" w:hAnsi="Arial"/>
          <w:sz w:val="16"/>
          <w:szCs w:val="16"/>
          <w:color w:val="auto"/>
        </w:rPr>
      </w:pPr>
    </w:p>
    <w:p>
      <w:pPr>
        <w:ind w:left="460" w:right="180" w:hanging="452"/>
        <w:spacing w:after="0" w:line="29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SG&amp;A expenses for our Large Account segment increased year over year in both dollars and as a percentage of net sales. These increases resulted largely from the additional sales and service representatives added from our Amherst Transaction and increased variable compensation associated with higher gross profits. SG&amp;A expenses for this segment represent the lowest of the three segments as a percentage of net sales, reflecting the nature and efficiency of this segment’s variable cost field sales and drop-shipping operating model.</w:t>
      </w:r>
    </w:p>
    <w:p>
      <w:pPr>
        <w:spacing w:after="0" w:line="31"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SG&amp;A expenses for our Public Sector segment decreased slightly in 2006 in both dollars and as a percentage of net sales compared to 2005. Management will be focused on further reducing the Public Sector’s operating expense rates in 2007 by leveraging the current expense structure with increasing revenues.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totaled $2.4 million and $2.1 million for the years ended December 31, 2006 and 2005, respectively. In 2006 we recorded a charge of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our settlement with the DOJ on our 2003 GSA audit matter. We recorded charges in 2006 and 2005 of $0.5 million and $1.1 million, respectively, related to management restructuring costs, classified as workforce reductions in the table below. We also recorded charges in 2006 and 2005 of $0.4 million and $1.0 million, respectively, related to the temporary retention of Amherst employees and facilities subsequent to the completion of the Amherst Transaction.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 roll forward of liabilities related to special charges for the two years ended December 31, 2006 is shown below (dollars in millions). Certain amounts relating to our DOJ settlement of the GSA matter were recorded as a component of cost of sales. The beginning balance as of December 31, 2004 includes $0.8 million of such costs. The 2005 charge of $0.3 million was also recorded as a component of cost of sales.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10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4"/>
              </w:rPr>
              <w:t>Amherst</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GSA</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Reduction</w:t>
            </w:r>
          </w:p>
        </w:tc>
        <w:tc>
          <w:tcPr>
            <w:tcW w:w="540" w:type="dxa"/>
            <w:vAlign w:val="bottom"/>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Transaction</w:t>
            </w:r>
          </w:p>
        </w:tc>
        <w:tc>
          <w:tcPr>
            <w:tcW w:w="540" w:type="dxa"/>
            <w:vAlign w:val="bottom"/>
          </w:tcPr>
          <w:p>
            <w:pPr>
              <w:spacing w:after="0"/>
              <w:rPr>
                <w:sz w:val="15"/>
                <w:szCs w:val="15"/>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Matter</w:t>
            </w:r>
          </w:p>
        </w:tc>
        <w:tc>
          <w:tcPr>
            <w:tcW w:w="54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(0.7)</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2005</w:t>
            </w: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(2.6)</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December 31, 2006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8"/>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$14.4 million to $23.9 million for the year ended December 31, 2006 from $9.5 million in 2005. MoreDirect, our</w:t>
      </w:r>
      <w:r>
        <w:rPr>
          <w:rFonts w:ascii="Arial" w:cs="Arial" w:eastAsia="Arial" w:hAnsi="Arial"/>
          <w:sz w:val="18"/>
          <w:szCs w:val="18"/>
          <w:i w:val="1"/>
          <w:iCs w:val="1"/>
          <w:color w:val="auto"/>
        </w:rPr>
        <w:t xml:space="preserve"> </w:t>
      </w:r>
      <w:r>
        <w:rPr>
          <w:rFonts w:ascii="Arial" w:cs="Arial" w:eastAsia="Arial" w:hAnsi="Arial"/>
          <w:sz w:val="18"/>
          <w:szCs w:val="18"/>
          <w:color w:val="auto"/>
        </w:rPr>
        <w:t>Large Account segment, accounted for $24.4 million and $16.8 million of our income from operations in 2006 and 2005, respectively. Our SMB segment accounted for $6.3 million and $3.0 million of our income from operations in 2006 and 2005, respectively. Our Public Sector segment incurred net operating losses in those years.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Income from operations as a percentage of net sales increased from 0.7% in 2005 to 1.5% in 2006. This increase was attributable to the changes in net sales, gross margin, and SG&amp;A expenses as discussed above.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$1.8 million in 2006 compared to $1.4 million in 2005. Interest expense increased in 2006 due to higher borrowings in 2006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2005.</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effective tax rate was 38.0% for 2006 and 45.3% for 2005. Our 2006 tax rate was favorably impacted by the consolidated filing of certain state income tax returns. Our 2005 tax rate was high due primarily to unrealizable tax benefits of state tax loss carryforwards in certain jurisdictions, as well as certain non-deductible expenses. We anticipate that our effective tax rate will be approximately 38.0% in 2007.</w:t>
      </w:r>
    </w:p>
    <w:p>
      <w:pPr>
        <w:spacing w:after="0" w:line="140" w:lineRule="exact"/>
        <w:rPr>
          <w:sz w:val="20"/>
          <w:szCs w:val="20"/>
          <w:color w:val="auto"/>
        </w:rPr>
      </w:pPr>
    </w:p>
    <w:p>
      <w:pPr>
        <w:jc w:val="center"/>
        <w:ind w:left="580" w:right="120"/>
        <w:spacing w:after="0" w:line="440"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by $9.4 million to $13.8 million in 2006 from $4.4 million in 2005, principally as a result of the increase in income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increased 6.7% to $1,444.3 million in 2005 from $1,353.8 million in 2004 as we experienced increases in all three business segments.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and gross profit by business segment are shown in the following table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86"/>
              </w:rPr>
              <w:t>Years Ended December 31,</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2004</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ind w:right="66"/>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79"/>
              </w:rPr>
              <w:t>Net Sales</w:t>
            </w: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Net 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834.6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57.8%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802.3</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59.3%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658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1,444.3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1,353.8</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658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163.6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152.1</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for our SMB segment increased due to a modest increase in the number of sales representatives employed in 2005 while maintaining sales productivity. Sales representatives for the SMB segment totaled 411 at December 31, 2005, up from 405 at December 31, 2004. Net sales for our SMB segment also increased due to the implementation of customer acquisition initiatives, including increased Internet advertising, which contributed to our 25% year-over-year increase in SMB Internet sales in 2005.</w:t>
      </w:r>
    </w:p>
    <w:p>
      <w:pPr>
        <w:spacing w:after="0" w:line="62"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sales for our Large Account segment increased due to an improvement in average sales productivity per account manager and as a result of our Amherst Transaction. Our fourth quarter sales of 2005 included $25 million of revenues generated by former Amherst sales representatives who joined this segment. Sales representatives for the Large Account segment totaled 100 at December 31, 2005, up from 69 at the end of 2004. This segment’s productivity increase resulted from increased penetration of our existing customer base, as well as the addition of new accounts.</w:t>
      </w:r>
    </w:p>
    <w:p>
      <w:pPr>
        <w:spacing w:after="0" w:line="31"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due to a 6.2% year-over-year increase in our federal government revenues, as our sales to state and local government units and educational organizations were level year over year. During the year ended December 31, 2005, we added several new vendors to our GSA contract, which was awarded in the third quarter of 2004 and therefore not in effect for most of the prior year. Sales representatives for our Public Sector segment totaled 107 at December 31, 2005 and 2004.</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increased in all three business segments as shown by the above, whereas the gross margin percentage of net sales improved for our SMB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Sector segments.</w:t>
      </w:r>
    </w:p>
    <w:p>
      <w:pPr>
        <w:spacing w:after="0" w:line="172" w:lineRule="exact"/>
        <w:rPr>
          <w:sz w:val="20"/>
          <w:szCs w:val="20"/>
          <w:color w:val="auto"/>
        </w:rPr>
      </w:pPr>
    </w:p>
    <w:p>
      <w:pPr>
        <w:ind w:left="460" w:right="140" w:hanging="452"/>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Gross profit for our SMB segment increased primarily due to a refinement of estimates, made in the third quarter of 2004, pursuant to EITF 02-16, which required the transfer of additional vendor consideration from SG&amp;A to cost of sales. For the year ended December 31, 2005, we recorded $11.4 million of additional vendor consideration as a reduction to cost of sales, compared to $4.7 million in 2004. These offsets resulted in gross margin increases of 1.4% and 0.6% of net sales for 2005 and 2004, respectively. Gross margins were otherwise negatively impacted by increased shipping costs and tighter competitive pricing pressures, which partly offset the increased vendor consideration.</w:t>
      </w:r>
    </w:p>
    <w:p>
      <w:pPr>
        <w:spacing w:after="0" w:line="34"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due to an increase in sales as explained above. Gross margin rates decreased modestly in this highly competitive large enterprise segment. We targeted a select group of high-value customers in the latter half of 2005, which partly accounted for the sales increase but also adversely impacted gross margin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29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Gross profit for our Public Sector segment increased in both dollars and as a percentage of sales due primarily to our recording additional vendor consideration, pursuant to EITF 02-16, as a reduction to cost of sales in 2005 compared to the prior year. For the year ended December 31, 2005, we recorded $2.9 million of additional vendor consideration as a reduction to cost of sales, compared to $0.2 million in 2004. These offsets resulted in gross margin increases of 1.1% and 0.1% of net sales for 2005 and 2004, respectively. Similar to SMB, increased shipping costs and tighter competitive pricing pressures negatively impacted this segment’s gross margin rates.</w:t>
      </w:r>
    </w:p>
    <w:p>
      <w:pPr>
        <w:spacing w:after="0" w:line="115" w:lineRule="exact"/>
        <w:rPr>
          <w:rFonts w:ascii="Arial" w:cs="Arial" w:eastAsia="Arial" w:hAnsi="Arial"/>
          <w:sz w:val="16"/>
          <w:szCs w:val="16"/>
          <w:color w:val="auto"/>
        </w:rPr>
      </w:pPr>
    </w:p>
    <w:p>
      <w:pPr>
        <w:ind w:left="460" w:right="2660"/>
        <w:spacing w:after="0" w:line="516" w:lineRule="auto"/>
        <w:rPr>
          <w:rFonts w:ascii="Arial" w:cs="Arial" w:eastAsia="Arial" w:hAnsi="Arial"/>
          <w:sz w:val="16"/>
          <w:szCs w:val="16"/>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increased in both dollars and as a percentage of sales in 2005 from 2004.</w:t>
      </w:r>
      <w:r>
        <w:rPr>
          <w:rFonts w:ascii="Arial" w:cs="Arial" w:eastAsia="Arial" w:hAnsi="Arial"/>
          <w:sz w:val="16"/>
          <w:szCs w:val="16"/>
          <w:i w:val="1"/>
          <w:iCs w:val="1"/>
          <w:color w:val="auto"/>
        </w:rPr>
        <w:t xml:space="preserve"> </w:t>
      </w:r>
      <w:r>
        <w:rPr>
          <w:rFonts w:ascii="Arial" w:cs="Arial" w:eastAsia="Arial" w:hAnsi="Arial"/>
          <w:sz w:val="16"/>
          <w:szCs w:val="16"/>
          <w:color w:val="auto"/>
        </w:rPr>
        <w:t>SG&amp;A expenses attributable to our operating segments are summarized below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Years Ended December 31,</w:t>
            </w: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6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Net Sales</w:t>
            </w:r>
          </w:p>
        </w:tc>
        <w:tc>
          <w:tcPr>
            <w:tcW w:w="64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Net Sales</w:t>
            </w:r>
          </w:p>
        </w:tc>
        <w:tc>
          <w:tcPr>
            <w:tcW w:w="6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15.8%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12.6</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2"/>
        </w:trPr>
        <w:tc>
          <w:tcPr>
            <w:tcW w:w="64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152.0</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132.7</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9.8%</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14.5%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SG&amp;A expenses for our SMB segment increased year over year, and increased as a percentage of net sales in 2005 compared to 2004, primarily due to an increase in net advertising expense. Net advertising expense increased as a result of the previously discussed change in estimates for vendor consideration as well as increased Internet advertising costs. Our investments in making our sales support systems more responsive and flexible also contributed to this segment’s increase in SG&amp;A expenses.</w:t>
      </w:r>
    </w:p>
    <w:p>
      <w:pPr>
        <w:spacing w:after="0" w:line="62"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SG&amp;A expenses for our Large Account segment increased year over year, but remained flat as a percentage of net sales in 2005 compared to the prior year. The dollar increase resulted partly from the additional sales representatives added from our Amherst Transaction. SG&amp;A expenses for this segment represent the lowest of the three segments as a percentage of net sales, reflecting the nature and efficiency of this segment’s variable cost field sales and drop-shipping operating model.</w:t>
      </w:r>
    </w:p>
    <w:p>
      <w:pPr>
        <w:spacing w:after="0" w:line="62"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SG&amp;A expenses for our Public Sector segment increased year over year, and increased as a percentage of net sales in 2005 compared to 2004. Net advertising expense increased as a result of the previously discussed change in estimates for vendor consideration. This segment’s SG&amp;A expenses as a percentage of net sales also continue to be higher than its historical trend due to our retention of experienced federal sales personnel while we continue to rebuild our federal business. (See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for further discussion of this topic.) Our investments in making our sales support systems more responsive and flexible also contributed to this segment’s increase in SG&amp;A expenses.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Special charges </w:t>
      </w:r>
      <w:r>
        <w:rPr>
          <w:rFonts w:ascii="Arial" w:cs="Arial" w:eastAsia="Arial" w:hAnsi="Arial"/>
          <w:sz w:val="16"/>
          <w:szCs w:val="16"/>
          <w:color w:val="auto"/>
        </w:rPr>
        <w:t>totaled $2.1 million and $5.2 million for the years ended December 31, 2005 and 2004, respectively. A roll forward of liabilities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charges for the two years ended December 31, 2005 is shown below (dollars in millions). Certain amounts in the table below relating to the GSA matter were recorded as a component of cost of sales. The beginning balance as of December 31, 2003 for the GSA matter includes $0.8 million of such costs. The 2005 charge of $0.3 million for the GSA matter was also recorded as a component of cost of sales.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Amherst</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GSA</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Reduction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Defalcation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Matter</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8"/>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3.5</w:t>
            </w: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(3.0)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(0.7)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December 31, 2005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8"/>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2005 Amherst Transaction charges relate primarily to the temporary retention of certain Amherst employees and facilities while we integrated this business. The 2004 charges for the employee defalcation represent the loss sustained by one of our commercial subsidiaries in excess of the amount covered by insurance. The 2004 charges for the GSA contract review represent costs of our review relating to the cancellation by the GSA in late 2003 of its contract with our subsidiary, GovConnection, and costs related to securing a new GSA schedule, which was awarded in August 2004. The other charges in 2004 include $0.2 million accrued as an estimated liability in a patent infringement case, which we settled in 2005, and $0.5 million in professional fees relating to our review of certain calendar year 2000 and 2003 transactions.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decreased by $4.6 million to $9.5 million for the year ended December 31, 2005 from $14.1 million compared to 2004.</w:t>
      </w:r>
      <w:r>
        <w:rPr>
          <w:rFonts w:ascii="Arial" w:cs="Arial" w:eastAsia="Arial" w:hAnsi="Arial"/>
          <w:sz w:val="18"/>
          <w:szCs w:val="18"/>
          <w:i w:val="1"/>
          <w:iCs w:val="1"/>
          <w:color w:val="auto"/>
        </w:rPr>
        <w:t xml:space="preserve"> </w:t>
      </w:r>
      <w:r>
        <w:rPr>
          <w:rFonts w:ascii="Arial" w:cs="Arial" w:eastAsia="Arial" w:hAnsi="Arial"/>
          <w:sz w:val="18"/>
          <w:szCs w:val="18"/>
          <w:color w:val="auto"/>
        </w:rPr>
        <w:t>MoreDirect, our Large Account segment, accounted for $16.8 million and $14.6 million of our income from operations in 2005 and 2004, respectively. Excluding MoreDirect, we incurred a loss from operations of $7.3 million for 2005 and $0.5 million for 2004, primarily as the result of the losses incurred in our Public Sector segment and the lower gross margin in our SMB segment, after excluding the effect of EITF 02-16.</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Income from operations as a percentage of net sales decreased from 1.0% in 2004 to 0.7% in 2005. This decrease was attributable to the changes in net sales, gross margin, and SG&amp;A expenses as discussed above.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$1.4 million in both 2005 and 2004. Interest expense was unchanged in 2005 as higher interest rates in 2005 were offset by lower</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as compared to 2004.</w:t>
      </w:r>
    </w:p>
    <w:p>
      <w:pPr>
        <w:spacing w:after="0" w:line="132"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Our effective tax rate was 45.3% for 2005 and 35.4% for 2004. This year-over-year increase was due primarily to the tax benefits of state tax loss carryforwards in certain jurisdictions not recognizable as offsets to state tax charges in other jurisdictions, and to certain non-deductible expenses.</w:t>
      </w:r>
    </w:p>
    <w:p>
      <w:pPr>
        <w:spacing w:after="0" w:line="85"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decreased by $3.9 million to $4.4 million in 2005 from $8.3 million in 2004, principally as a result of the decrease in income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 and in 2005 our Amherst Transaction.</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calendar months. We expect our capital needs for 2007 to consist primarily of capital expenditures of $6.0 to $7.0 million and payments on capital and contractual obligations of approximately $6.0 million. We expect to meet our cash requirements for 2007 through a combination of cash on hand, cash generated from operations and, if necessary, borrowings on our bank line of credit, as follows:</w:t>
      </w:r>
    </w:p>
    <w:p>
      <w:pPr>
        <w:spacing w:after="0" w:line="6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December 31, 2006, we had approximately $17.6 million in unrestricted accounts.</w:t>
      </w:r>
    </w:p>
    <w:p>
      <w:pPr>
        <w:spacing w:after="0" w:line="90" w:lineRule="exact"/>
        <w:rPr>
          <w:rFonts w:ascii="Arial" w:cs="Arial" w:eastAsia="Arial" w:hAnsi="Arial"/>
          <w:sz w:val="18"/>
          <w:szCs w:val="18"/>
          <w:color w:val="auto"/>
        </w:rPr>
      </w:pPr>
    </w:p>
    <w:p>
      <w:pPr>
        <w:jc w:val="both"/>
        <w:ind w:left="460" w:right="58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jc w:val="both"/>
        <w:ind w:left="460" w:righ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December 31, 2006, no borrowings were outstanding against our $50.0 million bank line of credit. This line of credit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at our option, to $70.0 million for approved acquisitions or other uses authorized by the bank. Borrowings are, however, limited by certain minimum collateral and earnings requirements, as described more fully below.</w:t>
      </w:r>
    </w:p>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IT products declines, our cash flows from operations may be substantially affected. See also related risks listed below under “Item 1A. Risk Factors.”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last three years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2006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(8.9)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increased in 2006 compared to the prior years. Operating cash flow in 2006 resulted primarily from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before depreciation and a decrease in inventory, offset partially by an increase in accounts receivable. Inventory decreased by $6.0 million in 2006 partly as a result of our increased utilization of supplier drop-shipments to customers. We drop-shipped approximately 50% of net sales in 2006, compared to 44% in 2005, and as a result, we were able to maintain lower inventory levels in 2006. Accordingly, inventory days improved to 17 days at December 31, 2006, compared to 19 days at December 31, 2005. Accounts receivable increased by $7.7 million in 2006 from the prior year-end level due to higher net sales in 2006. Days sales outstanding improved to 45 days at December 31, 2006, compared to 47 days at December 31, 2005 due to improved collection efforts. Cash flow from operations for the year ended December 31, 2005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resulted primarily from net income before depreciation and an increase in accounts payable, offset partially by an increase in accounts receivable. Cash flow from operations for the year ended December 31, 2004 resulted primarily from net income before depreciation and a decrease in accounts receivable, offset partially by a decrease in accounts payable.</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December 31, 2006, we had $111.0 million in outstanding accounts payable. Such accounts are generally paid within 30 days of incurrence, except for accounts providing for discounts for early payments. Such payments will be financed by cash flows from operations or short-term borrowings under the line of credit. This amount includes $17.4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decreased in 2006 compared to 2005. These activities include our capital expenditures in the three years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for computer equipment and capitalized internally-developed software. Our 2002 acquisition of MoreDirect required earn-out payments due to the former shareholder of MoreDirect. These payments totaled $6.9 million and $11.1 million in 2005 and 2004, respectively. Additionally, in 2005 we completed the Amherst Transaction, which accounted for $7.8 million of the use of cash in 2005.</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Cash used for financing activities </w:t>
      </w:r>
      <w:r>
        <w:rPr>
          <w:rFonts w:ascii="Arial" w:cs="Arial" w:eastAsia="Arial" w:hAnsi="Arial"/>
          <w:sz w:val="18"/>
          <w:szCs w:val="18"/>
          <w:color w:val="auto"/>
        </w:rPr>
        <w:t>in 2006 related to a pay down in our net borrowings of $20.0 million under our bank line of credit, whereas there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net borrowings of $15.2 million in 2005. This paydown was partially offset by proceeds of $9.7 million from option exercises in 2006. Our 2004 financing activities consisted primarily of a paydown in net borrowings of $0.8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annual report.</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Our bank line of credit provides us with a borrowing capacity of up to $50.0 million. In addition, we have the option to increase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 additional $20.0 million, based on sufficient levels of trade receivables to meet borrowing base requirements, and depending on meeting minimum EBITDA (earnings before interest, taxes, depreciation, and amortization) and equity requirements, described below under “Factors Affecting Sources of Liquidity.” No borrowings were outstanding under this facility at December 31, 2006. Substantially all of our assets are collateralized as security for this facility, and all of our subsidiaries are guarantors under the line of credit. At December 31, 2006, the entire $50 million facility was available for borrowing.</w:t>
      </w:r>
    </w:p>
    <w:p>
      <w:pPr>
        <w:spacing w:after="0" w:line="1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07"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i w:val="1"/>
          <w:iCs w:val="1"/>
          <w:color w:val="auto"/>
        </w:rPr>
        <w:t>Inventory Trade Credit Agreements</w:t>
      </w:r>
      <w:r>
        <w:rPr>
          <w:rFonts w:ascii="Arial" w:cs="Arial" w:eastAsia="Arial" w:hAnsi="Arial"/>
          <w:sz w:val="18"/>
          <w:szCs w:val="18"/>
          <w:color w:val="auto"/>
        </w:rPr>
        <w:t>. We have security agreements with two financial institutions to facilitate the purchase of inventory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their products. Amounts outstanding under such facilities, equal to $17.4 million as of December 31, 2006, are recorded in accounts payable, and the inventory financed is classified as inventory on the consolidated balance sheet.</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During 2006 we signed a lease agreement for our new Texas sales office. Also during 2006 we signed various lease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Florida and New Hampshire for additional office space for sales and support functions. The following table sets forth information with respect to our long-term obligations payable in cash as of December 31, 2006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Payments Due By Period</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3"/>
              </w:rPr>
              <w:t>Less Than</w:t>
            </w:r>
          </w:p>
        </w:tc>
        <w:tc>
          <w:tcPr>
            <w:tcW w:w="220" w:type="dxa"/>
            <w:vAlign w:val="bottom"/>
          </w:tcPr>
          <w:p>
            <w:pPr>
              <w:spacing w:after="0"/>
              <w:rPr>
                <w:sz w:val="11"/>
                <w:szCs w:val="11"/>
                <w:color w:val="auto"/>
              </w:rPr>
            </w:pPr>
          </w:p>
        </w:tc>
        <w:tc>
          <w:tcPr>
            <w:tcW w:w="9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1–3</w:t>
            </w:r>
          </w:p>
        </w:tc>
        <w:tc>
          <w:tcPr>
            <w:tcW w:w="5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3–5</w:t>
            </w: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1 Year</w:t>
            </w:r>
          </w:p>
        </w:tc>
        <w:tc>
          <w:tcPr>
            <w:tcW w:w="22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22"/>
                <w:szCs w:val="22"/>
                <w:color w:val="auto"/>
                <w:vertAlign w:val="superscript"/>
              </w:rPr>
              <w:t>(1)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$2,174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2"/>
                <w:szCs w:val="22"/>
                <w:color w:val="auto"/>
                <w:vertAlign w:val="superscript"/>
              </w:rPr>
              <w:t>(2)</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Sports marketing commitments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1,532</w:t>
            </w:r>
          </w:p>
        </w:tc>
        <w:tc>
          <w:tcPr>
            <w:tcW w:w="500" w:type="dxa"/>
            <w:vAlign w:val="bottom"/>
          </w:tcPr>
          <w:p>
            <w:pPr>
              <w:jc w:val="right"/>
              <w:spacing w:after="0"/>
              <w:rPr>
                <w:sz w:val="20"/>
                <w:szCs w:val="20"/>
                <w:color w:val="auto"/>
              </w:rPr>
            </w:pPr>
            <w:r>
              <w:rPr>
                <w:rFonts w:ascii="Arial" w:cs="Arial" w:eastAsia="Arial" w:hAnsi="Arial"/>
                <w:sz w:val="18"/>
                <w:szCs w:val="18"/>
                <w:color w:val="auto"/>
              </w:rPr>
              <w:t>866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20,138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5,696</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3,616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Including interest, excluding taxes, insurance, and common area maintenance charges.</w:t>
      </w:r>
    </w:p>
    <w:p>
      <w:pPr>
        <w:ind w:left="460" w:hanging="452"/>
        <w:spacing w:after="0"/>
        <w:tabs>
          <w:tab w:leader="none" w:pos="460" w:val="left"/>
        </w:tabs>
        <w:numPr>
          <w:ilvl w:val="0"/>
          <w:numId w:val="23"/>
        </w:numPr>
        <w:rPr>
          <w:rFonts w:ascii="Arial" w:cs="Arial" w:eastAsia="Arial" w:hAnsi="Arial"/>
          <w:sz w:val="11"/>
          <w:szCs w:val="11"/>
          <w:color w:val="auto"/>
        </w:rPr>
      </w:pPr>
      <w:r>
        <w:rPr>
          <w:rFonts w:ascii="Arial" w:cs="Arial" w:eastAsia="Arial" w:hAnsi="Arial"/>
          <w:sz w:val="18"/>
          <w:szCs w:val="18"/>
          <w:color w:val="auto"/>
        </w:rPr>
        <w:t>Excluding taxes, insurance, and common area maintenance charges.</w:t>
      </w:r>
    </w:p>
    <w:p>
      <w:pPr>
        <w:spacing w:after="0" w:line="14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Capital Leases. </w:t>
      </w:r>
      <w:r>
        <w:rPr>
          <w:rFonts w:ascii="Arial" w:cs="Arial" w:eastAsia="Arial" w:hAnsi="Arial"/>
          <w:sz w:val="16"/>
          <w:szCs w:val="16"/>
          <w:color w:val="auto"/>
        </w:rPr>
        <w:t>We have a fifteen-year lease for our corporate headquarters with an affiliated company related through common ownership. We also have</w:t>
      </w:r>
      <w:r>
        <w:rPr>
          <w:rFonts w:ascii="Arial" w:cs="Arial" w:eastAsia="Arial" w:hAnsi="Arial"/>
          <w:sz w:val="16"/>
          <w:szCs w:val="16"/>
          <w:i w:val="1"/>
          <w:iCs w:val="1"/>
          <w:color w:val="auto"/>
        </w:rPr>
        <w:t xml:space="preserve"> </w:t>
      </w:r>
      <w:r>
        <w:rPr>
          <w:rFonts w:ascii="Arial" w:cs="Arial" w:eastAsia="Arial" w:hAnsi="Arial"/>
          <w:sz w:val="16"/>
          <w:szCs w:val="16"/>
          <w:color w:val="auto"/>
        </w:rPr>
        <w:t>a three-year lease for certain computer equipment with an unrelated party. We are required to make lease payments aggregating from $1.0 million to $1.5 million per year. In addition to the rent payable under the facility lease, we are required to pay real estate taxes, insurance, and common area maintenance charges.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See “Contractual Obligations” above for lease commitments under these leases.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Sports Marketing Commitments</w:t>
      </w:r>
      <w:r>
        <w:rPr>
          <w:rFonts w:ascii="Arial" w:cs="Arial" w:eastAsia="Arial" w:hAnsi="Arial"/>
          <w:sz w:val="18"/>
          <w:szCs w:val="18"/>
          <w:color w:val="auto"/>
        </w:rPr>
        <w:t>. We have entered into multi-year sponsorship agreements with the Boston Red Sox and the New England Patriots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to 2012 and 2013, respectively. These agreements, which grant us various marketing rights and seating arrangements, require annual payments aggregating from $0.3 million to $1.1 million per year.</w:t>
      </w:r>
    </w:p>
    <w:p>
      <w:pPr>
        <w:spacing w:after="0" w:line="14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i w:val="1"/>
          <w:iCs w:val="1"/>
          <w:color w:val="auto"/>
        </w:rPr>
        <w:t xml:space="preserve">Earn-out Provisions of MoreDirect Merger Agreement. </w:t>
      </w:r>
      <w:r>
        <w:rPr>
          <w:rFonts w:ascii="Arial" w:cs="Arial" w:eastAsia="Arial" w:hAnsi="Arial"/>
          <w:sz w:val="15"/>
          <w:szCs w:val="15"/>
          <w:color w:val="auto"/>
        </w:rPr>
        <w:t>We completed the acquisition of MoreDirect in April 2002. Under the terms of this agreement, we</w:t>
      </w:r>
      <w:r>
        <w:rPr>
          <w:rFonts w:ascii="Arial" w:cs="Arial" w:eastAsia="Arial" w:hAnsi="Arial"/>
          <w:sz w:val="15"/>
          <w:szCs w:val="15"/>
          <w:i w:val="1"/>
          <w:iCs w:val="1"/>
          <w:color w:val="auto"/>
        </w:rPr>
        <w:t xml:space="preserve"> </w:t>
      </w:r>
      <w:r>
        <w:rPr>
          <w:rFonts w:ascii="Arial" w:cs="Arial" w:eastAsia="Arial" w:hAnsi="Arial"/>
          <w:sz w:val="15"/>
          <w:szCs w:val="15"/>
          <w:color w:val="auto"/>
        </w:rPr>
        <w:t>were required to make additional payments to the MoreDirect shareholder if certain earnings levels were achieved through December 31, 2004. Earn-out payments aggregating $6.9 million and $11.1 million were made in 2005 and 2004, respectively, based on MoreDirect’s earnings for 2004 and 2003, respectively.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debt, guarantees, stock repurchases, dividends and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distributions, investments, and liens) with which the Company and all of its subsidiaries must comply. Any failure to comply with these covenants would not only prevent us from borrowing additional funds under this line of credit, but would also constitute a default. This credit facility contains two financial tests:</w:t>
      </w:r>
    </w:p>
    <w:p>
      <w:pPr>
        <w:spacing w:after="0" w:line="4" w:lineRule="exact"/>
        <w:rPr>
          <w:sz w:val="20"/>
          <w:szCs w:val="20"/>
          <w:color w:val="auto"/>
        </w:rPr>
      </w:pP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EBITDA for the trailing four quarters) must not be more than 2.0 to 1.0. Our actual funded debt ratio at December 31, 2006 was 0.1 to 1.0.</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Minimum Consolidated Net Worth must be at least $150.0 million, plus 50% of consolidated net income for each quarter, beginning with the quarter ended March 31, 2006 (loss quarters not counted). Such amount was calculated at December 31, 2006 as $156.9 million, whereas our actual consolidated stockholders’ equity at this date was $196.9 million.</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December 31, 2006, the entire $50.0 million facility was available for borrowing.</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Capital Markets. </w:t>
      </w:r>
      <w:r>
        <w:rPr>
          <w:rFonts w:ascii="Arial" w:cs="Arial" w:eastAsia="Arial" w:hAnsi="Arial"/>
          <w:sz w:val="18"/>
          <w:szCs w:val="18"/>
          <w:color w:val="auto"/>
        </w:rPr>
        <w:t>Our ability to raise additional funds in the capital market depends upon, among other things, general economic conditions, the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information technology industry, our financial performance and stock price, and the state of the capital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SEC requires that all registrants disclose their most “critical accounting policies.” A “critical accounting policy” has been defined as one that is both important to the portrayal of the registrant’s financial condition and results and requires management’s most difficult, subjective or complex judgments, often as a result of the need to make estimates about the effect of matters that are inherently uncertain. Further, “critical accounting policies” are those that are reflective of significant judgments and uncertainties, and potentially result in materially different results under different assumptions and conditions.</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our accounting policies described below fit the definition of “critical accounting policies.” We have reviewed our policies for the year ended December 31, 2006 and determined that they remain our most critical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 transit despite title transferring to the customer at the point of shipment or (ii) have FOB—destination specifically set out in our arrangements with federal agencies, delivery is deemed to have occurred at the point in time when the product is received by the customer. 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 Should such returns no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longer prove estimable, we believe the impact on our financials would not necessarily be significant, since the return privilege expires 30 days after shipment.</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for third party service contracts are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EITF Issue No. 99-19, “Reporting Revenue Gross as a Principal versus Net as an Agent.” Under gross sales recognition, we are the primary obligor, and the entire selling process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Similarly, we recognize revenue from agency sales transactions on a net sales basis. In agency sales transactions, we facilitate product and software sales by manufacturers directly to our customers and receive agency, or referral, fees for such transactions. We do not take title to the products or assume any maintenance or return obligations in these transactions; title is passed directly from the supplier to our customer.</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amounts included in revenue for such service contracts and agency sales transactions were $10.8 million, $7.3 million, and $5.8 million for the years ended December 31, 2006,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customers’ current creditworthiness. Our allowance is generally computed by (1) applying specific percentage reserves on accounts that are past due; and (2) specifically reserving for customers known to be in financial difficulty. Therefore, if the financial condition of certain of our customers were to deteriorate, or if we noted there was a lengthening of the timing of the settlement of receivables that was symptomatic of a general deterioration in the ability of our customers to pay, we would have to increase our allowance for doubtful accounts. This would negatively impact our earnings. Our cash flows would be impacted to the extent that receivables could not be collected.</w:t>
      </w:r>
    </w:p>
    <w:p>
      <w:pPr>
        <w:spacing w:after="0" w:line="11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In addition to accounts receivable from customers, we record receivables from our vendors/suppliers for cooperative advertising, price protection, supplier reimbursements, rebates, and other similar arrangements. A portion of such receivables is estimated based on information available from our vendors at discrete points in time. While such estimates have historically approximated actual cash received, an unanticipated change in a promotional program could give rise to a reduction in the receivable. This could negatively impact our earnings and our cash flows.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Considerable judgment is used in assessing the ultimate realization of customer receivables and vendor/supplier receivables, including reviewing the financial stability of a customer, vendor information, and gauging current market conditions. If our evaluations are incorrect, we may incur future charges to our income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Consideration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receive allowances from merchandise vendors for price protections, discounts, product rebates, and other programs. These allowances are treated as a reduction of the vendor’s prices and are recorded as adjustments to cost of sales or inventory, as applicable. We also receive vendor co-op advertising funding for our catalogs and other programs. Vendors have the ability to place advertisements in the catalogs for which we receive advertising allowances. These vendor allowances, to the extent that they represent specific reimbursements of the underlying incremental and identifiable costs, are offset against SG&amp;A expense on the consolidated statements of income. Advertising allowances that cannot be associated with a specific program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funded by an individual vendor or that exceed the fair value of advertising expense associated with that program are recorded as reductions to cost of inventory purchases in accordance with EITF 02-16. The level of allowances received from certain merchandise vendors has declined in past years and may do so again. Such a decline could have a material impact on gross margin and operating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 Merchandise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Inventories (all finished goods) consisting of software packages, computer systems, peripheral equipment, and consumer electronics are stated at cost (determined under the first-in, first-out method) or market, whichever is lower. Inventory quantities on hand are reviewed regularly, and provisions are made for obsolete, slow moving, and non-salable inventory, based primarily on management’s forecast of customer demand for those products in inventory. The IT industry is characterized by rapid technological change and new product development that could result in increased obsolescence of inventory on hand. Increased obsolescence or decreased customer demand beyond management’s expectations could require additional provisions. This could negatively impact our earnings. Our obsolescence charges have historically ranged between $6.0 million and $7.0 million per annum. Historically, there have been no unusual charges precipitated by specific technological or forecast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color w:val="auto"/>
        </w:rPr>
        <w:t>From time to time we are subject to potential claims and assessments from third parties. We continually assess whether or not such claims have merit and warrant accrual under the “probable and estimable” criteria of SFAS No. 5, “Accounting for Contingencies.” We are also subject to audits by states on sales and income taxes, unclaimed property, and other assessments. A multi-state unclaimed property audit is in progress, and certain sales tax audits may be imminent.</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of Long-Lived Assets, Including Intangibles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carry a variety of long-lived assets on our balance sheet. These are all currently classified as held for use. These include property and equipment, identifiable intangibles, and goodwill. An impairment review is undertaken on (1) an annual basis for assets such as goodwill and indefinite lived intangible assets; and (2) on an event-driven basis for all long-lived assets (including indefinite lived intangible assets and goodwill) when facts and circumstances suggest that cash flows emanating from such assets may be diminished. We may review the carrying value of all these assets based partly on our projections of anticipated cash flows – projections which are, in part, dependent upon anticipated market conditions, operational performance, and legal status. Any impairment charge that is recorded negatively impacts our earnings. Cash flows are generally not impacted.</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Over the last several years, we have incurred no impairment charges. While we believe that our future estimates are reasonable, different assumptions regarding items such as future cash flows and the volatility inherent in markets which we serve could materially effect our valuations and result in impairment charges against the carrying value of those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Compensation and Benefits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employee compensation model has several elements that we consider variable. These include our obligation to our employees for health care. We have selected a plan that results in our being self-insured up to certain stop-loss limits. Accordingly, we have to estimate the amount of health care claims outstanding at a given point in time. These estimates are based on historical experience and could be subject to change. Such change could negatively impact both our earnings and our cash flows.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also engaged in workforce reduction actions in each of the last three years. These actions included formula driven termination benefits. These benefits were or are being paid relatively quickly and have not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subject to change. We do not foresee a circumstance where there could be significant variability in our workforce reduction estimates. However, if we did experience significant variability, such change could negatively impact our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Prior to January 1, 2006, we accounted for employee stock options using the intrinsic value method in accordance with Accounting Principles Board Opinion No. 25, “Accounting for Stock Issued to Employees” (“APB 25”). The intrinsic value method requires that compensation expense be measured by the difference between the fair value of our common stock and the strike price of the option as of a measurement date. Effective January 1, 2006, we adopted SFAS No. 123 (revised 2004), “Share-Based Payment,” (“SFAS 123(R)”) using the modified prospective application method. SFAS 123(R) requires a company to measure the grant date fair value of equity awards given to employees and recognize that cost, adjusted for forfeitures, over the period that such services are performed in its consolidated financial statements (described in Note 10). SFAS 123(R) requires forfeitures to be estimated at the time of grant and revised, if necessary, in subsequent periods if actual forfeitures experienced differ from these estimates. Under the modified prospective application method, financial results for the prior periods have not been adjusted. We have used the criteria in SFAS No. 123(R) to calculate and establish the beginning balance of the additional paid-in capital pool related to the tax effects of employee share-based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2006 the Financial Accounting Standards Board (“FASB”) issued FASB Interpretation No. 48, “Accounting for Uncertainty in Income Taxes—an interpretation of FASB Statement No. 109” (“FIN 48”), which will become effective for our financial statements on January 1, 2007. The interpretation prescribes a minimum recognition threshold and a measurement attribute for the financial statement recognition and measurement of tax positions taken or expected to be taken in a tax return. FIN 48 also provides guidance on accounting for derecognition, classification, interest and penalties, accounting in interim periods, disclosure, and transition. FIN 48 is effective for fiscal years beginning after December 15, 2006. We currently estimate our adoption of FIN 48 will result in a cumulative effect adjustment that will decrease retained earnings as of January 1, 2007 by an amount not to exceed $0.5 million.</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FASB ratified EITF Issue No. 06-3, “How Taxes Collected from Customers and Remitted to Governmental Authorities Should Be Presented in the Income Statement (That is, Gross versus Net Presentation)” (“EITF 06-3”). This Issue addresses the presentation in the income statement of taxes collected from customers and remitted to governmental authorities (including but not limited to sales, use, value added, and some excise taxes). EITF 06-3 is effective for reporting periods beginning after December 15, 2006. We present our revenue net of sales taxes, and expect to continue to do so in the future. Accordingly, the adoption of EITF 06-3 will not have a significant impact on our financial statements.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2006 the SEC issued Staff Accounting Bulletin No. 108, “Considering the Effects of Prior Year Misstatements When Quantifying Misstatements in Current Year Financial Statements” (“SAB 108”). SAB 108 establishes an approach that requires quantification of financial statement misstatements based on the effects of the misstatement on the financial statements and related disclosures. SAB 108 is effective for annual financial statements for the year ended December 31, 2006. SAB 108 did not have a material impact on our results of operation or financial position.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and expands disclosures about fair value measurements. SFAS 157 is effective for financial statements issued for fiscal years beginning after November 15, 2007, and interim periods within those fiscal years. We do not expect SFAS 157 to have a material impact on our results of operation or financial position.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115” (“SFAS 159”) which permits companies to choose to measure many financial instruments and certain other items at fair value. SFAS 159 is effective for fiscal years beginning after November 15, 2007 and interim periods within those fiscal years. We do not expect SFAS 159 to have a material impact on our results of operation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foreseeable future.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We believe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No borrowings were outstanding pursuant to the credit agreement as of December 31, 2006, however, our average outstanding borrowing during 2006 was $13.6 million. Accordingly, the change in earnings resulting from a hypothetical 10% increase or decrease in interest rates would not be material.</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Consolidated 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included in this Report beginning at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2006.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this evaluation, our Chief Executive Officer and Chief Financial Officer concluded that, as of the end of the period covered by this report, our disclosure controls and procedures were effective at the reasonable assurance level.</w:t>
      </w:r>
    </w:p>
    <w:p>
      <w:pPr>
        <w:spacing w:after="0" w:line="12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2006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information included under the headings, “Executive Officers of PC Connection” in Item 4 of Part I hereof and “Information Concerning Directors, Nominees, and Executive Officers,” “Section 16(a) Beneficial Ownership Reporting Compliance,” “Code of Ethics,” and “Board Committees—Audit Committee” in our definitive Proxy Statement for our 2007 Annual Meeting of Stockholders to be held on June 7, 2007 (the “Proxy Statement”) is incorporated herein by reference. We anticipate filing the Proxy Statement within 120 days after December 31, 2006. With the exception of the foregoing information and other information specifically incorporated by reference into this Form 10-K, the Proxy Statement is not being filed as a part hereof.</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information included under the headings “Executive Compensation,” “Compensation Committee and Interlocks and Insider Participation,” and “Compensation Committee Report”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information included under the headings “Security Ownership of Certain Beneficial Owners and Management” and “Equity Compensation Plan Information”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included under the headings “Certain Transactions and Relationships” and “Director Independence”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jc w:val="center"/>
        <w:ind w:right="220"/>
        <w:spacing w:after="0" w:line="440" w:lineRule="auto"/>
        <w:rPr>
          <w:sz w:val="20"/>
          <w:szCs w:val="20"/>
          <w:color w:val="auto"/>
        </w:rPr>
      </w:pPr>
      <w:r>
        <w:rPr>
          <w:rFonts w:ascii="Arial" w:cs="Arial" w:eastAsia="Arial" w:hAnsi="Arial"/>
          <w:sz w:val="18"/>
          <w:szCs w:val="18"/>
          <w:color w:val="auto"/>
        </w:rPr>
        <w:t>The information included under the heading “Principal Accountant Fees and Services” in the Proxy Statement is incorporated herein by reference. 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consolidated financial statements listed below are included in this document.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94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7940" w:type="dxa"/>
            <w:vAlign w:val="bottom"/>
            <w:tcBorders>
              <w:bottom w:val="single" w:sz="8" w:color="auto"/>
            </w:tcBorders>
            <w:gridSpan w:val="9"/>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gridSpan w:val="3"/>
          </w:tcPr>
          <w:p>
            <w:pPr>
              <w:jc w:val="right"/>
              <w:ind w:right="20"/>
              <w:spacing w:after="0" w:line="148" w:lineRule="exact"/>
              <w:rPr>
                <w:sz w:val="20"/>
                <w:szCs w:val="20"/>
                <w:color w:val="auto"/>
              </w:rPr>
            </w:pPr>
            <w:r>
              <w:rPr>
                <w:rFonts w:ascii="Arial" w:cs="Arial" w:eastAsia="Arial" w:hAnsi="Arial"/>
                <w:sz w:val="14"/>
                <w:szCs w:val="14"/>
                <w:b w:val="1"/>
                <w:bCs w:val="1"/>
                <w:color w:val="auto"/>
                <w:w w:val="82"/>
              </w:rPr>
              <w:t>References</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1640" w:type="dxa"/>
            <w:vAlign w:val="bottom"/>
            <w:tcBorders>
              <w:bottom w:val="single" w:sz="8" w:color="0000EE"/>
            </w:tcBorders>
          </w:tcPr>
          <w:p>
            <w:pPr>
              <w:spacing w:after="0" w:line="163"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Report of Management</w:t>
              </w:r>
            </w:hyperlink>
          </w:p>
        </w:tc>
        <w:tc>
          <w:tcPr>
            <w:tcW w:w="6300" w:type="dxa"/>
            <w:vAlign w:val="bottom"/>
            <w:gridSpan w:val="8"/>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940" w:type="dxa"/>
            <w:vAlign w:val="bottom"/>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w:t>
              </w:r>
            </w:hyperlink>
          </w:p>
        </w:tc>
        <w:tc>
          <w:tcPr>
            <w:tcW w:w="38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94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Statements of Income</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94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 of Changes in Stockholders’ Equity</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w:t>
              </w:r>
            </w:hyperlink>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Notes to Consolidated Financial Statements</w:t>
              </w:r>
            </w:hyperlink>
          </w:p>
        </w:tc>
        <w:tc>
          <w:tcPr>
            <w:tcW w:w="486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37"/>
        </w:trPr>
        <w:tc>
          <w:tcPr>
            <w:tcW w:w="8400" w:type="dxa"/>
            <w:vAlign w:val="bottom"/>
            <w:gridSpan w:val="10"/>
          </w:tcPr>
          <w:p>
            <w:pPr>
              <w:spacing w:after="0"/>
              <w:rPr>
                <w:sz w:val="20"/>
                <w:szCs w:val="20"/>
                <w:color w:val="auto"/>
              </w:rPr>
            </w:pPr>
            <w:r>
              <w:rPr>
                <w:rFonts w:ascii="Arial" w:cs="Arial" w:eastAsia="Arial" w:hAnsi="Arial"/>
                <w:sz w:val="18"/>
                <w:szCs w:val="18"/>
                <w:color w:val="auto"/>
              </w:rPr>
              <w:t>(2)   Consolidated Financial Statement Schedule: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10"/>
          </w:tcPr>
          <w:p>
            <w:pPr>
              <w:ind w:left="460"/>
              <w:spacing w:after="0"/>
              <w:rPr>
                <w:sz w:val="20"/>
                <w:szCs w:val="20"/>
                <w:color w:val="auto"/>
              </w:rPr>
            </w:pPr>
            <w:r>
              <w:rPr>
                <w:rFonts w:ascii="Arial" w:cs="Arial" w:eastAsia="Arial" w:hAnsi="Arial"/>
                <w:sz w:val="18"/>
                <w:szCs w:val="18"/>
                <w:color w:val="auto"/>
                <w:w w:val="99"/>
              </w:rPr>
              <w:t>The following Consolidated Financial Statement Schedule, as set forth below, is filed with this report:</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94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Schedule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7940" w:type="dxa"/>
            <w:vAlign w:val="bottom"/>
            <w:tcBorders>
              <w:bottom w:val="single" w:sz="8" w:color="auto"/>
            </w:tcBorders>
            <w:gridSpan w:val="9"/>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2"/>
              </w:rPr>
              <w:t>Reference</w:t>
            </w: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7940" w:type="dxa"/>
            <w:vAlign w:val="bottom"/>
            <w:gridSpan w:val="9"/>
          </w:tcPr>
          <w:p>
            <w:pPr>
              <w:spacing w:after="0" w:line="163" w:lineRule="exact"/>
              <w:rPr>
                <w:rFonts w:ascii="Arial" w:cs="Arial" w:eastAsia="Arial" w:hAnsi="Arial"/>
                <w:sz w:val="18"/>
                <w:szCs w:val="18"/>
                <w:color w:val="0000EE"/>
              </w:rPr>
            </w:pPr>
            <w:hyperlink w:anchor="page77">
              <w:r>
                <w:rPr>
                  <w:rFonts w:ascii="Arial" w:cs="Arial" w:eastAsia="Arial" w:hAnsi="Arial"/>
                  <w:sz w:val="18"/>
                  <w:szCs w:val="18"/>
                  <w:color w:val="0000EE"/>
                </w:rPr>
                <w:t>Schedule II—Valuation and Qualifying Accounts</w:t>
              </w:r>
            </w:hyperlink>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All other schedules have been omitted because they are either not applicable or the relevant information has already been disclosed in the financial statements.</w:t>
      </w:r>
    </w:p>
    <w:p>
      <w:pPr>
        <w:spacing w:after="0" w:line="254" w:lineRule="exact"/>
        <w:rPr>
          <w:sz w:val="20"/>
          <w:szCs w:val="20"/>
          <w:color w:val="auto"/>
        </w:rPr>
      </w:pPr>
    </w:p>
    <w:p>
      <w:pPr>
        <w:ind w:left="920" w:right="8880" w:hanging="466"/>
        <w:spacing w:after="0" w:line="460" w:lineRule="auto"/>
        <w:tabs>
          <w:tab w:leader="none" w:pos="898"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Supplementary Data Not applicable.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exhibits listed below are filed herewith or are incorporated herein by reference to other filings.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044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Exhibits</w:t>
            </w:r>
          </w:p>
        </w:tc>
        <w:tc>
          <w:tcPr>
            <w:tcW w:w="10440" w:type="dxa"/>
            <w:vAlign w:val="bottom"/>
          </w:tcPr>
          <w:p>
            <w:pPr>
              <w:spacing w:after="0"/>
              <w:rPr>
                <w:sz w:val="24"/>
                <w:szCs w:val="24"/>
                <w:color w:val="auto"/>
              </w:rPr>
            </w:pPr>
          </w:p>
        </w:tc>
      </w:tr>
      <w:tr>
        <w:trPr>
          <w:trHeight w:val="215"/>
        </w:trPr>
        <w:tc>
          <w:tcPr>
            <w:tcW w:w="920" w:type="dxa"/>
            <w:vAlign w:val="bottom"/>
          </w:tcPr>
          <w:p>
            <w:pPr>
              <w:ind w:left="100"/>
              <w:spacing w:after="0"/>
              <w:rPr>
                <w:sz w:val="20"/>
                <w:szCs w:val="20"/>
                <w:color w:val="auto"/>
              </w:rPr>
            </w:pPr>
            <w:r>
              <w:rPr>
                <w:rFonts w:ascii="Arial" w:cs="Arial" w:eastAsia="Arial" w:hAnsi="Arial"/>
                <w:sz w:val="18"/>
                <w:szCs w:val="18"/>
                <w:color w:val="auto"/>
              </w:rPr>
              <w:t>3.2(5)</w:t>
            </w:r>
          </w:p>
        </w:tc>
        <w:tc>
          <w:tcPr>
            <w:tcW w:w="10440" w:type="dxa"/>
            <w:vAlign w:val="bottom"/>
          </w:tcPr>
          <w:p>
            <w:pPr>
              <w:ind w:left="460"/>
              <w:spacing w:after="0"/>
              <w:rPr>
                <w:sz w:val="20"/>
                <w:szCs w:val="20"/>
                <w:color w:val="auto"/>
              </w:rPr>
            </w:pPr>
            <w:r>
              <w:rPr>
                <w:rFonts w:ascii="Arial" w:cs="Arial" w:eastAsia="Arial" w:hAnsi="Arial"/>
                <w:sz w:val="18"/>
                <w:szCs w:val="18"/>
                <w:color w:val="auto"/>
              </w:rPr>
              <w:t>Amended and Restated Certificate of Incorporation of Registrant, as amended.</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3.4(1)</w:t>
            </w:r>
          </w:p>
        </w:tc>
        <w:tc>
          <w:tcPr>
            <w:tcW w:w="10440" w:type="dxa"/>
            <w:vAlign w:val="bottom"/>
          </w:tcPr>
          <w:p>
            <w:pPr>
              <w:ind w:left="460"/>
              <w:spacing w:after="0"/>
              <w:rPr>
                <w:sz w:val="20"/>
                <w:szCs w:val="20"/>
                <w:color w:val="auto"/>
              </w:rPr>
            </w:pPr>
            <w:r>
              <w:rPr>
                <w:rFonts w:ascii="Arial" w:cs="Arial" w:eastAsia="Arial" w:hAnsi="Arial"/>
                <w:sz w:val="18"/>
                <w:szCs w:val="18"/>
                <w:color w:val="auto"/>
              </w:rPr>
              <w:t>Bylaws of Registrant.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4.1(1)</w:t>
            </w:r>
          </w:p>
        </w:tc>
        <w:tc>
          <w:tcPr>
            <w:tcW w:w="10440" w:type="dxa"/>
            <w:vAlign w:val="bottom"/>
          </w:tcPr>
          <w:p>
            <w:pPr>
              <w:ind w:left="460"/>
              <w:spacing w:after="0"/>
              <w:rPr>
                <w:sz w:val="20"/>
                <w:szCs w:val="20"/>
                <w:color w:val="auto"/>
              </w:rPr>
            </w:pPr>
            <w:r>
              <w:rPr>
                <w:rFonts w:ascii="Arial" w:cs="Arial" w:eastAsia="Arial" w:hAnsi="Arial"/>
                <w:sz w:val="18"/>
                <w:szCs w:val="18"/>
                <w:color w:val="auto"/>
              </w:rPr>
              <w:t>Form of specimen certificate for shares of Common Stock, $0.01 par value per share, of the Registrant.</w:t>
            </w:r>
          </w:p>
        </w:tc>
      </w:t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9.1(1)</w:t>
            </w:r>
          </w:p>
        </w:tc>
        <w:tc>
          <w:tcPr>
            <w:tcW w:w="10440" w:type="dxa"/>
            <w:vAlign w:val="bottom"/>
          </w:tcPr>
          <w:p>
            <w:pPr>
              <w:ind w:left="460"/>
              <w:spacing w:after="0"/>
              <w:rPr>
                <w:sz w:val="20"/>
                <w:szCs w:val="20"/>
                <w:color w:val="auto"/>
              </w:rPr>
            </w:pPr>
            <w:r>
              <w:rPr>
                <w:rFonts w:ascii="Arial" w:cs="Arial" w:eastAsia="Arial" w:hAnsi="Arial"/>
                <w:sz w:val="18"/>
                <w:szCs w:val="18"/>
                <w:color w:val="auto"/>
                <w:w w:val="91"/>
              </w:rPr>
              <w:t>Form of 1998 PC Connection Voting Trust Agreement among the Registrant, Patricia Gallup individually and as a trustee, and David Hall</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individually and as trustee.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440" w:type="dxa"/>
            <w:vAlign w:val="bottom"/>
          </w:tcPr>
          <w:p>
            <w:pPr>
              <w:ind w:left="460"/>
              <w:spacing w:after="0"/>
              <w:rPr>
                <w:sz w:val="20"/>
                <w:szCs w:val="20"/>
                <w:color w:val="auto"/>
              </w:rPr>
            </w:pPr>
            <w:r>
              <w:rPr>
                <w:rFonts w:ascii="Arial" w:cs="Arial" w:eastAsia="Arial" w:hAnsi="Arial"/>
                <w:sz w:val="18"/>
                <w:szCs w:val="18"/>
                <w:color w:val="auto"/>
                <w:w w:val="94"/>
              </w:rPr>
              <w:t>Form of Registration Rights Agreement among the Registrant, Patricia Gallup, David Hall, and the 1998 PC Connection Voting Trust.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40" w:type="dxa"/>
            <w:vAlign w:val="bottom"/>
          </w:tcPr>
          <w:p>
            <w:pPr>
              <w:ind w:left="460"/>
              <w:spacing w:after="0"/>
              <w:rPr>
                <w:sz w:val="20"/>
                <w:szCs w:val="20"/>
                <w:color w:val="auto"/>
              </w:rPr>
            </w:pPr>
            <w:r>
              <w:rPr>
                <w:rFonts w:ascii="Arial" w:cs="Arial" w:eastAsia="Arial" w:hAnsi="Arial"/>
                <w:sz w:val="18"/>
                <w:szCs w:val="18"/>
                <w:color w:val="auto"/>
              </w:rPr>
              <w:t>1993 Incentive and Non-Statutory Stock Option Plan,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440" w:type="dxa"/>
            <w:vAlign w:val="bottom"/>
          </w:tcPr>
          <w:p>
            <w:pPr>
              <w:ind w:left="460"/>
              <w:spacing w:after="0"/>
              <w:rPr>
                <w:sz w:val="20"/>
                <w:szCs w:val="20"/>
                <w:color w:val="auto"/>
              </w:rPr>
            </w:pPr>
            <w:r>
              <w:rPr>
                <w:rFonts w:ascii="Arial" w:cs="Arial" w:eastAsia="Arial" w:hAnsi="Arial"/>
                <w:sz w:val="18"/>
                <w:szCs w:val="18"/>
                <w:color w:val="auto"/>
              </w:rPr>
              <w:t>1997 Amended and Restated Stock Incentive Plan.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10.4(20)</w:t>
            </w:r>
          </w:p>
        </w:tc>
        <w:tc>
          <w:tcPr>
            <w:tcW w:w="10440" w:type="dxa"/>
            <w:vAlign w:val="bottom"/>
          </w:tcPr>
          <w:p>
            <w:pPr>
              <w:ind w:left="460"/>
              <w:spacing w:after="0"/>
              <w:rPr>
                <w:sz w:val="20"/>
                <w:szCs w:val="20"/>
                <w:color w:val="auto"/>
              </w:rPr>
            </w:pPr>
            <w:r>
              <w:rPr>
                <w:rFonts w:ascii="Arial" w:cs="Arial" w:eastAsia="Arial" w:hAnsi="Arial"/>
                <w:sz w:val="18"/>
                <w:szCs w:val="18"/>
                <w:color w:val="auto"/>
              </w:rPr>
              <w:t>Amended and Restated 1997 Employee Stock Purchase Plan,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10.5(19)</w:t>
            </w:r>
          </w:p>
        </w:tc>
        <w:tc>
          <w:tcPr>
            <w:tcW w:w="10440" w:type="dxa"/>
            <w:vAlign w:val="bottom"/>
          </w:tcPr>
          <w:p>
            <w:pPr>
              <w:ind w:left="460"/>
              <w:spacing w:after="0"/>
              <w:rPr>
                <w:sz w:val="20"/>
                <w:szCs w:val="20"/>
                <w:color w:val="auto"/>
              </w:rPr>
            </w:pPr>
            <w:r>
              <w:rPr>
                <w:rFonts w:ascii="Arial" w:cs="Arial" w:eastAsia="Arial" w:hAnsi="Arial"/>
                <w:sz w:val="18"/>
                <w:szCs w:val="18"/>
                <w:color w:val="auto"/>
              </w:rPr>
              <w:t>PC Connection, Inc. Discretionary Bonus Plan.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10440" w:type="dxa"/>
            <w:vAlign w:val="bottom"/>
          </w:tcPr>
          <w:p>
            <w:pPr>
              <w:ind w:left="460"/>
              <w:spacing w:after="0"/>
              <w:rPr>
                <w:sz w:val="20"/>
                <w:szCs w:val="20"/>
                <w:color w:val="auto"/>
              </w:rPr>
            </w:pPr>
            <w:r>
              <w:rPr>
                <w:rFonts w:ascii="Arial" w:cs="Arial" w:eastAsia="Arial" w:hAnsi="Arial"/>
                <w:sz w:val="18"/>
                <w:szCs w:val="18"/>
                <w:color w:val="auto"/>
              </w:rPr>
              <w:t>Employment Agreement, dated as of January 1, 1998, between the Registrant and Patricia Gallup.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10.7(12)</w:t>
            </w:r>
          </w:p>
        </w:tc>
        <w:tc>
          <w:tcPr>
            <w:tcW w:w="10440" w:type="dxa"/>
            <w:vAlign w:val="bottom"/>
          </w:tcPr>
          <w:p>
            <w:pPr>
              <w:ind w:left="460"/>
              <w:spacing w:after="0"/>
              <w:rPr>
                <w:sz w:val="20"/>
                <w:szCs w:val="20"/>
                <w:color w:val="auto"/>
              </w:rPr>
            </w:pPr>
            <w:r>
              <w:rPr>
                <w:rFonts w:ascii="Arial" w:cs="Arial" w:eastAsia="Arial" w:hAnsi="Arial"/>
                <w:sz w:val="18"/>
                <w:szCs w:val="18"/>
                <w:color w:val="auto"/>
                <w:w w:val="96"/>
              </w:rPr>
              <w:t>Agreement for Inventory Financing, dated as of October 31, 2002, by and among the Registrant, Merrimack Services Corporation,</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GovConnection, Inc., MoreDirect, Inc., and IBM Credit 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10.8(12)</w:t>
            </w:r>
          </w:p>
        </w:tc>
        <w:tc>
          <w:tcPr>
            <w:tcW w:w="10440" w:type="dxa"/>
            <w:vAlign w:val="bottom"/>
          </w:tcPr>
          <w:p>
            <w:pPr>
              <w:ind w:left="460"/>
              <w:spacing w:after="0"/>
              <w:rPr>
                <w:sz w:val="20"/>
                <w:szCs w:val="20"/>
                <w:color w:val="auto"/>
              </w:rPr>
            </w:pPr>
            <w:r>
              <w:rPr>
                <w:rFonts w:ascii="Arial" w:cs="Arial" w:eastAsia="Arial" w:hAnsi="Arial"/>
                <w:sz w:val="18"/>
                <w:szCs w:val="18"/>
                <w:color w:val="auto"/>
                <w:w w:val="89"/>
              </w:rPr>
              <w:t>Guaranty, dated as of November 14, 2002, entered into by Registrant in connection with the Agreement for Inventory Financing, dated as of</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89"/>
              </w:rPr>
              <w:t>October 31, 2002, by and among the Registrant, Merrimack Services Corporation, GovConnection, Inc., MoreDirect, Inc., and IBM Credit</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10.9(12)</w:t>
            </w:r>
          </w:p>
        </w:tc>
        <w:tc>
          <w:tcPr>
            <w:tcW w:w="10440" w:type="dxa"/>
            <w:vAlign w:val="bottom"/>
          </w:tcPr>
          <w:p>
            <w:pPr>
              <w:ind w:left="460"/>
              <w:spacing w:after="0"/>
              <w:rPr>
                <w:sz w:val="20"/>
                <w:szCs w:val="20"/>
                <w:color w:val="auto"/>
              </w:rPr>
            </w:pPr>
            <w:r>
              <w:rPr>
                <w:rFonts w:ascii="Arial" w:cs="Arial" w:eastAsia="Arial" w:hAnsi="Arial"/>
                <w:sz w:val="18"/>
                <w:szCs w:val="18"/>
                <w:color w:val="auto"/>
                <w:w w:val="89"/>
              </w:rPr>
              <w:t>Guaranty, dated as of November 14, 2002, entered into by PC Connection Sales Corporation in connection with the Agreement for Inventory</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96"/>
              </w:rPr>
              <w:t>Financing, dated as of October 31, 2002, by and among the Registrant, Merrimack Services Corporation, GovConnection, Inc.,</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MoreDirect, Inc., and IBM Credit 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10.10(12)</w:t>
            </w:r>
          </w:p>
        </w:tc>
        <w:tc>
          <w:tcPr>
            <w:tcW w:w="10440" w:type="dxa"/>
            <w:vAlign w:val="bottom"/>
          </w:tcPr>
          <w:p>
            <w:pPr>
              <w:ind w:left="460"/>
              <w:spacing w:after="0"/>
              <w:rPr>
                <w:sz w:val="20"/>
                <w:szCs w:val="20"/>
                <w:color w:val="auto"/>
              </w:rPr>
            </w:pPr>
            <w:r>
              <w:rPr>
                <w:rFonts w:ascii="Arial" w:cs="Arial" w:eastAsia="Arial" w:hAnsi="Arial"/>
                <w:sz w:val="18"/>
                <w:szCs w:val="18"/>
                <w:color w:val="auto"/>
                <w:w w:val="92"/>
              </w:rPr>
              <w:t>Acknowledgement, Waiver, and Amendment to Agreement for Inventory Financing, dated as of November 25, 2003, by and among the</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Registrant, Merrimack Services Corporation, GovConnection, Inc., MoreDirect,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10.11(20)</w:t>
            </w:r>
          </w:p>
        </w:tc>
        <w:tc>
          <w:tcPr>
            <w:tcW w:w="10440" w:type="dxa"/>
            <w:vAlign w:val="bottom"/>
          </w:tcPr>
          <w:p>
            <w:pPr>
              <w:ind w:left="460"/>
              <w:spacing w:after="0"/>
              <w:rPr>
                <w:sz w:val="20"/>
                <w:szCs w:val="20"/>
                <w:color w:val="auto"/>
              </w:rPr>
            </w:pPr>
            <w:r>
              <w:rPr>
                <w:rFonts w:ascii="Arial" w:cs="Arial" w:eastAsia="Arial" w:hAnsi="Arial"/>
                <w:sz w:val="18"/>
                <w:szCs w:val="18"/>
                <w:color w:val="auto"/>
                <w:w w:val="90"/>
              </w:rPr>
              <w:t>Second Amendment, dated May 9, 2004, to the Agreement for Inventory Financing between the Registrant and its subsidiaries Merrimack</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Services Corporation, GovConnection, Inc., and MoreDirect,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10.12(20)</w:t>
            </w:r>
          </w:p>
        </w:tc>
        <w:tc>
          <w:tcPr>
            <w:tcW w:w="10440" w:type="dxa"/>
            <w:vAlign w:val="bottom"/>
          </w:tcPr>
          <w:p>
            <w:pPr>
              <w:ind w:left="460"/>
              <w:spacing w:after="0"/>
              <w:rPr>
                <w:sz w:val="20"/>
                <w:szCs w:val="20"/>
                <w:color w:val="auto"/>
              </w:rPr>
            </w:pPr>
            <w:r>
              <w:rPr>
                <w:rFonts w:ascii="Arial" w:cs="Arial" w:eastAsia="Arial" w:hAnsi="Arial"/>
                <w:sz w:val="18"/>
                <w:szCs w:val="18"/>
                <w:color w:val="auto"/>
                <w:w w:val="91"/>
              </w:rPr>
              <w:t>Third Amendment, dated May 27, 2005, to the Agreement for Inventory Financing between the Registrant and its subsidiaries Merrimack</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Services Corporation, GovConnection, Inc., and MoreDirect,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10.13(16)</w:t>
            </w:r>
          </w:p>
        </w:tc>
        <w:tc>
          <w:tcPr>
            <w:tcW w:w="10440" w:type="dxa"/>
            <w:vAlign w:val="bottom"/>
          </w:tcPr>
          <w:p>
            <w:pPr>
              <w:ind w:left="460"/>
              <w:spacing w:after="0"/>
              <w:rPr>
                <w:sz w:val="20"/>
                <w:szCs w:val="20"/>
                <w:color w:val="auto"/>
              </w:rPr>
            </w:pPr>
            <w:r>
              <w:rPr>
                <w:rFonts w:ascii="Arial" w:cs="Arial" w:eastAsia="Arial" w:hAnsi="Arial"/>
                <w:sz w:val="18"/>
                <w:szCs w:val="18"/>
                <w:color w:val="auto"/>
                <w:w w:val="86"/>
              </w:rPr>
              <w:t>Second Amended and Restated Credit and Security Agreement, dated June 29, 2005, among Citizens Bank of Massachusetts, as lender and as</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92"/>
              </w:rPr>
              <w:t>agent, other financial institutions party thereto from time to time, as lenders, PC Connection, Inc., as borrower, GovConnection, Inc.,</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w w:val="90"/>
              </w:rPr>
              <w:t>Merrimack Services Corporation, PC Connection Sales Corporation, PC Connection Sales of Massachusetts, Inc., and MoreDirect, Inc.,</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each as guarantors.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10.14(17)</w:t>
            </w:r>
          </w:p>
        </w:tc>
        <w:tc>
          <w:tcPr>
            <w:tcW w:w="10440" w:type="dxa"/>
            <w:vAlign w:val="bottom"/>
          </w:tcPr>
          <w:p>
            <w:pPr>
              <w:ind w:left="460"/>
              <w:spacing w:after="0"/>
              <w:rPr>
                <w:sz w:val="20"/>
                <w:szCs w:val="20"/>
                <w:color w:val="auto"/>
              </w:rPr>
            </w:pPr>
            <w:r>
              <w:rPr>
                <w:rFonts w:ascii="Arial" w:cs="Arial" w:eastAsia="Arial" w:hAnsi="Arial"/>
                <w:sz w:val="18"/>
                <w:szCs w:val="18"/>
                <w:color w:val="auto"/>
              </w:rPr>
              <w:t>Bill of Sale, dated October 21, 2005, between PC Connection, Inc. and IBM Credit, LLC.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10.15(1)</w:t>
            </w:r>
          </w:p>
        </w:tc>
        <w:tc>
          <w:tcPr>
            <w:tcW w:w="10440" w:type="dxa"/>
            <w:vAlign w:val="bottom"/>
          </w:tcPr>
          <w:p>
            <w:pPr>
              <w:ind w:left="460"/>
              <w:spacing w:after="0"/>
              <w:rPr>
                <w:sz w:val="20"/>
                <w:szCs w:val="20"/>
                <w:color w:val="auto"/>
              </w:rPr>
            </w:pPr>
            <w:r>
              <w:rPr>
                <w:rFonts w:ascii="Arial" w:cs="Arial" w:eastAsia="Arial" w:hAnsi="Arial"/>
                <w:sz w:val="18"/>
                <w:szCs w:val="18"/>
                <w:color w:val="auto"/>
                <w:w w:val="95"/>
              </w:rPr>
              <w:t>Lease between the Registrant and Gallup &amp; Hall partnership, dated June 1, 1987, as amended, for property located in Marlow, New</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10.16(4)</w:t>
            </w:r>
          </w:p>
        </w:tc>
        <w:tc>
          <w:tcPr>
            <w:tcW w:w="10440" w:type="dxa"/>
            <w:vAlign w:val="bottom"/>
          </w:tcPr>
          <w:p>
            <w:pPr>
              <w:ind w:left="460"/>
              <w:spacing w:after="0"/>
              <w:rPr>
                <w:sz w:val="20"/>
                <w:szCs w:val="20"/>
                <w:color w:val="auto"/>
              </w:rPr>
            </w:pPr>
            <w:r>
              <w:rPr>
                <w:rFonts w:ascii="Arial" w:cs="Arial" w:eastAsia="Arial" w:hAnsi="Arial"/>
                <w:sz w:val="18"/>
                <w:szCs w:val="18"/>
                <w:color w:val="auto"/>
                <w:w w:val="89"/>
              </w:rPr>
              <w:t>Amendment, dated January 1, 1999, to the Lease Agreement between the Registrant and Gallup &amp; Hall Partnership, dated June 1, 1987, as</w:t>
            </w:r>
          </w:p>
        </w:tc>
      </w:tr>
      <w:tr>
        <w:trPr>
          <w:trHeight w:val="216"/>
        </w:trPr>
        <w:tc>
          <w:tcPr>
            <w:tcW w:w="920" w:type="dxa"/>
            <w:vAlign w:val="bottom"/>
          </w:tcPr>
          <w:p>
            <w:pPr>
              <w:spacing w:after="0"/>
              <w:rPr>
                <w:sz w:val="18"/>
                <w:szCs w:val="18"/>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amended for property located in Marlow,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10.17(9)</w:t>
            </w:r>
          </w:p>
        </w:tc>
        <w:tc>
          <w:tcPr>
            <w:tcW w:w="10440" w:type="dxa"/>
            <w:vAlign w:val="bottom"/>
          </w:tcPr>
          <w:p>
            <w:pPr>
              <w:ind w:left="460"/>
              <w:spacing w:after="0"/>
              <w:rPr>
                <w:sz w:val="20"/>
                <w:szCs w:val="20"/>
                <w:color w:val="auto"/>
              </w:rPr>
            </w:pPr>
            <w:r>
              <w:rPr>
                <w:rFonts w:ascii="Arial" w:cs="Arial" w:eastAsia="Arial" w:hAnsi="Arial"/>
                <w:sz w:val="18"/>
                <w:szCs w:val="18"/>
                <w:color w:val="auto"/>
                <w:w w:val="91"/>
              </w:rPr>
              <w:t>Lease between Merrimack Services Corporation and Audio Accessories, Inc., dated November 1, 2002, for property located at Mill Street,</w:t>
            </w:r>
          </w:p>
        </w:tc>
      </w:tr>
      <w:tr>
        <w:trPr>
          <w:trHeight w:val="222"/>
        </w:trPr>
        <w:tc>
          <w:tcPr>
            <w:tcW w:w="920" w:type="dxa"/>
            <w:vAlign w:val="bottom"/>
          </w:tcPr>
          <w:p>
            <w:pPr>
              <w:spacing w:after="0"/>
              <w:rPr>
                <w:sz w:val="19"/>
                <w:szCs w:val="19"/>
                <w:color w:val="auto"/>
              </w:rPr>
            </w:pPr>
          </w:p>
        </w:tc>
        <w:tc>
          <w:tcPr>
            <w:tcW w:w="10440" w:type="dxa"/>
            <w:vAlign w:val="bottom"/>
          </w:tcPr>
          <w:p>
            <w:pPr>
              <w:ind w:left="680"/>
              <w:spacing w:after="0"/>
              <w:rPr>
                <w:sz w:val="20"/>
                <w:szCs w:val="20"/>
                <w:color w:val="auto"/>
              </w:rPr>
            </w:pPr>
            <w:r>
              <w:rPr>
                <w:rFonts w:ascii="Arial" w:cs="Arial" w:eastAsia="Arial" w:hAnsi="Arial"/>
                <w:sz w:val="18"/>
                <w:szCs w:val="18"/>
                <w:color w:val="auto"/>
              </w:rPr>
              <w:t>Marlow, New Hampshire.</w:t>
            </w:r>
          </w:p>
        </w:tc>
      </w:tr>
      <w:tr>
        <w:trPr>
          <w:trHeight w:val="365"/>
        </w:trPr>
        <w:tc>
          <w:tcPr>
            <w:tcW w:w="920" w:type="dxa"/>
            <w:vAlign w:val="bottom"/>
          </w:tcPr>
          <w:p>
            <w:pPr>
              <w:spacing w:after="0"/>
              <w:rPr>
                <w:sz w:val="24"/>
                <w:szCs w:val="24"/>
                <w:color w:val="auto"/>
              </w:rPr>
            </w:pPr>
          </w:p>
        </w:tc>
        <w:tc>
          <w:tcPr>
            <w:tcW w:w="10440" w:type="dxa"/>
            <w:vAlign w:val="bottom"/>
          </w:tcPr>
          <w:p>
            <w:pPr>
              <w:ind w:left="470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Exhibits</w:t>
            </w:r>
          </w:p>
        </w:tc>
        <w:tc>
          <w:tcPr>
            <w:tcW w:w="10480" w:type="dxa"/>
            <w:vAlign w:val="bottom"/>
          </w:tcPr>
          <w:p>
            <w:pPr>
              <w:spacing w:after="0"/>
              <w:rPr>
                <w:sz w:val="14"/>
                <w:szCs w:val="14"/>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8"/>
                <w:szCs w:val="18"/>
                <w:color w:val="auto"/>
              </w:rPr>
              <w:t>10.18(1)</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Lease between the Registrant and Gallup &amp; Hall partnership, dated May 1, 1997, for property located at 442 Marlboro Street, Keene, New</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10.19(9)</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Amendment, dated June 1, 2002, to the Lease Agreement between Merrimack Services Corporation and Gallup &amp; Hall, dated May 1, 1997,</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for property located at 442 Marlboro Street, Keene,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10.20(1)</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Amended and Restated Lease between the Registrant and G&amp;H Post, LLC, dated December 29, 1997, for property located at Route 101A,</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Merrimack,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10.21(2)</w:t>
            </w:r>
          </w:p>
        </w:tc>
        <w:tc>
          <w:tcPr>
            <w:tcW w:w="10480" w:type="dxa"/>
            <w:vAlign w:val="bottom"/>
          </w:tcPr>
          <w:p>
            <w:pPr>
              <w:ind w:left="460"/>
              <w:spacing w:after="0"/>
              <w:rPr>
                <w:sz w:val="20"/>
                <w:szCs w:val="20"/>
                <w:color w:val="auto"/>
              </w:rPr>
            </w:pPr>
            <w:r>
              <w:rPr>
                <w:rFonts w:ascii="Arial" w:cs="Arial" w:eastAsia="Arial" w:hAnsi="Arial"/>
                <w:sz w:val="18"/>
                <w:szCs w:val="18"/>
                <w:color w:val="auto"/>
                <w:w w:val="92"/>
              </w:rPr>
              <w:t>Amendment No. 1 to Amended and Restated Lease between the Registrant and G&amp;H Post, LLC, dated December 29, 1998, for property</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located at Route 101A, Merrimack,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10.22(1)</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Lease between the Registrant and Gallup &amp; Hall partnership, dated July 22, 1988, as amended, for property located at 450 Marlboro Street,</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Keene,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10.23(4)</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Lease between PC Connection, Inc. and The Hillsborough Group, dated January 5, 2000, for property located at 706 Route 101A, Merrimack,</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10.24(13)</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Amendment No. 1, dated September 7, 2004, to the Lease Agreement between Merrimack Services Corporation and The Hillsborough Group,</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dated January 5, 2000, for property located at 706 Route 101A, Merrimack,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10.25(22)</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Amendment No. 2, dated May 1, 2006, to the Lease between PC Connection, Inc. and The Hillsborough Group, dated January 5, 2000, for</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property located at 706 Route 101A, Merrimack,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10.26(1)</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Lease between the Registrant and Miller-Valentine Partners, dated September 24, 1990, as amended, for property located at Old State Route</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10.27(4)</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Third Amendment, dated June 26, 2000, to the Lease Agreement between Merrimack Services Corporation and EWE Warehouse Investments</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V, LTD., dated September 24, 1990, for property located at 2840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10.28(9)</w:t>
            </w:r>
          </w:p>
        </w:tc>
        <w:tc>
          <w:tcPr>
            <w:tcW w:w="10480" w:type="dxa"/>
            <w:vAlign w:val="bottom"/>
          </w:tcPr>
          <w:p>
            <w:pPr>
              <w:ind w:left="460"/>
              <w:spacing w:after="0"/>
              <w:rPr>
                <w:sz w:val="20"/>
                <w:szCs w:val="20"/>
                <w:color w:val="auto"/>
              </w:rPr>
            </w:pPr>
            <w:r>
              <w:rPr>
                <w:rFonts w:ascii="Arial" w:cs="Arial" w:eastAsia="Arial" w:hAnsi="Arial"/>
                <w:sz w:val="18"/>
                <w:szCs w:val="18"/>
                <w:color w:val="auto"/>
                <w:w w:val="87"/>
              </w:rPr>
              <w:t>Fourth Amendment, dated July 31, 2002, to the Lease Agreement between Merrimack Services Corporation and EWE Warehouse Investments</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V, LTD., dated September 24, 1990, for property located at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10.29(14)</w:t>
            </w:r>
          </w:p>
        </w:tc>
        <w:tc>
          <w:tcPr>
            <w:tcW w:w="10480" w:type="dxa"/>
            <w:vAlign w:val="bottom"/>
          </w:tcPr>
          <w:p>
            <w:pPr>
              <w:ind w:left="460"/>
              <w:spacing w:after="0"/>
              <w:rPr>
                <w:sz w:val="20"/>
                <w:szCs w:val="20"/>
                <w:color w:val="auto"/>
              </w:rPr>
            </w:pPr>
            <w:r>
              <w:rPr>
                <w:rFonts w:ascii="Arial" w:cs="Arial" w:eastAsia="Arial" w:hAnsi="Arial"/>
                <w:sz w:val="18"/>
                <w:szCs w:val="18"/>
                <w:color w:val="auto"/>
                <w:w w:val="94"/>
              </w:rPr>
              <w:t>Fifth Amendment, dated February 28, 2005, to the Lease Agreement between Merrimack Services Corporation and EWE Warehouse</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Investments V, LTD., dated September 24, 1990, for property located at 2780-2880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10.30(23)</w:t>
            </w:r>
          </w:p>
        </w:tc>
        <w:tc>
          <w:tcPr>
            <w:tcW w:w="10480" w:type="dxa"/>
            <w:vAlign w:val="bottom"/>
          </w:tcPr>
          <w:p>
            <w:pPr>
              <w:ind w:left="460"/>
              <w:spacing w:after="0"/>
              <w:rPr>
                <w:sz w:val="20"/>
                <w:szCs w:val="20"/>
                <w:color w:val="auto"/>
              </w:rPr>
            </w:pPr>
            <w:r>
              <w:rPr>
                <w:rFonts w:ascii="Arial" w:cs="Arial" w:eastAsia="Arial" w:hAnsi="Arial"/>
                <w:sz w:val="18"/>
                <w:szCs w:val="18"/>
                <w:color w:val="auto"/>
                <w:w w:val="94"/>
              </w:rPr>
              <w:t>Sixth Amendment, dated October 26, 2006, to the Lease Agreement between Merrimack Services Corporation and EWE Warehouse</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Investments V, LTD., dated September 24, 1990, for property located at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10.31(3)</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Assignment of Lease Agreements, dated December 13, 1999, between Micro Warehouse, Inc. (assignor) and the Registrant (assignee), for</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property located at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10.32(6)</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First Amendment, dated June 19, 2001, to the Assignment of Lease Agreements, dated as of December 13, 1999, between Micro Warehouse</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Inc. (assignor) and Merrimack Services Corporation for property located at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10.33(12)</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Second Amendment, dated April 24, 2003, to the Lease Agreement between Merrimack Services and EWE Warehouse Investments V, LTD.,</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dated December 13, 1999, for property located at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10.34(20)</w:t>
            </w:r>
          </w:p>
        </w:tc>
        <w:tc>
          <w:tcPr>
            <w:tcW w:w="10480" w:type="dxa"/>
            <w:vAlign w:val="bottom"/>
          </w:tcPr>
          <w:p>
            <w:pPr>
              <w:ind w:left="460"/>
              <w:spacing w:after="0"/>
              <w:rPr>
                <w:sz w:val="20"/>
                <w:szCs w:val="20"/>
                <w:color w:val="auto"/>
              </w:rPr>
            </w:pPr>
            <w:r>
              <w:rPr>
                <w:rFonts w:ascii="Arial" w:cs="Arial" w:eastAsia="Arial" w:hAnsi="Arial"/>
                <w:sz w:val="18"/>
                <w:szCs w:val="18"/>
                <w:color w:val="auto"/>
                <w:w w:val="92"/>
              </w:rPr>
              <w:t>Third Amendment, dated November 11, 2005, to the Lease Agreement between Merrimack Services Corporation and EWE Warehouse</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Investments V, LTD., dated December 13, 1999, for property located at Old State Route 73, Wilmington, Ohio.</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10.35(4)</w:t>
            </w:r>
          </w:p>
        </w:tc>
        <w:tc>
          <w:tcPr>
            <w:tcW w:w="10480" w:type="dxa"/>
            <w:vAlign w:val="bottom"/>
          </w:tcPr>
          <w:p>
            <w:pPr>
              <w:ind w:left="460"/>
              <w:spacing w:after="0"/>
              <w:rPr>
                <w:sz w:val="20"/>
                <w:szCs w:val="20"/>
                <w:color w:val="auto"/>
              </w:rPr>
            </w:pPr>
            <w:r>
              <w:rPr>
                <w:rFonts w:ascii="Arial" w:cs="Arial" w:eastAsia="Arial" w:hAnsi="Arial"/>
                <w:sz w:val="18"/>
                <w:szCs w:val="18"/>
                <w:color w:val="auto"/>
                <w:w w:val="92"/>
              </w:rPr>
              <w:t>Lease between ComTeq Federal, Inc. and Rockville Office/Industrial Associates dated December 14, 1993, for property located at 7503</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Standish Place,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10.36(4)</w:t>
            </w:r>
          </w:p>
        </w:tc>
        <w:tc>
          <w:tcPr>
            <w:tcW w:w="10480" w:type="dxa"/>
            <w:vAlign w:val="bottom"/>
          </w:tcPr>
          <w:p>
            <w:pPr>
              <w:ind w:left="460"/>
              <w:spacing w:after="0"/>
              <w:rPr>
                <w:sz w:val="20"/>
                <w:szCs w:val="20"/>
                <w:color w:val="auto"/>
              </w:rPr>
            </w:pPr>
            <w:r>
              <w:rPr>
                <w:rFonts w:ascii="Arial" w:cs="Arial" w:eastAsia="Arial" w:hAnsi="Arial"/>
                <w:sz w:val="18"/>
                <w:szCs w:val="18"/>
                <w:color w:val="auto"/>
                <w:w w:val="96"/>
              </w:rPr>
              <w:t>First Amendment, dated November 1, 1996, to the Lease Agreement between ComTeq Federal, Inc. and Rockville Office/Industrial</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Associates, dated December 14, 1993, for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10.37(4)</w:t>
            </w:r>
          </w:p>
        </w:tc>
        <w:tc>
          <w:tcPr>
            <w:tcW w:w="10480" w:type="dxa"/>
            <w:vAlign w:val="bottom"/>
          </w:tcPr>
          <w:p>
            <w:pPr>
              <w:ind w:left="460"/>
              <w:spacing w:after="0"/>
              <w:rPr>
                <w:sz w:val="20"/>
                <w:szCs w:val="20"/>
                <w:color w:val="auto"/>
              </w:rPr>
            </w:pPr>
            <w:r>
              <w:rPr>
                <w:rFonts w:ascii="Arial" w:cs="Arial" w:eastAsia="Arial" w:hAnsi="Arial"/>
                <w:sz w:val="18"/>
                <w:szCs w:val="18"/>
                <w:color w:val="auto"/>
                <w:w w:val="95"/>
              </w:rPr>
              <w:t>Second Amendment, dated March 31, 1998, to the Lease Agreement between ComTeq Federal, Inc. and Rockville Office/Industrial</w:t>
            </w:r>
          </w:p>
        </w:tc>
      </w:tr>
      <w:tr>
        <w:trPr>
          <w:trHeight w:val="222"/>
        </w:trPr>
        <w:tc>
          <w:tcPr>
            <w:tcW w:w="920" w:type="dxa"/>
            <w:vAlign w:val="bottom"/>
          </w:tcPr>
          <w:p>
            <w:pPr>
              <w:spacing w:after="0"/>
              <w:rPr>
                <w:sz w:val="19"/>
                <w:szCs w:val="19"/>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Associates, dated December 14, 1993, for property located in Rockville, Maryland.</w:t>
            </w:r>
          </w:p>
        </w:tc>
      </w:tr>
      <w:tr>
        <w:trPr>
          <w:trHeight w:val="365"/>
        </w:trPr>
        <w:tc>
          <w:tcPr>
            <w:tcW w:w="9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Exhibits</w:t>
            </w:r>
          </w:p>
        </w:tc>
        <w:tc>
          <w:tcPr>
            <w:tcW w:w="10480" w:type="dxa"/>
            <w:vAlign w:val="bottom"/>
          </w:tcPr>
          <w:p>
            <w:pPr>
              <w:spacing w:after="0"/>
              <w:rPr>
                <w:sz w:val="14"/>
                <w:szCs w:val="14"/>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8"/>
                <w:szCs w:val="18"/>
                <w:color w:val="auto"/>
              </w:rPr>
              <w:t>10.38(4)</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Third Amendment, dated August 31, 2000, to the Lease Agreement between ComTeq Federal, Inc. and Rockville Office/Industrial Associates,</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dated December 14, 1993,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10.39(9)</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Fourth Amendment, dated November 20, 2002, to the Lease Agreement between GovConnection, Inc. (formerly known as ComTeq Federal,</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w w:val="90"/>
              </w:rPr>
              <w:t>Inc.) and Metro Park I, LLC (formerly known as Rockville Office/Industrial Associates), dated December 14, 1993, for property located in</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10.40(20)</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Fifth Amendment, dated December 12, 2005, to the Lease Agreement between GovConnection, Inc. and Metro Park I, LLC, dated December</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14, 1993, for property located in Rockville, Maryland.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10.41(4)</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Lease between Merrimack Services Corporation and Schleicher &amp; Schuell, Inc., dated November 16, 2000, for property located at 10 Optical</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Avenue, Keene,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10.42(22)</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First Amendment, dated April 21, 2006, to the Lease Agreement between Merrimack Services Corporation and Whatman, Inc. successor-by-</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w w:val="93"/>
              </w:rPr>
              <w:t>merger to Schleicher &amp; Schuell, Inc., dated November 16, 2000, for property located at 10 Optical Avenue, Keene, New 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10.43(10)</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Lease between GovConnection, Inc. and Fairhaven Investors Limited Partnership, dated April 30, 2003, for property located at 2150 Post</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Road, Fairfield, Connecticut.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10.44(15)</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First Amendment, dated April 14, 2005, to the Lease Agreement between GovConnection, Inc. and Fairhaven Investors Limited Partnership,</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dated May 1, 2003, for property located in Fairhaven, Connecticut.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10.45(13)</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Fifth Amendment, dated September 24, 2004, to the Lease Agreement between Merrimack Services Corporation and Bronx II, LLC, dated</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October 27, 1988, as amended for property located in Marlborough, 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10.46(14)</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Lease between MoreDirect, Inc. and Boca Technology Center, LLC, dated February 14, 2005, for property located in Boca Raton, Florida.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10.47(14)</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Sublease between Merrimack Services Corporation and 222 International, LP, dated March 4, 2005, for property located in Portsmouth, New</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Hampshire.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10.48(20)</w:t>
            </w:r>
          </w:p>
        </w:tc>
        <w:tc>
          <w:tcPr>
            <w:tcW w:w="10480" w:type="dxa"/>
            <w:vAlign w:val="bottom"/>
          </w:tcPr>
          <w:p>
            <w:pPr>
              <w:ind w:left="460"/>
              <w:spacing w:after="0"/>
              <w:rPr>
                <w:sz w:val="20"/>
                <w:szCs w:val="20"/>
                <w:color w:val="auto"/>
              </w:rPr>
            </w:pPr>
            <w:r>
              <w:rPr>
                <w:rFonts w:ascii="Arial" w:cs="Arial" w:eastAsia="Arial" w:hAnsi="Arial"/>
                <w:sz w:val="18"/>
                <w:szCs w:val="18"/>
                <w:color w:val="auto"/>
                <w:w w:val="89"/>
              </w:rPr>
              <w:t>Lease between MoreDirect, Inc. and RMC Midway Walnut, LP, dated January 6, 2006, for property located at 14295 Midway Road, Addison,</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Texas.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10.49(20)</w:t>
            </w:r>
          </w:p>
        </w:tc>
        <w:tc>
          <w:tcPr>
            <w:tcW w:w="10480" w:type="dxa"/>
            <w:vAlign w:val="bottom"/>
          </w:tcPr>
          <w:p>
            <w:pPr>
              <w:ind w:left="460"/>
              <w:spacing w:after="0"/>
              <w:rPr>
                <w:sz w:val="20"/>
                <w:szCs w:val="20"/>
                <w:color w:val="auto"/>
              </w:rPr>
            </w:pPr>
            <w:r>
              <w:rPr>
                <w:rFonts w:ascii="Arial" w:cs="Arial" w:eastAsia="Arial" w:hAnsi="Arial"/>
                <w:sz w:val="18"/>
                <w:szCs w:val="18"/>
                <w:color w:val="auto"/>
                <w:w w:val="91"/>
              </w:rPr>
              <w:t>Lease between PC Connection Sales of Massachusetts, Inc. and RMC Midway Walnut, LP, dated January 6, 2006, for property located at</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14295 Midway Road, Addison, Texas.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10.50(21)</w:t>
            </w:r>
          </w:p>
        </w:tc>
        <w:tc>
          <w:tcPr>
            <w:tcW w:w="10480" w:type="dxa"/>
            <w:vAlign w:val="bottom"/>
          </w:tcPr>
          <w:p>
            <w:pPr>
              <w:ind w:left="460"/>
              <w:spacing w:after="0"/>
              <w:rPr>
                <w:sz w:val="20"/>
                <w:szCs w:val="20"/>
                <w:color w:val="auto"/>
              </w:rPr>
            </w:pPr>
            <w:r>
              <w:rPr>
                <w:rFonts w:ascii="Arial" w:cs="Arial" w:eastAsia="Arial" w:hAnsi="Arial"/>
                <w:sz w:val="18"/>
                <w:szCs w:val="18"/>
                <w:color w:val="auto"/>
              </w:rPr>
              <w:t>Separation Agreement, dated March 30, 2006, by and between the Company and Robert Wilkins.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10.51(21)</w:t>
            </w:r>
          </w:p>
        </w:tc>
        <w:tc>
          <w:tcPr>
            <w:tcW w:w="10480" w:type="dxa"/>
            <w:vAlign w:val="bottom"/>
          </w:tcPr>
          <w:p>
            <w:pPr>
              <w:ind w:left="460"/>
              <w:spacing w:after="0"/>
              <w:rPr>
                <w:sz w:val="20"/>
                <w:szCs w:val="20"/>
                <w:color w:val="auto"/>
              </w:rPr>
            </w:pPr>
            <w:r>
              <w:rPr>
                <w:rFonts w:ascii="Arial" w:cs="Arial" w:eastAsia="Arial" w:hAnsi="Arial"/>
                <w:sz w:val="18"/>
                <w:szCs w:val="18"/>
                <w:color w:val="auto"/>
              </w:rPr>
              <w:t>Consulting Agreement, dated March 30, 2006, by and between the Company and Robert Wilkins.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10.52(24)</w:t>
            </w:r>
          </w:p>
        </w:tc>
        <w:tc>
          <w:tcPr>
            <w:tcW w:w="10480" w:type="dxa"/>
            <w:vAlign w:val="bottom"/>
          </w:tcPr>
          <w:p>
            <w:pPr>
              <w:ind w:left="460"/>
              <w:spacing w:after="0"/>
              <w:rPr>
                <w:sz w:val="20"/>
                <w:szCs w:val="20"/>
                <w:color w:val="auto"/>
              </w:rPr>
            </w:pPr>
            <w:r>
              <w:rPr>
                <w:rFonts w:ascii="Arial" w:cs="Arial" w:eastAsia="Arial" w:hAnsi="Arial"/>
                <w:sz w:val="18"/>
                <w:szCs w:val="18"/>
                <w:color w:val="auto"/>
                <w:w w:val="93"/>
              </w:rPr>
              <w:t>Release and Settlement Agreement, dated December 1, 2006, by and between the United States of America and GovConnection,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10.53</w:t>
            </w:r>
          </w:p>
        </w:tc>
        <w:tc>
          <w:tcPr>
            <w:tcW w:w="10480" w:type="dxa"/>
            <w:vAlign w:val="bottom"/>
          </w:tcPr>
          <w:p>
            <w:pPr>
              <w:ind w:left="460"/>
              <w:spacing w:after="0"/>
              <w:rPr>
                <w:sz w:val="20"/>
                <w:szCs w:val="20"/>
                <w:color w:val="auto"/>
              </w:rPr>
            </w:pPr>
            <w:r>
              <w:rPr>
                <w:rFonts w:ascii="Arial" w:cs="Arial" w:eastAsia="Arial" w:hAnsi="Arial"/>
                <w:sz w:val="18"/>
                <w:szCs w:val="18"/>
                <w:color w:val="auto"/>
              </w:rPr>
              <w:t>Summary of Compensation for Executive Officers.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10.54</w:t>
            </w:r>
          </w:p>
        </w:tc>
        <w:tc>
          <w:tcPr>
            <w:tcW w:w="10480" w:type="dxa"/>
            <w:vAlign w:val="bottom"/>
          </w:tcPr>
          <w:p>
            <w:pPr>
              <w:ind w:left="460"/>
              <w:spacing w:after="0"/>
              <w:rPr>
                <w:sz w:val="20"/>
                <w:szCs w:val="20"/>
                <w:color w:val="auto"/>
              </w:rPr>
            </w:pPr>
            <w:r>
              <w:rPr>
                <w:rFonts w:ascii="Arial" w:cs="Arial" w:eastAsia="Arial" w:hAnsi="Arial"/>
                <w:sz w:val="18"/>
                <w:szCs w:val="18"/>
                <w:color w:val="auto"/>
              </w:rPr>
              <w:t>Summary of Compensation for Non-Employee Directors.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480" w:type="dxa"/>
            <w:vAlign w:val="bottom"/>
          </w:tcPr>
          <w:p>
            <w:pPr>
              <w:ind w:left="460"/>
              <w:spacing w:after="0"/>
              <w:rPr>
                <w:sz w:val="20"/>
                <w:szCs w:val="20"/>
                <w:color w:val="auto"/>
              </w:rPr>
            </w:pPr>
            <w:r>
              <w:rPr>
                <w:rFonts w:ascii="Arial" w:cs="Arial" w:eastAsia="Arial" w:hAnsi="Arial"/>
                <w:sz w:val="18"/>
                <w:szCs w:val="18"/>
                <w:color w:val="auto"/>
              </w:rPr>
              <w:t>Subsidiaries of Registrant.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460"/>
              <w:spacing w:after="0"/>
              <w:rPr>
                <w:sz w:val="20"/>
                <w:szCs w:val="20"/>
                <w:color w:val="auto"/>
              </w:rPr>
            </w:pPr>
            <w:r>
              <w:rPr>
                <w:rFonts w:ascii="Arial" w:cs="Arial" w:eastAsia="Arial" w:hAnsi="Arial"/>
                <w:sz w:val="18"/>
                <w:szCs w:val="18"/>
                <w:color w:val="auto"/>
              </w:rPr>
              <w:t>Consent of Deloitte &amp; Touche LLP.</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460"/>
              <w:spacing w:after="0"/>
              <w:rPr>
                <w:sz w:val="20"/>
                <w:szCs w:val="20"/>
                <w:color w:val="auto"/>
              </w:rPr>
            </w:pPr>
            <w:r>
              <w:rPr>
                <w:rFonts w:ascii="Arial" w:cs="Arial" w:eastAsia="Arial" w:hAnsi="Arial"/>
                <w:sz w:val="18"/>
                <w:szCs w:val="18"/>
                <w:color w:val="auto"/>
                <w:w w:val="97"/>
              </w:rPr>
              <w:t>Certification of the Company’s President and Chief Executive Officer pursuant to Section 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Certification of the Company’s Senior Vice President, Treasurer and Chief Financial Officer pursuant to Section 302 of the Sarbanes-Oxley</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460"/>
              <w:spacing w:after="0"/>
              <w:rPr>
                <w:sz w:val="20"/>
                <w:szCs w:val="20"/>
                <w:color w:val="auto"/>
              </w:rPr>
            </w:pPr>
            <w:r>
              <w:rPr>
                <w:rFonts w:ascii="Arial" w:cs="Arial" w:eastAsia="Arial" w:hAnsi="Arial"/>
                <w:sz w:val="18"/>
                <w:szCs w:val="18"/>
                <w:color w:val="auto"/>
                <w:w w:val="88"/>
              </w:rPr>
              <w:t>Certification of the Company’s President and Chief Executive Officer pursuant to 18 U.S.C. Section 1350, as adopted pursuant to Section 906</w:t>
            </w:r>
          </w:p>
        </w:tc>
      </w:tr>
      <w:tr>
        <w:trPr>
          <w:trHeight w:val="216"/>
        </w:trPr>
        <w:tc>
          <w:tcPr>
            <w:tcW w:w="920" w:type="dxa"/>
            <w:vAlign w:val="bottom"/>
          </w:tcPr>
          <w:p>
            <w:pPr>
              <w:spacing w:after="0"/>
              <w:rPr>
                <w:sz w:val="18"/>
                <w:szCs w:val="18"/>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460"/>
              <w:spacing w:after="0"/>
              <w:rPr>
                <w:sz w:val="20"/>
                <w:szCs w:val="20"/>
                <w:color w:val="auto"/>
              </w:rPr>
            </w:pPr>
            <w:r>
              <w:rPr>
                <w:rFonts w:ascii="Arial" w:cs="Arial" w:eastAsia="Arial" w:hAnsi="Arial"/>
                <w:sz w:val="18"/>
                <w:szCs w:val="18"/>
                <w:color w:val="auto"/>
                <w:w w:val="90"/>
              </w:rPr>
              <w:t>Certification of the Company’s Senior Vice President, Treasurer and Chief Financial Officer pursuant to 18 U.S.C. Section 1350, as adopted</w:t>
            </w:r>
          </w:p>
        </w:tc>
      </w:tr>
      <w:tr>
        <w:trPr>
          <w:trHeight w:val="222"/>
        </w:trPr>
        <w:tc>
          <w:tcPr>
            <w:tcW w:w="920" w:type="dxa"/>
            <w:vAlign w:val="bottom"/>
          </w:tcPr>
          <w:p>
            <w:pPr>
              <w:spacing w:after="0"/>
              <w:rPr>
                <w:sz w:val="19"/>
                <w:szCs w:val="19"/>
                <w:color w:val="auto"/>
              </w:rPr>
            </w:pPr>
          </w:p>
        </w:tc>
        <w:tc>
          <w:tcPr>
            <w:tcW w:w="10480" w:type="dxa"/>
            <w:vAlign w:val="bottom"/>
          </w:tcPr>
          <w:p>
            <w:pPr>
              <w:ind w:left="68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right="240" w:hanging="572"/>
        <w:spacing w:after="0" w:line="26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exhibits filed with the Company’s registration statement (333-41171) on Form S-1 filed under the Securities Act of 1933.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31, 1999.</w:t>
      </w:r>
    </w:p>
    <w:p>
      <w:pPr>
        <w:spacing w:after="0" w:line="38" w:lineRule="exact"/>
        <w:rPr>
          <w:rFonts w:ascii="Arial" w:cs="Arial" w:eastAsia="Arial" w:hAnsi="Arial"/>
          <w:sz w:val="16"/>
          <w:szCs w:val="16"/>
          <w:color w:val="auto"/>
        </w:rPr>
      </w:pPr>
    </w:p>
    <w:p>
      <w:pPr>
        <w:ind w:left="580" w:right="12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annual report on Form 10-K/A Amendment No. 1, File Number 0-23827, filed on April 4, 2000.</w:t>
      </w: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30, 2001.</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proxy statement pursuant to Section 14(a), File Number 0-23827, filed on April 17, 2001.</w:t>
      </w: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on August 14, 2001.</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April 1, 2002.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dated April 5,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31, 2003.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on August 13, 2003.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November 20, 2003.</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30, 2004.</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quarterly report on Form 10-Q, File Number 0-23827, filed November 15, 2004.</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31, 2005.</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May 16,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July 6,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October 27,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November 14,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December 30,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Incorporated by reference from exhibits filed with the Company’s annual report on Form 10-K, File Number 0-23827, filed on March 30,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May 12,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quarterly report on Form 10-Q, filed on August 11,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October 31,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December 7, 2006.</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240" w:top="459"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 (d)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PC C</w:t>
      </w:r>
      <w:r>
        <w:rPr>
          <w:rFonts w:ascii="Arial" w:cs="Arial" w:eastAsia="Arial" w:hAnsi="Arial"/>
          <w:sz w:val="14"/>
          <w:szCs w:val="14"/>
          <w:color w:val="auto"/>
        </w:rPr>
        <w:t>ONNECTION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2007</w:t>
      </w:r>
    </w:p>
    <w:p>
      <w:pPr>
        <w:spacing w:after="0" w:line="219" w:lineRule="exact"/>
        <w:rPr>
          <w:sz w:val="20"/>
          <w:szCs w:val="20"/>
          <w:color w:val="auto"/>
        </w:rPr>
      </w:pPr>
    </w:p>
    <w:p>
      <w:pPr>
        <w:ind w:left="6080"/>
        <w:spacing w:after="0"/>
        <w:tabs>
          <w:tab w:leader="none" w:pos="812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48"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center"/>
              <w:ind w:right="1944"/>
              <w:spacing w:after="0"/>
              <w:rPr>
                <w:sz w:val="20"/>
                <w:szCs w:val="20"/>
                <w:color w:val="auto"/>
              </w:rPr>
            </w:pPr>
            <w:r>
              <w:rPr>
                <w:rFonts w:ascii="Arial" w:cs="Arial" w:eastAsia="Arial" w:hAnsi="Arial"/>
                <w:sz w:val="14"/>
                <w:szCs w:val="14"/>
                <w:b w:val="1"/>
                <w:bCs w:val="1"/>
                <w:color w:val="auto"/>
                <w:w w:val="83"/>
              </w:rPr>
              <w:t>Name</w:t>
            </w:r>
          </w:p>
        </w:tc>
        <w:tc>
          <w:tcPr>
            <w:tcW w:w="220" w:type="dxa"/>
            <w:vAlign w:val="bottom"/>
          </w:tcPr>
          <w:p>
            <w:pPr>
              <w:spacing w:after="0"/>
              <w:rPr>
                <w:sz w:val="14"/>
                <w:szCs w:val="14"/>
                <w:color w:val="auto"/>
              </w:rPr>
            </w:pPr>
          </w:p>
        </w:tc>
        <w:tc>
          <w:tcPr>
            <w:tcW w:w="390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37"/>
        </w:trPr>
        <w:tc>
          <w:tcPr>
            <w:tcW w:w="202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Borders>
              <w:bottom w:val="single" w:sz="8" w:color="auto"/>
            </w:tcBorders>
          </w:tcPr>
          <w:p>
            <w:pPr>
              <w:jc w:val="center"/>
              <w:ind w:right="1584"/>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8"/>
              </w:rPr>
              <w:t>Chairman, President, and Chief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202"/>
        </w:trPr>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ind w:right="1944"/>
              <w:spacing w:after="0"/>
              <w:rPr>
                <w:sz w:val="20"/>
                <w:szCs w:val="20"/>
                <w:color w:val="auto"/>
              </w:rPr>
            </w:pPr>
            <w:r>
              <w:rPr>
                <w:rFonts w:ascii="Arial" w:cs="Arial" w:eastAsia="Arial" w:hAnsi="Arial"/>
                <w:sz w:val="14"/>
                <w:szCs w:val="14"/>
                <w:b w:val="1"/>
                <w:bCs w:val="1"/>
                <w:color w:val="auto"/>
                <w:w w:val="89"/>
              </w:rPr>
              <w:t>Patricia Gallup</w:t>
            </w:r>
          </w:p>
        </w:tc>
        <w:tc>
          <w:tcPr>
            <w:tcW w:w="220" w:type="dxa"/>
            <w:vAlign w:val="bottom"/>
          </w:tcPr>
          <w:p>
            <w:pPr>
              <w:spacing w:after="0"/>
              <w:rPr>
                <w:sz w:val="17"/>
                <w:szCs w:val="17"/>
                <w:color w:val="auto"/>
              </w:rPr>
            </w:pPr>
          </w:p>
        </w:tc>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Borders>
              <w:bottom w:val="single" w:sz="8" w:color="auto"/>
            </w:tcBorders>
          </w:tcPr>
          <w:p>
            <w:pPr>
              <w:jc w:val="center"/>
              <w:ind w:right="1584"/>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ACK</w:t>
            </w:r>
            <w:r>
              <w:rPr>
                <w:rFonts w:ascii="Arial" w:cs="Arial" w:eastAsia="Arial" w:hAnsi="Arial"/>
                <w:sz w:val="18"/>
                <w:szCs w:val="18"/>
                <w:color w:val="auto"/>
                <w:w w:val="96"/>
              </w:rPr>
              <w:t xml:space="preserve"> F</w:t>
            </w:r>
            <w:r>
              <w:rPr>
                <w:rFonts w:ascii="Arial" w:cs="Arial" w:eastAsia="Arial" w:hAnsi="Arial"/>
                <w:sz w:val="14"/>
                <w:szCs w:val="14"/>
                <w:color w:val="auto"/>
                <w:w w:val="96"/>
              </w:rPr>
              <w:t>ERGUSON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1"/>
              </w:rPr>
              <w:t>Senior Vice President, Treasurer, and Chief Financial</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190"/>
        </w:trPr>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Pr>
          <w:p>
            <w:pPr>
              <w:jc w:val="center"/>
              <w:ind w:right="1944"/>
              <w:spacing w:after="0"/>
              <w:rPr>
                <w:sz w:val="20"/>
                <w:szCs w:val="20"/>
                <w:color w:val="auto"/>
              </w:rPr>
            </w:pPr>
            <w:r>
              <w:rPr>
                <w:rFonts w:ascii="Arial" w:cs="Arial" w:eastAsia="Arial" w:hAnsi="Arial"/>
                <w:sz w:val="14"/>
                <w:szCs w:val="14"/>
                <w:b w:val="1"/>
                <w:bCs w:val="1"/>
                <w:color w:val="auto"/>
                <w:w w:val="84"/>
              </w:rPr>
              <w:t>Jack Ferguson</w:t>
            </w:r>
          </w:p>
        </w:tc>
        <w:tc>
          <w:tcPr>
            <w:tcW w:w="220" w:type="dxa"/>
            <w:vAlign w:val="bottom"/>
          </w:tcPr>
          <w:p>
            <w:pPr>
              <w:spacing w:after="0"/>
              <w:rPr>
                <w:sz w:val="16"/>
                <w:szCs w:val="16"/>
                <w:color w:val="auto"/>
              </w:rPr>
            </w:pPr>
          </w:p>
        </w:tc>
        <w:tc>
          <w:tcPr>
            <w:tcW w:w="3900" w:type="dxa"/>
            <w:vAlign w:val="bottom"/>
          </w:tcPr>
          <w:p>
            <w:pPr>
              <w:ind w:left="220"/>
              <w:spacing w:after="0" w:line="190" w:lineRule="exact"/>
              <w:rPr>
                <w:sz w:val="20"/>
                <w:szCs w:val="20"/>
                <w:color w:val="auto"/>
              </w:rPr>
            </w:pPr>
            <w:r>
              <w:rPr>
                <w:rFonts w:ascii="Arial" w:cs="Arial" w:eastAsia="Arial" w:hAnsi="Arial"/>
                <w:sz w:val="18"/>
                <w:szCs w:val="18"/>
                <w:color w:val="auto"/>
              </w:rPr>
              <w:t>Officer (Principal Financial and Accounting</w:t>
            </w:r>
          </w:p>
        </w:tc>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22"/>
        </w:trPr>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Borders>
              <w:bottom w:val="single" w:sz="8" w:color="auto"/>
            </w:tcBorders>
          </w:tcPr>
          <w:p>
            <w:pPr>
              <w:jc w:val="center"/>
              <w:ind w:right="1584"/>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B</w:t>
            </w:r>
            <w:r>
              <w:rPr>
                <w:rFonts w:ascii="Arial" w:cs="Arial" w:eastAsia="Arial" w:hAnsi="Arial"/>
                <w:sz w:val="14"/>
                <w:szCs w:val="14"/>
                <w:color w:val="auto"/>
                <w:w w:val="97"/>
              </w:rPr>
              <w:t>ARONE</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169"/>
        </w:trPr>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jc w:val="center"/>
              <w:ind w:right="1944"/>
              <w:spacing w:after="0"/>
              <w:rPr>
                <w:sz w:val="20"/>
                <w:szCs w:val="20"/>
                <w:color w:val="auto"/>
              </w:rPr>
            </w:pPr>
            <w:r>
              <w:rPr>
                <w:rFonts w:ascii="Arial" w:cs="Arial" w:eastAsia="Arial" w:hAnsi="Arial"/>
                <w:sz w:val="14"/>
                <w:szCs w:val="14"/>
                <w:b w:val="1"/>
                <w:bCs w:val="1"/>
                <w:color w:val="auto"/>
                <w:w w:val="87"/>
              </w:rPr>
              <w:t>Bruce Barone</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tcBorders>
              <w:bottom w:val="single" w:sz="8" w:color="auto"/>
            </w:tcBorders>
          </w:tcPr>
          <w:p>
            <w:pPr>
              <w:jc w:val="center"/>
              <w:ind w:right="1584"/>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B</w:t>
            </w:r>
            <w:r>
              <w:rPr>
                <w:rFonts w:ascii="Arial" w:cs="Arial" w:eastAsia="Arial" w:hAnsi="Arial"/>
                <w:sz w:val="14"/>
                <w:szCs w:val="14"/>
                <w:color w:val="auto"/>
                <w:w w:val="96"/>
              </w:rPr>
              <w:t>AUTE</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169"/>
        </w:trPr>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jc w:val="center"/>
              <w:ind w:right="1944"/>
              <w:spacing w:after="0"/>
              <w:rPr>
                <w:sz w:val="20"/>
                <w:szCs w:val="20"/>
                <w:color w:val="auto"/>
              </w:rPr>
            </w:pPr>
            <w:r>
              <w:rPr>
                <w:rFonts w:ascii="Arial" w:cs="Arial" w:eastAsia="Arial" w:hAnsi="Arial"/>
                <w:sz w:val="14"/>
                <w:szCs w:val="14"/>
                <w:b w:val="1"/>
                <w:bCs w:val="1"/>
                <w:color w:val="auto"/>
                <w:w w:val="82"/>
              </w:rPr>
              <w:t>Joseph Baute</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20" w:type="dxa"/>
            <w:vAlign w:val="bottom"/>
            <w:tcBorders>
              <w:bottom w:val="single" w:sz="8" w:color="auto"/>
            </w:tcBorders>
            <w:gridSpan w:val="2"/>
          </w:tcPr>
          <w:p>
            <w:pPr>
              <w:jc w:val="center"/>
              <w:ind w:right="1304"/>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B</w:t>
            </w:r>
            <w:r>
              <w:rPr>
                <w:rFonts w:ascii="Arial" w:cs="Arial" w:eastAsia="Arial" w:hAnsi="Arial"/>
                <w:sz w:val="14"/>
                <w:szCs w:val="14"/>
                <w:color w:val="auto"/>
              </w:rPr>
              <w:t>EFFA</w:t>
            </w:r>
            <w:r>
              <w:rPr>
                <w:rFonts w:ascii="Arial" w:cs="Arial" w:eastAsia="Arial" w:hAnsi="Arial"/>
                <w:sz w:val="18"/>
                <w:szCs w:val="18"/>
                <w:color w:val="auto"/>
              </w:rPr>
              <w:t>-N</w:t>
            </w:r>
            <w:r>
              <w:rPr>
                <w:rFonts w:ascii="Arial" w:cs="Arial" w:eastAsia="Arial" w:hAnsi="Arial"/>
                <w:sz w:val="14"/>
                <w:szCs w:val="14"/>
                <w:color w:val="auto"/>
              </w:rPr>
              <w:t>EGRINI</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169"/>
        </w:trPr>
        <w:tc>
          <w:tcPr>
            <w:tcW w:w="1720" w:type="dxa"/>
            <w:vAlign w:val="bottom"/>
          </w:tcPr>
          <w:p>
            <w:pPr>
              <w:spacing w:after="0"/>
              <w:rPr>
                <w:sz w:val="14"/>
                <w:szCs w:val="14"/>
                <w:color w:val="auto"/>
              </w:rPr>
            </w:pPr>
          </w:p>
        </w:tc>
        <w:tc>
          <w:tcPr>
            <w:tcW w:w="3320" w:type="dxa"/>
            <w:vAlign w:val="bottom"/>
            <w:gridSpan w:val="2"/>
          </w:tcPr>
          <w:p>
            <w:pPr>
              <w:jc w:val="center"/>
              <w:ind w:right="1644"/>
              <w:spacing w:after="0"/>
              <w:rPr>
                <w:sz w:val="20"/>
                <w:szCs w:val="20"/>
                <w:color w:val="auto"/>
              </w:rPr>
            </w:pPr>
            <w:r>
              <w:rPr>
                <w:rFonts w:ascii="Arial" w:cs="Arial" w:eastAsia="Arial" w:hAnsi="Arial"/>
                <w:sz w:val="14"/>
                <w:szCs w:val="14"/>
                <w:b w:val="1"/>
                <w:bCs w:val="1"/>
                <w:color w:val="auto"/>
                <w:w w:val="89"/>
              </w:rPr>
              <w:t>David Beffa-Negrini</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jc w:val="center"/>
              <w:ind w:right="164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H</w:t>
            </w:r>
            <w:r>
              <w:rPr>
                <w:rFonts w:ascii="Arial" w:cs="Arial" w:eastAsia="Arial" w:hAnsi="Arial"/>
                <w:sz w:val="14"/>
                <w:szCs w:val="14"/>
                <w:color w:val="auto"/>
              </w:rPr>
              <w:t>ALL</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169"/>
        </w:trPr>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jc w:val="center"/>
              <w:ind w:right="1944"/>
              <w:spacing w:after="0"/>
              <w:rPr>
                <w:sz w:val="20"/>
                <w:szCs w:val="20"/>
                <w:color w:val="auto"/>
              </w:rPr>
            </w:pPr>
            <w:r>
              <w:rPr>
                <w:rFonts w:ascii="Arial" w:cs="Arial" w:eastAsia="Arial" w:hAnsi="Arial"/>
                <w:sz w:val="14"/>
                <w:szCs w:val="14"/>
                <w:b w:val="1"/>
                <w:bCs w:val="1"/>
                <w:color w:val="auto"/>
                <w:w w:val="94"/>
              </w:rPr>
              <w:t>David Hall</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gridSpan w:val="2"/>
          </w:tcPr>
          <w:p>
            <w:pPr>
              <w:jc w:val="center"/>
              <w:ind w:right="1304"/>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W</w:t>
            </w:r>
            <w:r>
              <w:rPr>
                <w:rFonts w:ascii="Arial" w:cs="Arial" w:eastAsia="Arial" w:hAnsi="Arial"/>
                <w:sz w:val="14"/>
                <w:szCs w:val="14"/>
                <w:color w:val="auto"/>
                <w:w w:val="99"/>
              </w:rPr>
              <w:t>EATHERSON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r>
      <w:tr>
        <w:trPr>
          <w:trHeight w:val="169"/>
        </w:trPr>
        <w:tc>
          <w:tcPr>
            <w:tcW w:w="1720" w:type="dxa"/>
            <w:vAlign w:val="bottom"/>
          </w:tcPr>
          <w:p>
            <w:pPr>
              <w:spacing w:after="0"/>
              <w:rPr>
                <w:sz w:val="14"/>
                <w:szCs w:val="14"/>
                <w:color w:val="auto"/>
              </w:rPr>
            </w:pPr>
          </w:p>
        </w:tc>
        <w:tc>
          <w:tcPr>
            <w:tcW w:w="3320" w:type="dxa"/>
            <w:vAlign w:val="bottom"/>
            <w:gridSpan w:val="2"/>
          </w:tcPr>
          <w:p>
            <w:pPr>
              <w:jc w:val="center"/>
              <w:ind w:right="1644"/>
              <w:spacing w:after="0"/>
              <w:rPr>
                <w:sz w:val="20"/>
                <w:szCs w:val="20"/>
                <w:color w:val="auto"/>
              </w:rPr>
            </w:pPr>
            <w:r>
              <w:rPr>
                <w:rFonts w:ascii="Arial" w:cs="Arial" w:eastAsia="Arial" w:hAnsi="Arial"/>
                <w:sz w:val="14"/>
                <w:szCs w:val="14"/>
                <w:b w:val="1"/>
                <w:bCs w:val="1"/>
                <w:color w:val="auto"/>
                <w:w w:val="88"/>
              </w:rPr>
              <w:t>Donald Weatherson</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50"/>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120" w:type="dxa"/>
            <w:vAlign w:val="bottom"/>
            <w:gridSpan w:val="2"/>
          </w:tcPr>
          <w:p>
            <w:pPr>
              <w:jc w:val="right"/>
              <w:ind w:right="3274"/>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Report of Management</w:t>
              </w:r>
            </w:hyperlink>
          </w:p>
        </w:tc>
        <w:tc>
          <w:tcPr>
            <w:tcW w:w="9420" w:type="dxa"/>
            <w:vAlign w:val="bottom"/>
            <w:gridSpan w:val="7"/>
            <w:vMerge w:val="restart"/>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vMerge w:val="continue"/>
          </w:tcPr>
          <w:p>
            <w:pPr>
              <w:spacing w:after="0"/>
              <w:rPr>
                <w:sz w:val="14"/>
                <w:szCs w:val="14"/>
                <w:color w:val="auto"/>
              </w:rPr>
            </w:pPr>
          </w:p>
        </w:tc>
        <w:tc>
          <w:tcPr>
            <w:tcW w:w="9420" w:type="dxa"/>
            <w:vAlign w:val="bottom"/>
            <w:gridSpan w:val="7"/>
            <w:vMerge w:val="continue"/>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2006 and 2005</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Income for the years ended December 31, 2006, 2005, and 2004</w:t>
              </w:r>
            </w:hyperlink>
          </w:p>
        </w:tc>
        <w:tc>
          <w:tcPr>
            <w:tcW w:w="4560" w:type="dxa"/>
            <w:vAlign w:val="bottom"/>
            <w:gridSpan w:val="3"/>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 of Changes in Stockholders’ Equity for the years ended December 31, 2006, 2005, and 2004</w:t>
              </w:r>
            </w:hyperlink>
          </w:p>
        </w:tc>
        <w:tc>
          <w:tcPr>
            <w:tcW w:w="2840" w:type="dxa"/>
            <w:vAlign w:val="bottom"/>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Consolidated Statements of Cash Flows for the years ended December 31, 2006, 2005, and 2004</w:t>
              </w:r>
            </w:hyperlink>
          </w:p>
        </w:tc>
        <w:tc>
          <w:tcPr>
            <w:tcW w:w="4260" w:type="dxa"/>
            <w:vAlign w:val="bottom"/>
            <w:gridSpan w:val="2"/>
          </w:tcPr>
          <w:p>
            <w:pPr>
              <w:spacing w:after="0"/>
              <w:rPr>
                <w:sz w:val="17"/>
                <w:szCs w:val="17"/>
                <w:color w:val="auto"/>
              </w:rPr>
            </w:pPr>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1060" w:type="dxa"/>
            <w:vAlign w:val="bottom"/>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3"/>
        </w:trPr>
        <w:tc>
          <w:tcPr>
            <w:tcW w:w="164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20" w:type="dxa"/>
            <w:vAlign w:val="bottom"/>
            <w:gridSpan w:val="4"/>
          </w:tcPr>
          <w:p>
            <w:pPr>
              <w:ind w:left="10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Responsibility for the integrity and objectivity of the financial information presented in this Annual Report on Form 10-K rests with PC Connection, Inc. and its subsidiaries (“the Company”) management. The accompanying consolidated financial statements have been prepared in conformity with accounting principles generally accepted in the United States of America, applying certain estimates and judgments as required.</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While we have not performed our first formal assessment of internal control over financial reporting called for by the Public Company Accounting Oversight Board Standard No. 2, we believe the Company maintains an effective internal control structure. It consists, in part, of an organization with clearly defined lines of responsibility and delegation of authority, comprehensive systems, and control procedures. We believe that this structure provides reasonable assurance that transactions are executed in accordance with management authorization and accounting principles generally accepted in the United States of America.</w:t>
      </w:r>
    </w:p>
    <w:p>
      <w:pPr>
        <w:spacing w:after="0" w:line="14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To assure the effective administration of internal control, we carefully select and train our employees, develop and disseminate written policies and procedures, provide appropriate communication channels, and foster an environment conducive to the effective functioning of controls. We believe that it is essential for the Company to conduct its business affairs in accordance with the highest ethical standards.</w:t>
      </w:r>
    </w:p>
    <w:p>
      <w:pPr>
        <w:spacing w:after="0" w:line="10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Deloitte &amp; Touche LLP, an independent registered public accounting firm, is retained to audit the Company’s consolidated financial statements. Its accompanying report is based on an audit conducted in accordance with the standards of the Public Company Accounting Oversight Board (United States).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 Committee of the Board of Directors is composed solely of outside directors and is responsible for recommending to the Board of Directors the independent registered public accounting firm to be retained for the coming year. The Audit Committee meets periodically and privately with the independent auditors, as well as with Company management, to review accounting, auditing, internal control structure, and financial reporting matters.</w:t>
      </w:r>
    </w:p>
    <w:p>
      <w:pPr>
        <w:sectPr>
          <w:pgSz w:w="11900" w:h="16838" w:orient="portrait"/>
          <w:cols w:equalWidth="0" w:num="1">
            <w:col w:w="11300"/>
          </w:cols>
          <w:pgMar w:left="240" w:top="459" w:right="359" w:bottom="1440" w:gutter="0" w:footer="0" w:header="0"/>
        </w:sectPr>
      </w:pP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Patricia Gallup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Jack L. Ferguson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Treasurer,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ectPr>
          <w:pgSz w:w="11900" w:h="16838" w:orient="portrait"/>
          <w:cols w:equalWidth="0" w:num="2">
            <w:col w:w="5380" w:space="720"/>
            <w:col w:w="5200"/>
          </w:cols>
          <w:pgMar w:left="240" w:top="459" w:right="3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300"/>
          </w:cols>
          <w:pgMar w:left="240" w:top="459" w:right="3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PC Connection, Inc. and subsidiaries (the “Company”) as of December 31, 2006 and 2005, and the related consolidated statements of income, changes in stockholders’ equity, and cash flows for each of the three years in the period ended December 31, 2006.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PC Connection, Inc. and subsidiaries as of December 31, 2006 and 2005, and the results of their operations and their cash flows for each of the three years in the period ended December 31, 2006,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As discussed in Note 1 to the consolidated financial statements, the Company adopted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effective January 1,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170,222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3,837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265,557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19,542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346,684</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337,705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640"/>
              <w:spacing w:after="0"/>
              <w:rPr>
                <w:sz w:val="20"/>
                <w:szCs w:val="20"/>
                <w:color w:val="auto"/>
              </w:rPr>
            </w:pPr>
            <w:r>
              <w:rPr>
                <w:rFonts w:ascii="Arial" w:cs="Arial" w:eastAsia="Arial" w:hAnsi="Arial"/>
                <w:sz w:val="18"/>
                <w:szCs w:val="18"/>
                <w:color w:val="auto"/>
              </w:rPr>
              <w:t>To affiliate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Note payable–bank</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110,977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17,389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138,592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 less current maturities: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640"/>
              <w:spacing w:after="0"/>
              <w:rPr>
                <w:sz w:val="20"/>
                <w:szCs w:val="20"/>
                <w:color w:val="auto"/>
              </w:rPr>
            </w:pPr>
            <w:r>
              <w:rPr>
                <w:rFonts w:ascii="Arial" w:cs="Arial" w:eastAsia="Arial" w:hAnsi="Arial"/>
                <w:sz w:val="18"/>
                <w:szCs w:val="18"/>
                <w:color w:val="auto"/>
              </w:rPr>
              <w:t>To affiliate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149,780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$.01 par value, 100,000 shares authorized, 26,862 and 25,622 issued, 26,510 and 25,259 outstanding at</w:t>
            </w:r>
          </w:p>
        </w:tc>
        <w:tc>
          <w:tcPr>
            <w:tcW w:w="10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2006 and December 31, 2005, respectively</w:t>
            </w: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89,537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109,321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(2,223)</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196,904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346,684</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337,705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1,635,651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1,444,297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1,353,834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1,435,400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1,280,701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1,201,780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200,251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152,054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173,927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Income from operations</w:t>
            </w:r>
          </w:p>
        </w:tc>
        <w:tc>
          <w:tcPr>
            <w:tcW w:w="1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23,933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(1,828)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net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taxes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22,226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tax provision</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13,776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0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earnings per common share: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25,516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25,028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25,731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25,269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6"/>
            <w:vMerge w:val="restart"/>
          </w:tcPr>
          <w:p>
            <w:pPr>
              <w:jc w:val="right"/>
              <w:ind w:right="358"/>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10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6"/>
                <w:szCs w:val="6"/>
                <w:color w:val="auto"/>
              </w:rPr>
            </w:pPr>
          </w:p>
        </w:tc>
        <w:tc>
          <w:tcPr>
            <w:tcW w:w="9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6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1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Balance—January 1, 2004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253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82,794</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(2,286)</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and comprehensive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91,098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and 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4,447</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2005</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25,622</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256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77,884</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95,545</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Nonvested stock awards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and 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13,776</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2006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26,862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89,537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109,321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(2,223</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13,776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4,447</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7,049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 expense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excess tax benefit from exercise of stock options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Income tax benefits from exercise of stock options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1,338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(45,766)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34,704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26,362</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(7,981)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Purchase of intangible asset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acquisition earn-out obligation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Payment for acquisition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escrow distributed for acquisition</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(7,960)</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(21,734)</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402,039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320,379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369,285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(422,014)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(305,214)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(370,089)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excess tax benefit from exercise of stock options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vMerge w:val="restart"/>
          </w:tcPr>
          <w:p>
            <w:pPr>
              <w:ind w:left="420"/>
              <w:spacing w:after="0"/>
              <w:rPr>
                <w:sz w:val="20"/>
                <w:szCs w:val="20"/>
                <w:color w:val="auto"/>
              </w:rPr>
            </w:pPr>
            <w:r>
              <w:rPr>
                <w:rFonts w:ascii="Arial" w:cs="Arial" w:eastAsia="Arial" w:hAnsi="Arial"/>
                <w:sz w:val="18"/>
                <w:szCs w:val="18"/>
                <w:color w:val="auto"/>
              </w:rPr>
              <w:t>Net cash (used for) provided by financing activities</w:t>
            </w: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2"/>
              </w:rPr>
              <w:t>(10,590)</w:t>
            </w:r>
          </w:p>
        </w:tc>
        <w:tc>
          <w:tcPr>
            <w:tcW w:w="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15,046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6,829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17,582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1,713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accounting adjustment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Acquisition earn-out obligation, net of adjustments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assets through capital lease obligation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9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PC Connection, Inc. is a national direct marketer of a wide range of IT products and services—including computer systems, software and peripheral equipment, networking communications, warranty, configuration and other services, and other products and accessories that we purchase from manufacturers, distributors, and other suppliers. We operate through three primary business segments: (1) consumers and small- to medium-sized businesses, or SMB, through our PC Connection Sales subsidiaries, (2) large corporate accounts, or Large Account, through our MoreDirect subsidiary, and (3) federal, state, and local government and educational institutions, or Public Sector, through our GovConnection subsidiary.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significant accounting policies.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PC Connection, Inc. and its subsidiaries. Intercompany transactions and balances are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consolidated financial statements.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 We record our sales reserves as offsets to accounts receivable and, for customers who have already paid, credits to accrued expenses At December 31, 2006, we recorded sales reserves of $2,228 and $452 as components of accounts receivable and accrued expenses, respectively. At December 31, 2005, we recorded sales reserves of $2,288 and $483 as components of accounts receivable and accrued expenses, respectively.</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Issue No. 99-19, “Reporting Revenue Gross as a Principal versus Net as an Agent.” Under gross sales recognition, we are the primary obligor, and the entire selling process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equipment and software manufacturers directly to our customers and receive agency fees for such transactions. We do not take title to the products in these transactions; title is passed directly from the supplier to our customer.</w:t>
      </w:r>
    </w:p>
    <w:p>
      <w:pPr>
        <w:spacing w:after="0" w:line="14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Net amounts included in revenue for such service contracts and agency sales transactions were $10,776, $7,279, and $5,797 for the years ended December 31, 2006, 2005, and 2004,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Cost of sales includes the invoice cost of the product, direct costs of packaging, inbound and outbound freight, and provisions for inventory obsolescence, adjusted for discounts, rebates, and other vendor allowances, including those pursuant to EITF 02-16. Direct operating expenses relating to our purchasing function and receiving, inspection, internal transfer, warehousing, packing and shipping, and other expenses of our distribution center are included in selling, general and administrative expenses. Total direct operating expenses relating to these functions included in selling, general and administrative expenses for the years ended December 31, 2006, 2005, and 2004 are shown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tbl>
      <w:tblPr>
        <w:tblLayout w:type="fixed"/>
        <w:tblInd w:w="0" w:type="dxa"/>
        <w:tblCellMar>
          <w:top w:w="0" w:type="dxa"/>
          <w:left w:w="0" w:type="dxa"/>
          <w:bottom w:w="0" w:type="dxa"/>
          <w:right w:w="0" w:type="dxa"/>
        </w:tblCellMar>
      </w:tblPr>
      <w:tr>
        <w:trPr>
          <w:trHeight w:val="156"/>
        </w:trPr>
        <w:tc>
          <w:tcPr>
            <w:tcW w:w="3660" w:type="dxa"/>
            <w:vAlign w:val="bottom"/>
            <w:tcBorders>
              <w:top w:val="single" w:sz="8" w:color="auto"/>
              <w:bottom w:val="single" w:sz="8" w:color="auto"/>
            </w:tcBorders>
          </w:tcPr>
          <w:p>
            <w:pPr>
              <w:jc w:val="right"/>
              <w:ind w:right="1602"/>
              <w:spacing w:after="0" w:line="155"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top w:val="single" w:sz="8" w:color="auto"/>
            </w:tcBorders>
          </w:tcPr>
          <w:p>
            <w:pPr>
              <w:spacing w:after="0"/>
              <w:rPr>
                <w:sz w:val="13"/>
                <w:szCs w:val="13"/>
                <w:color w:val="auto"/>
              </w:rPr>
            </w:pPr>
          </w:p>
        </w:tc>
        <w:tc>
          <w:tcPr>
            <w:tcW w:w="3320" w:type="dxa"/>
            <w:vAlign w:val="bottom"/>
            <w:tcBorders>
              <w:top w:val="single" w:sz="8" w:color="auto"/>
              <w:bottom w:val="single" w:sz="8" w:color="auto"/>
            </w:tcBorders>
          </w:tcPr>
          <w:p>
            <w:pPr>
              <w:jc w:val="right"/>
              <w:ind w:right="1452"/>
              <w:spacing w:after="0" w:line="155" w:lineRule="exact"/>
              <w:rPr>
                <w:sz w:val="20"/>
                <w:szCs w:val="20"/>
                <w:color w:val="auto"/>
              </w:rPr>
            </w:pPr>
            <w:r>
              <w:rPr>
                <w:rFonts w:ascii="Arial" w:cs="Arial" w:eastAsia="Arial" w:hAnsi="Arial"/>
                <w:sz w:val="14"/>
                <w:szCs w:val="14"/>
                <w:b w:val="1"/>
                <w:bCs w:val="1"/>
                <w:color w:val="auto"/>
              </w:rPr>
              <w:t>2005</w:t>
            </w:r>
          </w:p>
        </w:tc>
        <w:tc>
          <w:tcPr>
            <w:tcW w:w="460" w:type="dxa"/>
            <w:vAlign w:val="bottom"/>
            <w:tcBorders>
              <w:top w:val="single" w:sz="8" w:color="auto"/>
            </w:tcBorders>
          </w:tcPr>
          <w:p>
            <w:pPr>
              <w:spacing w:after="0"/>
              <w:rPr>
                <w:sz w:val="13"/>
                <w:szCs w:val="13"/>
                <w:color w:val="auto"/>
              </w:rPr>
            </w:pPr>
          </w:p>
        </w:tc>
        <w:tc>
          <w:tcPr>
            <w:tcW w:w="3520" w:type="dxa"/>
            <w:vAlign w:val="bottom"/>
            <w:tcBorders>
              <w:top w:val="single" w:sz="8" w:color="auto"/>
              <w:bottom w:val="single" w:sz="8" w:color="auto"/>
            </w:tcBorders>
          </w:tcPr>
          <w:p>
            <w:pPr>
              <w:jc w:val="right"/>
              <w:ind w:right="1552"/>
              <w:spacing w:after="0" w:line="155" w:lineRule="exact"/>
              <w:rPr>
                <w:sz w:val="20"/>
                <w:szCs w:val="20"/>
                <w:color w:val="auto"/>
              </w:rPr>
            </w:pPr>
            <w:r>
              <w:rPr>
                <w:rFonts w:ascii="Arial" w:cs="Arial" w:eastAsia="Arial" w:hAnsi="Arial"/>
                <w:sz w:val="14"/>
                <w:szCs w:val="14"/>
                <w:b w:val="1"/>
                <w:bCs w:val="1"/>
                <w:color w:val="auto"/>
              </w:rPr>
              <w:t>2004</w:t>
            </w:r>
          </w:p>
        </w:tc>
      </w:tr>
      <w:tr>
        <w:trPr>
          <w:trHeight w:val="221"/>
        </w:trPr>
        <w:tc>
          <w:tcPr>
            <w:tcW w:w="3660" w:type="dxa"/>
            <w:vAlign w:val="bottom"/>
          </w:tcPr>
          <w:p>
            <w:pPr>
              <w:jc w:val="right"/>
              <w:ind w:right="1462"/>
              <w:spacing w:after="0"/>
              <w:rPr>
                <w:sz w:val="20"/>
                <w:szCs w:val="20"/>
                <w:color w:val="auto"/>
              </w:rPr>
            </w:pPr>
            <w:r>
              <w:rPr>
                <w:rFonts w:ascii="Arial" w:cs="Arial" w:eastAsia="Arial" w:hAnsi="Arial"/>
                <w:sz w:val="18"/>
                <w:szCs w:val="18"/>
                <w:color w:val="auto"/>
              </w:rPr>
              <w:t>$10,878</w:t>
            </w:r>
          </w:p>
        </w:tc>
        <w:tc>
          <w:tcPr>
            <w:tcW w:w="3780" w:type="dxa"/>
            <w:vAlign w:val="bottom"/>
            <w:gridSpan w:val="2"/>
          </w:tcPr>
          <w:p>
            <w:pPr>
              <w:jc w:val="right"/>
              <w:ind w:right="1292"/>
              <w:spacing w:after="0"/>
              <w:rPr>
                <w:sz w:val="20"/>
                <w:szCs w:val="20"/>
                <w:color w:val="auto"/>
              </w:rPr>
            </w:pPr>
            <w:r>
              <w:rPr>
                <w:rFonts w:ascii="Arial" w:cs="Arial" w:eastAsia="Arial" w:hAnsi="Arial"/>
                <w:sz w:val="18"/>
                <w:szCs w:val="18"/>
                <w:color w:val="auto"/>
              </w:rPr>
              <w:t>$10,596</w:t>
            </w:r>
          </w:p>
        </w:tc>
        <w:tc>
          <w:tcPr>
            <w:tcW w:w="3980" w:type="dxa"/>
            <w:vAlign w:val="bottom"/>
            <w:gridSpan w:val="2"/>
          </w:tcPr>
          <w:p>
            <w:pPr>
              <w:jc w:val="right"/>
              <w:ind w:right="1412"/>
              <w:spacing w:after="0"/>
              <w:rPr>
                <w:sz w:val="20"/>
                <w:szCs w:val="20"/>
                <w:color w:val="auto"/>
              </w:rPr>
            </w:pPr>
            <w:r>
              <w:rPr>
                <w:rFonts w:ascii="Arial" w:cs="Arial" w:eastAsia="Arial" w:hAnsi="Arial"/>
                <w:sz w:val="18"/>
                <w:szCs w:val="18"/>
                <w:color w:val="auto"/>
              </w:rPr>
              <w:t>$10,283</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We consider all highly liquid short-term investments with original maturities of 90 days or less to be cash equivalents. The carrying value of our cash equivalents approximates fair value. The majority of payments due from credit card processors and banks for third-party credit card and debit card transactions process within one to five business days. All credit card and debit card transactions that process in less than seven days are classified as cash and cash equivalents. Amounts due from banks for these transactions classified as cash totaled $3,608 and $4,189 at December 31, 2006 and 2005,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perform ongoing credit evaluations of our customers and adjust credit limits based on payment history and customer creditworthiness. We maintain an allowance for estimated doubtful accounts based on our historical experience and the customer credit issues identified. We monitor collections regularly and adjust the allowance for doubtful accounts as necessary to recognize any changes in credit exposure.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Inventories—Merchandise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Inventories (all finished goods) consisting of software packages, computer systems, and peripheral equipment, are stated at cost (determined under the first-in, first-out method) or market, whichever is lower. Inventory quantities on hand are reviewed regularly, and allowances are maintained for obsolete, slow moving, and nonsalable inventory.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receive allowances from merchandise vendors for price protections, discounts, product rebates, and other programs. These allowances are treated as a reduction of the vendor’s prices and are recorded as adjustments to cost of sales or inventory, as applicable. Allowances for product rebates that require certain volumes of product sales or purchases are recorded only after the related milestones are met.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 and Allowances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of producing and distributing catalogs are charged to expense as incurred. Other advertising costs are expensed as incurred.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Vendors have the ability to place advertisements in the catalogs for which we receive advertising allowances. These vendor allowances, to the extent that they represent specific reimbursements of such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accordance with EITF 02-16.</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advertising allowances received from vendors were $32,614, $28,582, and $29,119 for the years ended December 31, 2006, 2005, and 2004, respectively. We classified $25,083, $16,725, and $7,498 of these allowances as offsets to cost of sales or inventory for the years ended December 31, 2006, 2005, and 2004,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is provided for both financial and income tax reporting purposes over the estimated useful lives of the assets ranging from three to seven years. Computer software, including licenses and internally developed software, is capitalized and amortized over lives ranging from three to five years, except that certain capitalized internally developed software is expensed for income tax reporting purposes. Depreciation is provided using the straight-line method for property. Leasehold improvements and facilities under capital leases are amortized over the terms of the related leases or their useful lives, whichever is shorter, whereas for income tax reporting purposes, they are amortized over the applicable tax lives. When events or circumstances indicate a potential impairment, we evaluate the carrying value of property and equipment based upon current and anticipated undiscounted cash flows, and recognize an impairment when it is probable that such estimated future cash flows will be less than the asset carrying value. We did not recognize any impairments in 2006, 2005, or 2004.</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intangible assets consist of (1) goodwill, which is not amortized; (2) indefinite lived intangibles, which consist of certain trademarks that are not subject to amortization; and (3) amortizing intangibles, which consist of customer lists and a licensing agreement, which are being amortized over their useful lives. All intangible assets are subject to impairment tests on a periodic basis.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Note 2 describes SFAS No. 142, “Goodwill and Other Intangible Assets” (“SFAS 142”), and the annual impairment methodology that we employ on January 1 of each year in calculating the recoverability of goodwill. This same impairment test will be performed at other times during the course of a year should an event occur which suggests that the recoverability of goodwill should be challenged. Non-amortizing intangibles are also subject to annual impairment tests.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Amortizing intangibles are evaluated for impairment using the methodology set forth in SFAS No. 144, “Accounting for the Impairment or Disposal of Long-lived Assets.” Recoverability of these assets is assessed only when events have occurred that may give rise to an impairment. When a potential impairment has been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identified, forecasted undiscounted net cash flows of the operations to which the asset relates are compared to the current carrying value of the long-lived assets present in that operation. If such cash flows are less than such carrying amounts, long-lived assets including such intangibles, are written down to their respective fair values.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income tax assets and liabilities are computed for differences between the financial statement and tax basis of assets and liabilities that will result in taxable or deductible amounts in the future, based on enacted tax laws and rates anticipated to be applicable to the periods in which the differences are expected to affect taxable income. Valuation allowances are established when necessary to reduce deferred tax assets to the amount that is more likely than not to be realized.</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Accruals for tax contingencies are recorded when certain positions taken in filed tax returns, although supported, are probable of being successfully challenged, resulting in additional tax liabilities. Accruals are not recorded for tax contingencies not probable of being successfully challenged. Such accruals are adjusted as necessary in light of changing facts and circumstances.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our customer base.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Ongoing credit evaluations of customers’ financial condition are performed by management on a regular basis.</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years ended December 31, 2006, 2005, and 2004, product purchases from Ingram Micro, Inc., our largest vendor, accounted for approximately 27%, 26%, and 27%, respectively, of our total product purchases. Purchases from Tech Data Corporation comprised 17%, 19%, and 14% of our total product purchases in 2006, 2005, and 2004, respectively. Purchases from Hewlett-Packard Company constituted 15%, 11%, and 11% of our total product purchases in 2006, 2005, and 2004, respectively. No other vendor supplied more than 10% of our total product purchases 2006, 2005, and 2004.</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single customer, other than the federal government, accounted for more than 3% of total net sales in 2006. Net sales to the federal government in 2006, 2005, and 2004 were $72,550, $68,924, and $64,900, or 4.4%, 4.8%, and 4.8% of total net sales,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Basic earnings per common share is computed using the weighted average number of shares outstanding. Diluted earnings per share is computed using the weighted average number of shares outstanding adjusted for the incremental shares attributed to options outstanding to purchase common stock, if dilutive.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7"/>
              </w:rPr>
              <w:t>13,776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4,447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8,304</w:t>
            </w:r>
          </w:p>
        </w:tc>
        <w:tc>
          <w:tcPr>
            <w:tcW w:w="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Denominator for basic earnings per share</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7"/>
              </w:rPr>
              <w:t>25,516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25,028</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employee stock options</w:t>
            </w:r>
          </w:p>
        </w:tc>
        <w:tc>
          <w:tcPr>
            <w:tcW w:w="3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r>
      <w:tr>
        <w:trPr>
          <w:trHeight w:val="223"/>
        </w:trPr>
        <w:tc>
          <w:tcPr>
            <w:tcW w:w="4280" w:type="dxa"/>
            <w:vAlign w:val="bottom"/>
          </w:tcPr>
          <w:p>
            <w:pPr>
              <w:ind w:left="440"/>
              <w:spacing w:after="0"/>
              <w:rPr>
                <w:sz w:val="20"/>
                <w:szCs w:val="20"/>
                <w:color w:val="auto"/>
              </w:rPr>
            </w:pPr>
            <w:r>
              <w:rPr>
                <w:rFonts w:ascii="Arial" w:cs="Arial" w:eastAsia="Arial" w:hAnsi="Arial"/>
                <w:sz w:val="18"/>
                <w:szCs w:val="18"/>
                <w:color w:val="auto"/>
              </w:rPr>
              <w:t>Denominator for diluted earnings per share</w:t>
            </w:r>
          </w:p>
        </w:tc>
        <w:tc>
          <w:tcPr>
            <w:tcW w:w="3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25,731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25,281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25,269</w:t>
            </w:r>
          </w:p>
        </w:tc>
      </w:tr>
      <w:tr>
        <w:trPr>
          <w:trHeight w:val="20"/>
        </w:trPr>
        <w:tc>
          <w:tcPr>
            <w:tcW w:w="4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Basic</w:t>
            </w: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3540" w:type="dxa"/>
            <w:vAlign w:val="bottom"/>
            <w:gridSpan w:val="2"/>
          </w:tcPr>
          <w:p>
            <w:pPr>
              <w:jc w:val="right"/>
              <w:ind w:right="2400"/>
              <w:spacing w:after="0"/>
              <w:rPr>
                <w:sz w:val="20"/>
                <w:szCs w:val="20"/>
                <w:color w:val="auto"/>
              </w:rPr>
            </w:pPr>
            <w:r>
              <w:rPr>
                <w:rFonts w:ascii="Arial" w:cs="Arial" w:eastAsia="Arial" w:hAnsi="Arial"/>
                <w:sz w:val="18"/>
                <w:szCs w:val="18"/>
                <w:color w:val="auto"/>
              </w:rPr>
              <w:t>F-11</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unexercised stock options and nonvested shares were excluded from the computation of diluted earnings per share for years ended December 31, 2006, 2005, and 2004 because the exercise prices of the options were generally greater than the average market price of the common shares during the respective periods: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4"/>
              </w:rPr>
              <w:t>1,361</w:t>
            </w:r>
          </w:p>
        </w:tc>
        <w:tc>
          <w:tcPr>
            <w:tcW w:w="1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1,830</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1,426</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January 1, 2006, we accounted for employee stock options using the intrinsic value method in accordance with APB 25. The intrinsic value method requires that compensation expense be measured by the difference between the fair value of our common stock and the strike price of the option as of a measurement date. Effective January 1, 2006, we adopted SFAS No. 123(R) using the modified prospective application method. SFAS No. 123(R) requires a company to measure the grant date fair value of equity awards given to employees and recognize that cost, adjusted for forfeitures, over the period that such services are performed in its consolidated financial statements (described in Note 10). SFAS 123(R) requires forfeitures to be estimated at the time of grant and revised, if necessary, in subsequent periods if actual forfeitures experienced differ from these estimates. Under the modified prospective application method, financial results for the prior periods have not been adjusted. We have used the criteria in SFAS No. 123(R) to calculate and establish the beginning balance of the additional paid-in capital pool related to the tax effects of employee share-based compensation.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announced on March 28, 2001, that our Board of Directors (the “Board”) authorized the spending of up to $15,000 to repurchase our common stock. Share purchases will be made in the open market from time to time depending on market conditions. As of December 31, 2006, we have repurchased an aggregate of 362,417 shares for $2,286. Our current bank line of credit, however, limits such repurchases to $10,000 without bank approval of higher amounts. We did not repurchase any shares of our common stock in the year ended December 31, 2006.</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issued 10 nonvested shares from treasury stock in the year ended December 31, 2006 and have reflected the net remaining balance of treasury stock on the consolidated balance sheet.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Financial Accounting Standards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June 2006 the Financial Accounting Standards Board (“FASB”) issued FASB Interpretation No. 48, “Accounting for Uncertainty in Income Taxes—an interpretation of FASB Statement No. 109” (“FIN 48”), which will become effective for our financial statements beginning January 1, 2007. The interpretation prescribes a minimum recognition threshold and a measurement attribute for the financial statement recognition and measurement of tax positions taken or expected to be taken in a tax return. FIN 48 also provides guidance on accounting for derecognition, classification, interest and penalties, accounting in interim periods, disclosure, and transition. FIN 48 is effective for fiscal years beginning after December 15, 2006. We currently estimate our adoption of FIN 48 will result in a cumulative effect adjustment that will decrease retained earnings as of January 1, 2007 by an amount not to exceed $0.5 million.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2006 the FASB ratified EITF Issue No. 06-3, “How Taxes Collected from Customers and Remitted to Governmental Authorities Should Be Presented in the Income Statement (That is, Gross versus Net Presentation)” (“EITF 06-3”). This Issue addresses the presentation in the income statement of taxes collected from customers and remitted to governmental authorities (including but not limited to sales, use, value added, and some excise taxes). EITF 06-3 is effective for reporting periods beginning after December 15, 2006. We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present our revenue net of sales taxes, and expect to continue to do so in the future. Accordingly, the adoption of EITF 06-3 will not have a significant impact on our financial statements.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2006 the SEC issued Staff Accounting Bulletin No. 108, “Considering the Effects of Prior Year Misstatements When Quantifying Misstatements in Current Year Financial Statements” (“SAB 108”). SAB 108 establishes an approach that requires quantification of financial statement misstatements based on the effects of the misstatement on the financial statements and related disclosures. SAB 108 is effective for annual financial statements for the year ended December 31, 2006. SAB 108 did not have a material impact on our results of operation or financial position.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and expands disclosures about fair value measurements. SFAS 157 is effective for financial statements issued for fiscal years beginning after November 15, 2007, and interim periods within those fiscal years. We do not expect SFAS 157 to have a material impact on our results of operation or financial position.</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Including an amendment of SFAS 115” (“SFAS 159”) which permits companies to choose to measure many financial instruments and certain other items at fair value. SFAS 159 is effective for fiscal years beginning after November 15, 2007 and interim periods within those fiscal years. We do not expect SFAS 159 to have a material impact on our results of operation or financial position.</w:t>
      </w:r>
    </w:p>
    <w:p>
      <w:pPr>
        <w:spacing w:after="0" w:line="25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apply the provisions of SFAS 142 which required, among other things, the discontinuance of the amortization of goodwill and indefinite lived intangibles. SFAS 142 also includes provisions for the assessment of the value and useful lives of existing recognized intangibles (including goodwill), reclassification of certain intangibles both in and out of previously reported goodwill, and the identification of reporting units for purposes of assessing potential future impairments of goodwill and other intangibles. We perform the assessment annually on January 1. We completed the impairment review required by SFAS 142 in January 2007 and 2006, and determined that our goodwill and intangible assets were not impaired.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not subject to amortization are as follows:</w:t>
      </w:r>
    </w:p>
    <w:p>
      <w:pPr>
        <w:spacing w:after="0" w:line="20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0</wp:posOffset>
            </wp:positionV>
            <wp:extent cx="10718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ind w:left="9440"/>
        <w:spacing w:after="0"/>
        <w:tabs>
          <w:tab w:leader="none" w:pos="1048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Goodwill</w:t>
            </w:r>
          </w:p>
        </w:tc>
        <w:tc>
          <w:tcPr>
            <w:tcW w:w="2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$ 56,867</w:t>
            </w: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$ 56,820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Trademarks</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6940" w:type="dxa"/>
            <w:vAlign w:val="bottom"/>
            <w:gridSpan w:val="2"/>
          </w:tcPr>
          <w:p>
            <w:pPr>
              <w:spacing w:after="0"/>
              <w:rPr>
                <w:sz w:val="20"/>
                <w:szCs w:val="20"/>
                <w:color w:val="auto"/>
              </w:rPr>
            </w:pPr>
            <w:r>
              <w:rPr>
                <w:rFonts w:ascii="Arial" w:cs="Arial" w:eastAsia="Arial" w:hAnsi="Arial"/>
                <w:sz w:val="18"/>
                <w:szCs w:val="18"/>
                <w:color w:val="auto"/>
              </w:rPr>
              <w:t>A rollforward of goodwill is as follows:</w:t>
            </w: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2005</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$ 51,687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Amherst Technologies acquisition, October 21, 2005</w:t>
            </w:r>
          </w:p>
        </w:tc>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Adjustment to property and equipment, net</w:t>
            </w:r>
          </w:p>
        </w:tc>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Intangible assets subject to amortization at December 31, 2006 consisted of customer lists of $2,846 and a licensing agreement of $327 (net of accumulated amortization of $2,374 and $148, respectively). Intangible assets subject to amortization at December 31, 2005 consisted of customer lists of $3,815 and a licensing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agreement of $422 (net of accumulated amortization of $1,405 and $53, respectively). Amortization expense related to intangible assets is recorded on a straight-line basis. For the years ended December 31, 2006, 2005, and 2004, we recorded amortization expense of $1,064, $489, and $353,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amortization expense relating to customer lists and licensing agreements for each of the five succeeding years and thereafter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Ending December 31,</w:t>
            </w:r>
          </w:p>
        </w:tc>
        <w:tc>
          <w:tcPr>
            <w:tcW w:w="86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2006</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1,071</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2008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1,071</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2010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2012 and thereafter</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CERTAIN ASSETS OF AMHERST TECHNOLOGIES, LLC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October 21, 2005, we completed the acquisition of certain assets of Amherst Technologies, LLC and certain other parties (collectively, “Amherst”) from IBM Credit, LLC (“IBM”) for $7,751 in cash, and incurred $28 in related transaction costs. Prior to this transaction, IBM was granted a security interest by Amherst covering the acquired assets. The assets we acquired include customer relationships and related intangibles; intellectual property; and miscellaneous furniture, fixtures, and equipment. The acquired assets were combined with our Large Account segment to expand its reach into the medium-to-large corporate customer segment and enhance its sales efforts.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transaction was accounted for by the purchase method, and accordingly, any sales generated by former Amherst sales representatives are included in our consolidated financial statements only for periods after October 21, 2005.</w:t>
      </w:r>
    </w:p>
    <w:p>
      <w:pPr>
        <w:spacing w:after="0" w:line="132"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table summarizes the estimated fair values of the assets acquired at the date of acquisition. We did not assume any liabilities in this transaction. The fair values of certain intangible assets were determined by management, utilizing in part a third party valuation.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At October 21, 2005</w:t>
            </w:r>
          </w:p>
        </w:tc>
        <w:tc>
          <w:tcPr>
            <w:tcW w:w="500" w:type="dxa"/>
            <w:vAlign w:val="bottom"/>
          </w:tcPr>
          <w:p>
            <w:pPr>
              <w:spacing w:after="0"/>
              <w:rPr>
                <w:sz w:val="18"/>
                <w:szCs w:val="18"/>
                <w:color w:val="auto"/>
              </w:rPr>
            </w:pPr>
          </w:p>
        </w:tc>
      </w:tr>
      <w:tr>
        <w:trPr>
          <w:trHeight w:val="21"/>
        </w:trPr>
        <w:tc>
          <w:tcPr>
            <w:tcW w:w="144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Property and equipment and other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w:t>
            </w: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Purchase price of selected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7,779</w:t>
            </w:r>
          </w:p>
        </w:tc>
      </w:tr>
      <w:tr>
        <w:trPr>
          <w:trHeight w:val="20"/>
        </w:trPr>
        <w:tc>
          <w:tcPr>
            <w:tcW w:w="14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$2,400 of acquired intangible assets represents customer relationships (four-year weighted-average useful life). In 2006, we recorded a $47 adjustment to reduce property and equipment and increase goodwill. The adjusted goodwill balance of $5,180 was assigned to our Large Account segment. All of this goodwill is expected to be deductible for income tax purposes as a result of this transaction.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159"/>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$ 168,436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160,058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Advertising consideration</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3,421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Vendor returns, rebates, and other</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Due from employees</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176,563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168,441</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allowances for:</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Sales returns</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2,228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Doubtful accounts</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4,113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$ 170,222</w:t>
            </w:r>
          </w:p>
        </w:tc>
        <w:tc>
          <w:tcPr>
            <w:tcW w:w="2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162,525</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86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86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consisted of the following:</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equipment under capital lease</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8,447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6,417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28,957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Computer software, including licenses and internally-developed software</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33,640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36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80" w:type="dxa"/>
            <w:vAlign w:val="bottom"/>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77,676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73,407</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58,134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4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$ 19,542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17,700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recorded depreciation and amortization expense, including capital lease amortization, of $5,985, $6,708, and $6,774 for the years ended December 31, 2006, 2005, and 2004,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2006 we recorded a charge of $1,500 related to our settlement with the Department of Justice (“DOJ”) on our 2003 General Services Administration (“GSA”) audit matter. We also recorded a charge of $520 related to management restructuring costs, classified as workforce reductions in the table below, and a charge of $371 related to the temporary retention of certain Amherst employees and facilities subsequent to our Amherst Transaction.</w:t>
      </w:r>
    </w:p>
    <w:p>
      <w:pPr>
        <w:spacing w:after="0" w:line="107"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In 2005 we recorded a charge of $1,056 related to the temporary retention of certain Amherst employees and facilities subsequent to our Amherst Transaction. We also recorded in 2005 charges of $1,071 related to management restructuring costs, classified as workforce reductions in the table below.</w:t>
      </w:r>
    </w:p>
    <w:p>
      <w:pPr>
        <w:spacing w:after="0" w:line="6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2004 we recorded a charge of $3,559 related to our review of the GSA contract cancellation and costs related to securing a new schedule. We also recorded in 2004 a charge of $860 related to workforce reductions, a charge of $512 for professional fees incurred relating to a review of certain calendar year 2000 and 2003 transactions, a charge of $101 related to the remaining uninsured portion of a 2003 employee defalcation, and a charge of $200 related to a proposed litigation settlement involving alleged patent infringement.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rollforward of liabilities related to special charges for the three years ended December 31, 2006 is shown below. Certain amounts in the table below relating to the GSA matter were recorded in prior periods as a component of cost of sales. The beginning balance as of January 1, 2004 for the GSA matter includes $800 of such costs. The $250 charge reported for the GSA matter in 2005 was also recorded as a component of cost of sales. We concluded a settlement of this matter with the DOJ in the fourth quarter of 2006.</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Amherst</w:t>
            </w:r>
          </w:p>
        </w:tc>
        <w:tc>
          <w:tcPr>
            <w:tcW w:w="10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GSA</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Reduction</w:t>
            </w:r>
          </w:p>
        </w:tc>
        <w:tc>
          <w:tcPr>
            <w:tcW w:w="460" w:type="dxa"/>
            <w:vAlign w:val="bottom"/>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Transaction</w:t>
            </w:r>
          </w:p>
        </w:tc>
        <w:tc>
          <w:tcPr>
            <w:tcW w:w="46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Matter</w:t>
            </w:r>
          </w:p>
        </w:tc>
        <w:tc>
          <w:tcPr>
            <w:tcW w:w="480" w:type="dxa"/>
            <w:vAlign w:val="bottom"/>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Defalcation</w:t>
            </w:r>
          </w:p>
        </w:tc>
        <w:tc>
          <w:tcPr>
            <w:tcW w:w="4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3,559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101</w:t>
            </w:r>
          </w:p>
        </w:tc>
        <w:tc>
          <w:tcPr>
            <w:tcW w:w="420" w:type="dxa"/>
            <w:vAlign w:val="bottom"/>
          </w:tcPr>
          <w:p>
            <w:pPr>
              <w:jc w:val="right"/>
              <w:spacing w:after="0"/>
              <w:rPr>
                <w:sz w:val="20"/>
                <w:szCs w:val="20"/>
                <w:color w:val="auto"/>
              </w:rPr>
            </w:pPr>
            <w:r>
              <w:rPr>
                <w:rFonts w:ascii="Arial" w:cs="Arial" w:eastAsia="Arial" w:hAnsi="Arial"/>
                <w:sz w:val="18"/>
                <w:szCs w:val="18"/>
                <w:color w:val="auto"/>
              </w:rPr>
              <w:t>712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(3,072)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(4,394)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1,524</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1,988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(2,302)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Balance, December 31, 2005</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132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1,050</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2,048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(1,201)</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(2,550)</w:t>
            </w:r>
          </w:p>
        </w:tc>
        <w:tc>
          <w:tcPr>
            <w:tcW w:w="200" w:type="dxa"/>
            <w:vAlign w:val="bottom"/>
          </w:tcPr>
          <w:p>
            <w:pPr>
              <w:spacing w:after="0"/>
              <w:rPr>
                <w:sz w:val="19"/>
                <w:szCs w:val="19"/>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(4,254)</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at December 31, 2006 and 2005 are included in accrued expenses and other liabilities on the balance sheet.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00"/>
          </w:cols>
          <w:pgMar w:left="24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BANK BORROWINGS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2005 we secured from our current bank an increased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(8.25% at December 31, 2006). The facility also gives us the option of obtaining Eurodollar Rate Loans in multiples of $1,000 for durations of one, two, three, four, or six months.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The maximum allowable funded debt ratio under the agreement is 2.0 to 1.0; our actual funded debt ratio at December 31, 2006 was 0.1 to 1.0. Funded debt ratio is the ratio of average outstanding advances under the facility to EBITDA (Earnings Before Interest Expense, Taxes, Depreciation, and Amortization). The entire $50,000 facility was available for borrowing at December 31, 2006.</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No borrowings were outstanding under this credit facility at December 31, 2006. Borrowings of $19,975 were outstanding under this credit facility at December 31, 2005. A total of $17,000 of the December 31, 2005 outstanding borrowings consisted of three-month and one-month Eurodollar Rate Loans of $10,000 at 5.11% interest and $7,000 at 5.36% interest, respectively. The credit facility matures on June 29, 2008, at which time amounts outstanding become due.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with respect to short-term borrowings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1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5"/>
              </w:rPr>
              <w:t>Weighted Average</w:t>
            </w:r>
          </w:p>
        </w:tc>
        <w:tc>
          <w:tcPr>
            <w:tcW w:w="16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Maximum Amount</w:t>
            </w:r>
          </w:p>
        </w:tc>
        <w:tc>
          <w:tcPr>
            <w:tcW w:w="5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Average Amount</w:t>
            </w:r>
          </w:p>
        </w:tc>
      </w:tr>
      <w:tr>
        <w:trPr>
          <w:trHeight w:val="175"/>
        </w:trPr>
        <w:tc>
          <w:tcPr>
            <w:tcW w:w="5200" w:type="dxa"/>
            <w:vAlign w:val="bottom"/>
          </w:tcPr>
          <w:p>
            <w:pPr>
              <w:spacing w:after="0"/>
              <w:rPr>
                <w:sz w:val="15"/>
                <w:szCs w:val="15"/>
                <w:color w:val="auto"/>
              </w:rPr>
            </w:pPr>
          </w:p>
        </w:tc>
        <w:tc>
          <w:tcPr>
            <w:tcW w:w="21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Interest Rate</w:t>
            </w: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Outstanding</w:t>
            </w:r>
          </w:p>
        </w:tc>
      </w:tr>
      <w:tr>
        <w:trPr>
          <w:trHeight w:val="210"/>
        </w:trPr>
        <w:tc>
          <w:tcPr>
            <w:tcW w:w="5200" w:type="dxa"/>
            <w:vAlign w:val="bottom"/>
            <w:shd w:val="clear" w:color="auto" w:fill="CCEEFF"/>
          </w:tcPr>
          <w:p>
            <w:pPr>
              <w:jc w:val="right"/>
              <w:ind w:right="3292"/>
              <w:spacing w:after="0"/>
              <w:rPr>
                <w:sz w:val="20"/>
                <w:szCs w:val="20"/>
                <w:color w:val="auto"/>
              </w:rPr>
            </w:pPr>
            <w:r>
              <w:rPr>
                <w:rFonts w:ascii="Arial" w:cs="Arial" w:eastAsia="Arial" w:hAnsi="Arial"/>
                <w:sz w:val="18"/>
                <w:szCs w:val="18"/>
                <w:color w:val="auto"/>
                <w:w w:val="85"/>
              </w:rPr>
              <w:t>Year ended December 31,</w:t>
            </w:r>
          </w:p>
        </w:tc>
        <w:tc>
          <w:tcPr>
            <w:tcW w:w="1060" w:type="dxa"/>
            <w:vAlign w:val="bottom"/>
            <w:tcBorders>
              <w:top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5200" w:type="dxa"/>
            <w:vAlign w:val="bottom"/>
          </w:tcPr>
          <w:p>
            <w:pPr>
              <w:jc w:val="right"/>
              <w:ind w:right="3892"/>
              <w:spacing w:after="0"/>
              <w:rPr>
                <w:sz w:val="20"/>
                <w:szCs w:val="20"/>
                <w:color w:val="auto"/>
              </w:rPr>
            </w:pPr>
            <w:r>
              <w:rPr>
                <w:rFonts w:ascii="Arial" w:cs="Arial" w:eastAsia="Arial" w:hAnsi="Arial"/>
                <w:sz w:val="18"/>
                <w:szCs w:val="18"/>
                <w:color w:val="auto"/>
              </w:rPr>
              <w:t>2006</w:t>
            </w:r>
          </w:p>
        </w:tc>
        <w:tc>
          <w:tcPr>
            <w:tcW w:w="2160" w:type="dxa"/>
            <w:vAlign w:val="bottom"/>
            <w:gridSpan w:val="2"/>
          </w:tcPr>
          <w:p>
            <w:pPr>
              <w:ind w:left="84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41,648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13,550</w:t>
            </w:r>
          </w:p>
        </w:tc>
      </w:tr>
      <w:tr>
        <w:trPr>
          <w:trHeight w:val="216"/>
        </w:trPr>
        <w:tc>
          <w:tcPr>
            <w:tcW w:w="5200" w:type="dxa"/>
            <w:vAlign w:val="bottom"/>
            <w:shd w:val="clear" w:color="auto" w:fill="CCEEFF"/>
          </w:tcPr>
          <w:p>
            <w:pPr>
              <w:jc w:val="right"/>
              <w:ind w:right="3892"/>
              <w:spacing w:after="0"/>
              <w:rPr>
                <w:sz w:val="20"/>
                <w:szCs w:val="20"/>
                <w:color w:val="auto"/>
              </w:rPr>
            </w:pPr>
            <w:r>
              <w:rPr>
                <w:rFonts w:ascii="Arial" w:cs="Arial" w:eastAsia="Arial" w:hAnsi="Arial"/>
                <w:sz w:val="18"/>
                <w:szCs w:val="18"/>
                <w:color w:val="auto"/>
              </w:rPr>
              <w:t>2005</w:t>
            </w:r>
          </w:p>
        </w:tc>
        <w:tc>
          <w:tcPr>
            <w:tcW w:w="2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34,053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r>
      <w:tr>
        <w:trPr>
          <w:trHeight w:val="222"/>
        </w:trPr>
        <w:tc>
          <w:tcPr>
            <w:tcW w:w="5200" w:type="dxa"/>
            <w:vAlign w:val="bottom"/>
          </w:tcPr>
          <w:p>
            <w:pPr>
              <w:jc w:val="right"/>
              <w:ind w:right="3892"/>
              <w:spacing w:after="0"/>
              <w:rPr>
                <w:sz w:val="20"/>
                <w:szCs w:val="20"/>
                <w:color w:val="auto"/>
              </w:rPr>
            </w:pPr>
            <w:r>
              <w:rPr>
                <w:rFonts w:ascii="Arial" w:cs="Arial" w:eastAsia="Arial" w:hAnsi="Arial"/>
                <w:sz w:val="18"/>
                <w:szCs w:val="18"/>
                <w:color w:val="auto"/>
              </w:rPr>
              <w:t>2004</w:t>
            </w:r>
          </w:p>
        </w:tc>
        <w:tc>
          <w:tcPr>
            <w:tcW w:w="2160" w:type="dxa"/>
            <w:vAlign w:val="bottom"/>
            <w:gridSpan w:val="2"/>
          </w:tcPr>
          <w:p>
            <w:pPr>
              <w:ind w:left="8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22,441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9,447</w:t>
            </w:r>
          </w:p>
        </w:tc>
      </w:tr>
    </w:tbl>
    <w:p>
      <w:pPr>
        <w:spacing w:after="0" w:line="26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TRADE CREDIT AGREEMENTS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December 31, 2006 and 2005, we had security agreements with two financial institutions to facilitate the purchase of inventory from various suppliers under certain terms and conditions. The agreements allow a collateralized position in inventory financed by the financial institutions up to an aggregated amount of $45,000. The cost of such financing under these agreements is borne by the suppliers by discounting their invoices to the financial institutions as an incentive for us to purchase their products. We do not pay any interest or discount fees on such inventory financing. At December 31, 2006 and 2005, accounts payable included $17,421 and $12,316, respectively, owed to these financial institutions.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November 1997 we entered into a fifteen-year lease for our corporate headquarters with an affiliated company related to us through common ownership.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occupied the facility upon completion of construction in late November 1998, and the lease payments commenced in December 1998.</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Annual lease payments under the terms of the lease, as amended, are approximately $911 for the first five years of the lease, increasing to $1,025 for years six through ten and $1,139 for years eleven through fifteen. The lease requires us to pay our proportionate share of real estate taxes and common area maintenance charges as additional rent and also to pay insurance premiums for the leased property. We have the option to renew the lease for two additional terms of five years each. The lease has been recorded as a capital lease.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2004 we entered into a sale-leaseback transaction with a three-year lease for certain computer equipment. The cost of the leased equipment included in furniture and equipment was approximately $1,232. Annual lease payments under the terms of the lease are approximately $442 for each of the three years. At the termination of the lease we have the option of either continuing the lease at the current rate, returning the equipment, or purchasing the equipment at fair market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book value of capital lease assets was $3,712 and $4,655 as of December 31, 2006 and 2005,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aggregate minimum annual lease payments under these leases at December 31, 2006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2008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2010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2012 and thereafter</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(excluding taxes, maintenance, and insurance)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current maturities (excluding interest)</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5060"/>
              <w:spacing w:after="0"/>
              <w:rPr>
                <w:sz w:val="20"/>
                <w:szCs w:val="20"/>
                <w:color w:val="auto"/>
              </w:rPr>
            </w:pPr>
            <w:r>
              <w:rPr>
                <w:rFonts w:ascii="Arial" w:cs="Arial" w:eastAsia="Arial" w:hAnsi="Arial"/>
                <w:sz w:val="18"/>
                <w:szCs w:val="18"/>
                <w:color w:val="auto"/>
              </w:rPr>
              <w:t>F-18</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SHARE-BASED COMPENSATION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Amended and Restated Certificate of Incorporation (the “Restated Certificate”) authorized the issuance of up to 10,000 shares of preferred stock, $.01 par value per share (the “Preferred Stock”). Under the terms of the Restated Certificate, the Board is authorized, subject to any limitations prescribed by law, without stockholder approval, to issue by a unanimous vote such shares of Preferred Stock in one or more series. Each such series of Preferred Stock shall have such rights, preferences, privileges, and restrictions, including voting rights, dividend rights, redemption privileges, and liquidation preferences, as shall be determined by the Board. There were no preferred shares outstanding at 2006 and 2005.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and Non-Statutory Stock Option Plans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1993 the Board adopted and the stockholders approved the 1993 Incentive and Non-Statutory Stock Option Plan (the “1993 Plan”). Under the terms of the 1993 Plan, we were authorized, for a ten-year period, to make awards of nonvested shares and to grant incentive and non-statutory options to our employees, consultants, and advisors to purchase shares of our stock. Options granted under the 1993 Plan vested over varying periods of up to four years and had contractual lives up to ten years. We did not issue any stock options under the 1993 Plan after 1998. Outstanding grants under the 1993 Plan totaled 22 shares as of December 31, 2006.</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November 1997 the Board adopted and the stockholders approved the 1997 Stock Incentive Plan (the “1997 Plan”), which became effective on the closing of our initial public offering in 1998. Under the terms of the 1997 Plan, we are authorized, for a ten-year period, to grant incentive stock options, non-statutory stock options, stock appreciation rights, performance shares, and awards of nonvested and vested stock. A total of 3,600 shares have been reserved for issuance under this Plan and 772 shares remain eligible for issuance as of December 31, 2006. The 1997 Plan will expire in November 2007. Our Board expects to present a replacement Stock Incentive Plan for shareholder approval at our 2007 Annual Meeting of Stockholders.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Nonvested Shares</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2006 our Board granted restricted stock awards under the 1997 Plan to certain of our directors. The restrictions on these awards lift ratably over four years. Recipients of nonvested shares possess the rights of shareholders, including voting rights and the right to receive dividends. We issued these nonvested shares from treasury stock. If the requisite service period is not completed, these shares will return to treasury.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1997 Employee Stock Purchase Plan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November 1997 the Board adopted and the stockholders approved the 1997 Employee Stock Purchase Plan (the “Purchase Plan”), which became effective on February 1, 1999. The Purchase Plan authorizes the issuance of common stock to participating employees. On December 30, 2005, the Board modified the Purchase Plan after reviewing the impact of SFAS 123(R) on compensation expense related to the discounted purchase by employees of common stock. Previously under the Purchase Plan, employees were permitted to purchase company stock at a price of 85% of the lesser of the fair market value per share of common stock on either the first or last business day of the six-month offering period. Effective January 1, 2006, our employees were eligible to purchase company stock at 95% of the purchase price as of the last business day of the six-month period. This modification allowed us to avoid recognition of stock compensation expense associated with the purchase of common stock under our Purchase Plan. An aggregate of 838 shares of common stock has been reserved for issuance under the Purchase Plan, of which 675 shares were purchased.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Share-Based Compensation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January 1, 2006, we adopted SFAS 123(R) which requires a company to measure the grant date fair value of equity awards given to employees in exchange for services and recognize that cost over the period that such services are performed. This Standard is a revision of SFAS 123 and supersedes APB 25 and its related interpretations. We adopted the provisions of SFAS 123(R) using the modified prospective application method. Under this method, compensation expense is recognized on all share-based awards granted prior to, but not yet vested as of adoption, based on the grant date fair value estimated in accordance with the original provisions of SFAS 123. We recognize the cost of share-based awards on a straight-line basis over the award’s requisite service period. For the stock options granted prior to, but not yet vested as of adoption, the expense continues to be recognized ratably over the vesting period of the award. Share-based compensation costs, which are recorded in SG&amp;A expenses, totaled $418 ($363 net of taxes) for the year ended December 31, 2006. We did not grant any stock options in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adopting SFAS 123(R), our income before provision for income taxes and net income for the year ended December 31, 2006 are lower by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$413 and $358, respectively, than if we had continued to account for share-based compensation under APB 25. The effect of adopting SFAS 123(R) on both basic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diluted earnings per share for the year ended December 31, 2006 was $.01 per share.</w:t>
      </w:r>
    </w:p>
    <w:p>
      <w:pPr>
        <w:spacing w:after="0" w:line="16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Prior to January 1, 2006, we applied the intrinsic value method in APB 25 and related interpretations in accounting for our stock plans, SFAS 123, and SFAS 148, “Accounting for Stock-Based Compensation-Transitional and Disclosure-An Amendment of FASB Statement No. 123,” for disclosure purposes. In our consolidated statements of income for the years ended December 31, 2005 and 2004, $34 and $0 of compensation expense was recognized for stock option grants and the Employee Stock Purchase Plan. The 2005 expense resulted from the acceleration of vesting of certain options as discussed below. The following table illustrates the effects on net income and earnings per share had compensation expense for stock option grants issued been determined under the fair value method of SFAS 123 for the years ended December 31, 2005 and 2004: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$ 4,447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$ 8,304</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Compensation expense, net of taxes, included in net income as reported</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net of taxes, under SFAS 123</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income, under SFAS 123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2,156</w:t>
            </w:r>
          </w:p>
        </w:tc>
        <w:tc>
          <w:tcPr>
            <w:tcW w:w="540" w:type="dxa"/>
            <w:vAlign w:val="bottom"/>
          </w:tcPr>
          <w:p>
            <w:pPr>
              <w:jc w:val="right"/>
              <w:spacing w:after="0"/>
              <w:rPr>
                <w:sz w:val="20"/>
                <w:szCs w:val="20"/>
                <w:color w:val="auto"/>
              </w:rPr>
            </w:pPr>
            <w:r>
              <w:rPr>
                <w:rFonts w:ascii="Arial" w:cs="Arial" w:eastAsia="Arial" w:hAnsi="Arial"/>
                <w:sz w:val="18"/>
                <w:szCs w:val="18"/>
                <w:color w:val="auto"/>
              </w:rPr>
              <w:t>7,194</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as reported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Basic net income per share, under SFAS 123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as reported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Diluted net income per share, under SFAS 123</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.09</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2005 pro forma compensation expense, approximately $1,211, net of taxes, resulted from the vesting acceleration discussed below.</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used the Black-Scholes-Merton option valuation model to assess the grant date fair value of each award and elected to value each grant as a single award and to recognize related cost on a straight-line method. The application of this model requires certain key input assumptions, including expected volatility, option term, and risk-free interest rates. Expected volatility is based on the historical volatility of our common stock. The expected term of options is estimated using the historical exercise behavior of employees and directors. The risk-free interest rate for periods within the contractual life of the option is based on the U.S. Treasury yield curve corresponding to the stock option’s average life. The key weighted-average assumptions we used to apply this pricing model were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Volatility</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81.0%</w:t>
            </w: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 years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c>
          <w:tcPr>
            <w:tcW w:w="20" w:type="dxa"/>
            <w:vAlign w:val="bottom"/>
          </w:tcPr>
          <w:p>
            <w:pPr>
              <w:spacing w:after="0"/>
              <w:rPr>
                <w:sz w:val="18"/>
                <w:szCs w:val="18"/>
                <w:color w:val="auto"/>
              </w:rPr>
            </w:pP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Dividend yield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Financial statement amounts for the years ended December 31, 2005 and 2004 have not been restated to reflect the fair value method of expensing share-based compensation.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Prior to the adoption of SFAS 123(R), we presented all tax benefits of deductions resulting from the exercise of stock options as operating cash flows in the statement of cash flows. Effective January 1, 2006, and in accordance with SFAS 123(R), we changed our cash flow presentation whereby the cash flows resulting from the tax benefits arising from tax deductions in excess of the compensation expense recognized for share-based awards (“excess tax benefits”) are now classified as financing cash flows. In the consolidated statement of cash flows for the year ended December 31, 2006, the total excess tax benefit of $240 included consideration of prior year pro forma compensation expense. This excess tax benefit would have been included in cash flows from operating activities prior to the adoption of SFAS 123(R).</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provisions of SFAS 123(R), we are required to estimate and revise, if necessary, the number of share-based awards that will be forfeited. If actual forfeitures vary from estimates, we will recognize the difference in compensation expense in the period the respective options or nonvested shares were scheduled to vest.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noted above, on December 30, 2005, our Board approved the acceleration of the vesting of the following outstanding options: (1) all unvested options from grants of 20 shares or more held by our officers and any officers of our subsidiaries that would otherwise vest in 2006, (2) all “market condition” options (those options for which vesting depends upon reaching certain stock prices), held by officers, and (3) all unvested options from grants of less than 20 shares, held by directors, officers, and other employees. Accordingly, as of the date of adoption of SFAS 123(R), all outstanding options were fully vested except options to purchase 470 shares of common stock. The estimated future compensation expense for those options that would have been recorded had such vesting not been accelerated, based on adopting SFAS 123(R) on January 1, 2006, was approximately $1,400.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share-based compensation recorded as expense: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34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440" w:type="dxa"/>
            <w:vAlign w:val="bottom"/>
            <w:gridSpan w:val="2"/>
            <w:shd w:val="clear" w:color="auto" w:fill="CCEEFF"/>
          </w:tcPr>
          <w:p>
            <w:pPr>
              <w:ind w:left="5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60" w:type="dxa"/>
            <w:vAlign w:val="bottom"/>
            <w:shd w:val="clear" w:color="auto" w:fill="CCEEFF"/>
          </w:tcPr>
          <w:p>
            <w:pPr>
              <w:spacing w:after="0"/>
              <w:rPr>
                <w:sz w:val="18"/>
                <w:szCs w:val="18"/>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Nonvested shares</w:t>
            </w:r>
          </w:p>
        </w:tc>
        <w:tc>
          <w:tcPr>
            <w:tcW w:w="5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Pre-tax compensation expense</w:t>
            </w:r>
          </w:p>
        </w:tc>
        <w:tc>
          <w:tcPr>
            <w:tcW w:w="5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Tax benefit</w:t>
            </w: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4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After-tax compensation expense</w:t>
            </w:r>
          </w:p>
        </w:tc>
        <w:tc>
          <w:tcPr>
            <w:tcW w:w="5440" w:type="dxa"/>
            <w:vAlign w:val="bottom"/>
            <w:gridSpan w:val="2"/>
            <w:shd w:val="clear" w:color="auto" w:fill="CCEEFF"/>
          </w:tcPr>
          <w:p>
            <w:pPr>
              <w:ind w:left="5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460" w:type="dxa"/>
            <w:vAlign w:val="bottom"/>
          </w:tcPr>
          <w:p>
            <w:pPr>
              <w:spacing w:after="0"/>
              <w:rPr>
                <w:sz w:val="24"/>
                <w:szCs w:val="24"/>
                <w:color w:val="auto"/>
              </w:rPr>
            </w:pPr>
          </w:p>
        </w:tc>
        <w:tc>
          <w:tcPr>
            <w:tcW w:w="5440" w:type="dxa"/>
            <w:vAlign w:val="bottom"/>
            <w:gridSpan w:val="2"/>
          </w:tcPr>
          <w:p>
            <w:pPr>
              <w:ind w:left="1160"/>
              <w:spacing w:after="0"/>
              <w:rPr>
                <w:sz w:val="20"/>
                <w:szCs w:val="20"/>
                <w:color w:val="auto"/>
              </w:rPr>
            </w:pPr>
            <w:r>
              <w:rPr>
                <w:rFonts w:ascii="Arial" w:cs="Arial" w:eastAsia="Arial" w:hAnsi="Arial"/>
                <w:sz w:val="18"/>
                <w:szCs w:val="18"/>
                <w:color w:val="auto"/>
              </w:rPr>
              <w:t>F-21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stock compensation expense effect on both basic and diluted earnings per share for the year ended December 31, 2006 was $0.01 per share. There was no material affect on net income or earnings per share in 2005 and 2004. We recorded a deferred tax asset of $75 and $20 at December 31, 2006 and 2005, respectively, related to the benefit of non-qualified options.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historically settled stock option exercises with newly issued common shares and expect to continue to do so in the future. The intrinsic value of options exercised in the years ended December 31, 2005 and 2004 was $272 and $257, respectively. The following table summarizes our stock option exercises in the year ended December 31, 2006:</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proceeds from exercised options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$9,740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exercised options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260" w:type="dxa"/>
            <w:vAlign w:val="bottom"/>
            <w:gridSpan w:val="8"/>
          </w:tcPr>
          <w:p>
            <w:pPr>
              <w:spacing w:after="0"/>
              <w:rPr>
                <w:sz w:val="20"/>
                <w:szCs w:val="20"/>
                <w:color w:val="auto"/>
              </w:rPr>
            </w:pPr>
            <w:r>
              <w:rPr>
                <w:rFonts w:ascii="Arial" w:cs="Arial" w:eastAsia="Arial" w:hAnsi="Arial"/>
                <w:sz w:val="18"/>
                <w:szCs w:val="18"/>
                <w:color w:val="auto"/>
                <w:w w:val="91"/>
              </w:rPr>
              <w:t>The following table sets forth our stock option activity for the three years ended December 31, 2006:</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58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5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2,727</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$ 10.78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   4.55</w:t>
            </w: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vMerge w:val="continue"/>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260</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7.85</w:t>
            </w:r>
          </w:p>
        </w:tc>
        <w:tc>
          <w:tcPr>
            <w:tcW w:w="7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Forfeited or expired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(594)</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9.59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2004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2,347</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2"/>
            <w:vMerge w:val="restart"/>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vMerge w:val="continue"/>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635</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6.46</w:t>
            </w:r>
          </w:p>
        </w:tc>
        <w:tc>
          <w:tcPr>
            <w:tcW w:w="7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Forfeited or expired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2,542</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(1,210)</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Forfeited or expired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2006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1,239</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$ 11.61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Vested and expected to vest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3"/>
            <w:vMerge w:val="continue"/>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1,165</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$ 11.93</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December 31, 2006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$ 14.07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Total exercisable options and their weighted average exercise price at December 31, 2005 and 2004 were 2,072 shares at $10.42 and 1,342 shares at $13.65, respectively. Unearned compensation cost related to the unvested portion of outstanding stock options as of December 31, 2006 was $1,371 and is expected to be recognized over a weighted-average period of approximately 2.1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awarded nonvested shares in the year ended December 31, 2006 to certain of our directors under our 1997 Plan. We are recognizing expense associated with these stock awards ratably over the four-year vesting period. The fair value of nonvested shares is determined by the market value at the date of grant. Recipients of nonvested shares possess the rights of shareholders, including voting rights and the right to receive dividends. The following table summarizes the status of our nonvested shares as of December 31, 2006:</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75"/>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Forfeited</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Unearned compensation costs related to the nonvested portion of outstanding nonvested shares as of December 31, 2006 was $94 and is expected to be recognized over a weighted-average period of approximately 3.8 years.</w:t>
      </w:r>
    </w:p>
    <w:p>
      <w:pPr>
        <w:spacing w:after="0" w:line="24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Paid or currently payable:</w:t>
            </w:r>
          </w:p>
        </w:tc>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2006</w:t>
            </w:r>
          </w:p>
        </w:tc>
        <w:tc>
          <w:tcPr>
            <w:tcW w:w="8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auto"/>
            </w:tcBorders>
            <w:vMerge w:val="continue"/>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5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$5,765</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State</w:t>
            </w:r>
          </w:p>
        </w:tc>
        <w:tc>
          <w:tcPr>
            <w:tcW w:w="542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54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Deferred:</w:t>
            </w:r>
          </w:p>
        </w:tc>
        <w:tc>
          <w:tcPr>
            <w:tcW w:w="50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5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State</w:t>
            </w:r>
          </w:p>
        </w:tc>
        <w:tc>
          <w:tcPr>
            <w:tcW w:w="542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deferred</w:t>
            </w:r>
          </w:p>
        </w:tc>
        <w:tc>
          <w:tcPr>
            <w:tcW w:w="54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880"/>
              <w:spacing w:after="0"/>
              <w:rPr>
                <w:sz w:val="20"/>
                <w:szCs w:val="20"/>
                <w:color w:val="auto"/>
              </w:rPr>
            </w:pPr>
            <w:r>
              <w:rPr>
                <w:rFonts w:ascii="Arial" w:cs="Arial" w:eastAsia="Arial" w:hAnsi="Arial"/>
                <w:sz w:val="18"/>
                <w:szCs w:val="18"/>
                <w:color w:val="auto"/>
              </w:rPr>
              <w:t>Net provision</w:t>
            </w:r>
          </w:p>
        </w:tc>
        <w:tc>
          <w:tcPr>
            <w:tcW w:w="5420" w:type="dxa"/>
            <w:vAlign w:val="bottom"/>
            <w:gridSpan w:val="2"/>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54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8,450</w:t>
            </w:r>
          </w:p>
        </w:tc>
        <w:tc>
          <w:tcPr>
            <w:tcW w:w="32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920" w:type="dxa"/>
            <w:vAlign w:val="bottom"/>
            <w:gridSpan w:val="3"/>
          </w:tcPr>
          <w:p>
            <w:pPr>
              <w:jc w:val="right"/>
              <w:ind w:right="3658"/>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deferred taxes at December 31, 2006 and 2005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vMerge w:val="restart"/>
          </w:tcPr>
          <w:p>
            <w:pPr>
              <w:spacing w:after="0"/>
              <w:rPr>
                <w:sz w:val="20"/>
                <w:szCs w:val="20"/>
                <w:color w:val="auto"/>
              </w:rPr>
            </w:pPr>
            <w:r>
              <w:rPr>
                <w:rFonts w:ascii="Arial" w:cs="Arial" w:eastAsia="Arial" w:hAnsi="Arial"/>
                <w:sz w:val="14"/>
                <w:szCs w:val="14"/>
                <w:b w:val="1"/>
                <w:bCs w:val="1"/>
                <w:color w:val="auto"/>
              </w:rPr>
              <w:t>Current: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50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Provisions for doubtful accounts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1,604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Inventory costs capitalized for tax purposes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and sales returns reserves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Deductible expenses, primarily employee-benefit related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tax contingency and other accruals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1,007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ind w:left="4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asset—current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3,837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vMerge w:val="restart"/>
          </w:tcPr>
          <w:p>
            <w:pPr>
              <w:spacing w:after="0"/>
              <w:rPr>
                <w:sz w:val="20"/>
                <w:szCs w:val="20"/>
                <w:color w:val="auto"/>
              </w:rPr>
            </w:pPr>
            <w:r>
              <w:rPr>
                <w:rFonts w:ascii="Arial" w:cs="Arial" w:eastAsia="Arial" w:hAnsi="Arial"/>
                <w:sz w:val="14"/>
                <w:szCs w:val="14"/>
                <w:b w:val="1"/>
                <w:bCs w:val="1"/>
                <w:color w:val="auto"/>
              </w:rPr>
              <w:t>Non-Current:</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50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under non-statutory stock option agreements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Tax effect of state tax loss carryforwards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1,258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tax credit carryforwards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7"/>
              </w:rPr>
              <w:t>1,595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440"/>
              <w:spacing w:after="0"/>
              <w:rPr>
                <w:sz w:val="20"/>
                <w:szCs w:val="20"/>
                <w:color w:val="auto"/>
              </w:rPr>
            </w:pPr>
            <w:r>
              <w:rPr>
                <w:rFonts w:ascii="Arial" w:cs="Arial" w:eastAsia="Arial" w:hAnsi="Arial"/>
                <w:sz w:val="18"/>
                <w:szCs w:val="18"/>
                <w:color w:val="auto"/>
              </w:rPr>
              <w:t>Excess of book value over the tax basis of goodwill and other intangibles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(5,403)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(4,006)</w:t>
            </w: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of book value over the tax basis of property and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(1,607)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9500" w:type="dxa"/>
            <w:vAlign w:val="bottom"/>
            <w:vMerge w:val="restart"/>
          </w:tcPr>
          <w:p>
            <w:pPr>
              <w:ind w:left="44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5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(4,082)</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(1,893)</w:t>
            </w:r>
          </w:p>
        </w:tc>
        <w:tc>
          <w:tcPr>
            <w:tcW w:w="0" w:type="dxa"/>
            <w:vAlign w:val="bottom"/>
          </w:tcPr>
          <w:p>
            <w:pPr>
              <w:spacing w:after="0"/>
              <w:rPr>
                <w:sz w:val="1"/>
                <w:szCs w:val="1"/>
                <w:color w:val="auto"/>
              </w:rPr>
            </w:pPr>
          </w:p>
        </w:tc>
      </w:tr>
      <w:tr>
        <w:trPr>
          <w:trHeight w:val="217"/>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(2,270)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(2,212)</w:t>
            </w:r>
          </w:p>
        </w:tc>
        <w:tc>
          <w:tcPr>
            <w:tcW w:w="0" w:type="dxa"/>
            <w:vAlign w:val="bottom"/>
          </w:tcPr>
          <w:p>
            <w:pPr>
              <w:spacing w:after="0"/>
              <w:rPr>
                <w:sz w:val="1"/>
                <w:szCs w:val="1"/>
                <w:color w:val="auto"/>
              </w:rPr>
            </w:pPr>
          </w:p>
        </w:tc>
      </w:tr>
      <w:tr>
        <w:trPr>
          <w:trHeight w:val="20"/>
        </w:trPr>
        <w:tc>
          <w:tcPr>
            <w:tcW w:w="9500" w:type="dxa"/>
            <w:vAlign w:val="bottom"/>
            <w:vMerge w:val="restart"/>
          </w:tcPr>
          <w:p>
            <w:pPr>
              <w:ind w:left="440"/>
              <w:spacing w:after="0"/>
              <w:rPr>
                <w:sz w:val="20"/>
                <w:szCs w:val="20"/>
                <w:color w:val="auto"/>
              </w:rPr>
            </w:pPr>
            <w:r>
              <w:rPr>
                <w:rFonts w:ascii="Arial" w:cs="Arial" w:eastAsia="Arial" w:hAnsi="Arial"/>
                <w:sz w:val="18"/>
                <w:szCs w:val="18"/>
                <w:color w:val="auto"/>
              </w:rPr>
              <w:t>Net deferred tax liability—non-current</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5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7"/>
              </w:rPr>
              <w:t>(6,352)</w:t>
            </w:r>
          </w:p>
        </w:tc>
        <w:tc>
          <w:tcPr>
            <w:tcW w:w="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(4,105)</w:t>
            </w:r>
          </w:p>
        </w:tc>
        <w:tc>
          <w:tcPr>
            <w:tcW w:w="0" w:type="dxa"/>
            <w:vAlign w:val="bottom"/>
          </w:tcPr>
          <w:p>
            <w:pPr>
              <w:spacing w:after="0"/>
              <w:rPr>
                <w:sz w:val="1"/>
                <w:szCs w:val="1"/>
                <w:color w:val="auto"/>
              </w:rPr>
            </w:pPr>
          </w:p>
        </w:tc>
      </w:tr>
      <w:tr>
        <w:trPr>
          <w:trHeight w:val="28"/>
        </w:trPr>
        <w:tc>
          <w:tcPr>
            <w:tcW w:w="9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liability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state tax credit carryforwards are available to offset future state income taxes in years with sufficient state income levels to create creditable tax and within the applicable carryforward period for these credits. Total tax credit carryforwards aggregated $1,595 and $1,780 at December 31, 2006 and 2005, respectively. These credits are subject to a five-year carryforward period, with $450 expiring beginning in 2007 and $415, $450, and $280 expiring respectively on an annual basis through 2010. Additionally, certain of our subsidiaries have net operating loss carryforwards aggregating $23,448 at December 31, 2006, and representing state tax benefits, net of federal taxes, of approximately $1,258. These loss carryforwards are subject to five- and twenty-year carryforward periods, with $134, $151, $64, $65, and $262 expiring from 2007 through 2011, respectively, and $582 expiring after 2023. We have provided valuation allowances of $2,270 and $2,212 at December 31, 2006 and 2005, respectively, against the state tax credit and state tax loss carryforwards, representing the portion of carryforward credits and losses that we believe are not likely to be realized.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our 2006, 2005, and 2004 income tax provision to the statutory federal tax rate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5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5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35.0%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220" w:type="dxa"/>
            <w:vAlign w:val="bottom"/>
            <w:gridSpan w:val="3"/>
          </w:tcPr>
          <w:p>
            <w:pPr>
              <w:jc w:val="right"/>
              <w:ind w:right="54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State tax loss carryforwards</w:t>
            </w:r>
          </w:p>
        </w:tc>
        <w:tc>
          <w:tcPr>
            <w:tcW w:w="5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(5.1)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5220" w:type="dxa"/>
            <w:vAlign w:val="bottom"/>
            <w:gridSpan w:val="3"/>
          </w:tcPr>
          <w:p>
            <w:pPr>
              <w:jc w:val="right"/>
              <w:ind w:right="54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Prior year tax matters</w:t>
            </w:r>
          </w:p>
        </w:tc>
        <w:tc>
          <w:tcPr>
            <w:tcW w:w="4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5220" w:type="dxa"/>
            <w:vAlign w:val="bottom"/>
            <w:gridSpan w:val="3"/>
          </w:tcPr>
          <w:p>
            <w:pPr>
              <w:jc w:val="right"/>
              <w:ind w:right="54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3.2</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4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(1.6)</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436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38.0%</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45.3%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35.4%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5220" w:type="dxa"/>
            <w:vAlign w:val="bottom"/>
            <w:gridSpan w:val="3"/>
          </w:tcPr>
          <w:p>
            <w:pPr>
              <w:jc w:val="right"/>
              <w:ind w:right="3780"/>
              <w:spacing w:after="0"/>
              <w:rPr>
                <w:sz w:val="20"/>
                <w:szCs w:val="20"/>
                <w:color w:val="auto"/>
              </w:rPr>
            </w:pPr>
            <w:r>
              <w:rPr>
                <w:rFonts w:ascii="Arial" w:cs="Arial" w:eastAsia="Arial" w:hAnsi="Arial"/>
                <w:sz w:val="18"/>
                <w:szCs w:val="18"/>
                <w:color w:val="auto"/>
              </w:rPr>
              <w:t>F-24</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established accruals for certain state and federal tax contingencies when, despite our belief that our tax return positions are fully supported, certain positions are probable of being successfully challenged. These accruals relate primarily to various state tax jurisdictional issues concerning the nature and extent of our operations and activities in those states.</w:t>
      </w:r>
    </w:p>
    <w:p>
      <w:pPr>
        <w:spacing w:after="0" w:line="14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tax contingency accruals are adjusted in light of changing facts and circumstances. Total tax contingency reserves were $1,359 and $1,131 at December 31, 2006 and 2005, respectively. These reserves were increased in 2006 by $228 due to additional state tax exposures. These reserves were decreased in 2005 by $66 due to the settlement of a federal income tax audit without assessment and by $152 due to the reduced exposure to state transfer pricing taxes, partially offset by increases of $152 due to additionally identified state tax exposures. The tax contingency reserves were decreased in 2004 by $229 due to reduced state income tax jurisdictional exposures and by $293 due to reduced federal income tax audit exposures, including related interest, for earlier tax years.</w:t>
      </w:r>
    </w:p>
    <w:p>
      <w:pPr>
        <w:spacing w:after="0" w:line="21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a contributory profit-sharing and employee savings plan covering all qualified employees. No contributions to the profit-sharing element of the plan were made by us in 2006, 2005, or 2004. We made matching contributions to the employee savings element of the plan of $831, $662, and $653 in 2006, 2005, and 2004, respectively.</w:t>
      </w:r>
    </w:p>
    <w:p>
      <w:pPr>
        <w:spacing w:after="0" w:line="25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lease certain office facilities from our principal stockholders under 20-year noncancelable operating leases. The lease agreement for one facility requires us to pay all real estate taxes and insurance premiums related thereto. We also lease several other buildings from our principal stockholders on a month-to-month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lease office, distribution facilities, and equipment from unrelated parties with remaining terms of one to six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aggregate minimum annual lease payments under these leases at December 31, 2006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Related Parties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4"/>
              </w:rPr>
              <w:t>Others</w:t>
            </w:r>
          </w:p>
        </w:tc>
        <w:tc>
          <w:tcPr>
            <w:tcW w:w="62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144</w:t>
            </w:r>
          </w:p>
        </w:tc>
        <w:tc>
          <w:tcPr>
            <w:tcW w:w="6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3,053</w:t>
            </w: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2008</w:t>
            </w:r>
          </w:p>
        </w:tc>
        <w:tc>
          <w:tcPr>
            <w:tcW w:w="2100" w:type="dxa"/>
            <w:vAlign w:val="bottom"/>
            <w:gridSpan w:val="3"/>
          </w:tcPr>
          <w:p>
            <w:pPr>
              <w:jc w:val="right"/>
              <w:ind w:right="600"/>
              <w:spacing w:after="0"/>
              <w:rPr>
                <w:sz w:val="20"/>
                <w:szCs w:val="20"/>
                <w:color w:val="auto"/>
              </w:rPr>
            </w:pPr>
            <w:r>
              <w:rPr>
                <w:rFonts w:ascii="Arial" w:cs="Arial" w:eastAsia="Arial" w:hAnsi="Arial"/>
                <w:sz w:val="18"/>
                <w:szCs w:val="18"/>
                <w:color w:val="auto"/>
              </w:rPr>
              <w:t>82</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2010</w:t>
            </w:r>
          </w:p>
        </w:tc>
        <w:tc>
          <w:tcPr>
            <w:tcW w:w="600" w:type="dxa"/>
            <w:vAlign w:val="bottom"/>
          </w:tcPr>
          <w:p>
            <w:pPr>
              <w:spacing w:after="0"/>
              <w:rPr>
                <w:sz w:val="18"/>
                <w:szCs w:val="18"/>
                <w:color w:val="auto"/>
              </w:rPr>
            </w:pP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2012 and thereafter</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Total rent expense aggregated $3,780, $3,413, and $4,905 for the years ended December 31, 2006, 2005, and 2004, respectively, under the terms of the leases described above. Such amounts included $386, $157, and $147 in 2006, 2005, and 2004, respectively, paid to related parties.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Sports Marketing Agreements</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We have entered into multi-year sponsorship agreements with the Boston Red Sox and the New England Patriots that extend to 2012 and 2013, respectively. These agreements grant us various marketing rights and seating arrangements.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aggregate minimum annual payments required under these agreements at December 31, 2006 are as follows:</w:t>
      </w:r>
    </w:p>
    <w:p>
      <w:pPr>
        <w:spacing w:after="0" w:line="5"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2012 and thereafter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w:t>
            </w:r>
          </w:p>
        </w:tc>
      </w:tr>
    </w:tbl>
    <w:p>
      <w:pPr>
        <w:spacing w:after="0" w:line="14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marketing expense payments under agreements with these organizations aggregated $1,944, $1,482, and $1,080 for the years ended December 31, 2006, 2005, and 2004, respectively, under the terms of the agreements described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also subject to audits by states on sales and income taxes, unclaimed property, and other assessments. A multi-state unclaimed property audit is in progress, and certain sales tax audits may be imminent. 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22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OTHER RELATED-PARTY TRANSACTIONS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described in Notes 9 and 13, we have leased certain facilities from related parties. Other related-party transactions include the transactions summarized below. Related parties consist primarily of affiliated companies related to us through common ownership.</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22"/>
        </w:trPr>
        <w:tc>
          <w:tcPr>
            <w:tcW w:w="8860" w:type="dxa"/>
            <w:vAlign w:val="bottom"/>
          </w:tcPr>
          <w:p>
            <w:pPr>
              <w:ind w:left="440"/>
              <w:spacing w:after="0"/>
              <w:rPr>
                <w:sz w:val="20"/>
                <w:szCs w:val="20"/>
                <w:color w:val="auto"/>
              </w:rPr>
            </w:pPr>
            <w:r>
              <w:rPr>
                <w:rFonts w:ascii="Arial" w:cs="Arial" w:eastAsia="Arial" w:hAnsi="Arial"/>
                <w:sz w:val="18"/>
                <w:szCs w:val="18"/>
                <w:color w:val="auto"/>
              </w:rPr>
              <w:t>Sales of services to affiliated companies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w:t>
            </w:r>
          </w:p>
        </w:tc>
      </w:tr>
    </w:tbl>
    <w:p>
      <w:pPr>
        <w:spacing w:after="0" w:line="26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DISCLOSURES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“Large Account” segment, acquired in April 2002, which serves medium-to-large corporations; and the “Public Sector” segment, which serves federal, state, and local government organizations, and educational institutions.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Segment information applicable to our reportable operating segments for the years ended December 31, 2006, 2005, and 2004 is shown below:</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 2006</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SMB</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887,040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482,850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265,761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$1,635,651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260,388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(260,388)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1,147,428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482,850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265,761</w:t>
            </w: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(260,388)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1,635,651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4"/>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59,534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25,273</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8,629</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(69,503)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(53,228)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6,306</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(6,783)</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4,982</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24,479</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(7,235)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5,494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520" w:type="dxa"/>
            <w:vAlign w:val="bottom"/>
            <w:gridSpan w:val="4"/>
          </w:tcPr>
          <w:p>
            <w:pPr>
              <w:spacing w:after="0"/>
              <w:rPr>
                <w:sz w:val="20"/>
                <w:szCs w:val="20"/>
                <w:color w:val="auto"/>
              </w:rPr>
            </w:pPr>
            <w:r>
              <w:rPr>
                <w:rFonts w:ascii="Arial" w:cs="Arial" w:eastAsia="Arial" w:hAnsi="Arial"/>
                <w:sz w:val="18"/>
                <w:szCs w:val="18"/>
                <w:color w:val="auto"/>
              </w:rPr>
              <w:t>Balance Sheet Data:</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246,980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72,475</w:t>
            </w: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(140,731)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 2005</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SMB</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4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834,618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$1,444,297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(243,716)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1,078,334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262,171</w:t>
            </w: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(243,716)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4"/>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53,249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18,140</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4,974</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(66,875)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(50,223)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(15,262)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3,026</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1,891</w:t>
            </w:r>
          </w:p>
        </w:tc>
        <w:tc>
          <w:tcPr>
            <w:tcW w:w="4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16,799</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6,241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520" w:type="dxa"/>
            <w:vAlign w:val="bottom"/>
            <w:gridSpan w:val="4"/>
          </w:tcPr>
          <w:p>
            <w:pPr>
              <w:spacing w:after="0"/>
              <w:rPr>
                <w:sz w:val="20"/>
                <w:szCs w:val="20"/>
                <w:color w:val="auto"/>
              </w:rPr>
            </w:pPr>
            <w:r>
              <w:rPr>
                <w:rFonts w:ascii="Arial" w:cs="Arial" w:eastAsia="Arial" w:hAnsi="Arial"/>
                <w:sz w:val="18"/>
                <w:szCs w:val="18"/>
                <w:color w:val="auto"/>
              </w:rPr>
              <w:t>Balance Sheet Data:</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225,870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F-27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 2004</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rPr>
              <w:t>SMB</w:t>
            </w:r>
          </w:p>
        </w:tc>
        <w:tc>
          <w:tcPr>
            <w:tcW w:w="13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Large Account</w:t>
            </w:r>
          </w:p>
        </w:tc>
        <w:tc>
          <w:tcPr>
            <w:tcW w:w="180" w:type="dxa"/>
            <w:vAlign w:val="bottom"/>
          </w:tcPr>
          <w:p>
            <w:pPr>
              <w:spacing w:after="0"/>
              <w:rPr>
                <w:sz w:val="11"/>
                <w:szCs w:val="11"/>
                <w:color w:val="auto"/>
              </w:rPr>
            </w:pPr>
          </w:p>
        </w:tc>
        <w:tc>
          <w:tcPr>
            <w:tcW w:w="116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99"/>
              </w:rPr>
              <w:t>Public</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Segment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SectorSegment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1,353,834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Transfers between segments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224,114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(224,114)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1,026,417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(224,114)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1,353,834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40" w:type="dxa"/>
            <w:vAlign w:val="bottom"/>
            <w:gridSpan w:val="4"/>
            <w:vMerge w:val="continue"/>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58,103</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16,217</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2,746</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(62,973)</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gridSpan w:val="4"/>
            <w:vMerge w:val="restart"/>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gridSpan w:val="4"/>
            <w:vMerge w:val="continue"/>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14,602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(11,756)</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 net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3740" w:type="dxa"/>
            <w:vAlign w:val="bottom"/>
            <w:gridSpan w:val="4"/>
            <w:vMerge w:val="restart"/>
          </w:tcPr>
          <w:p>
            <w:pPr>
              <w:spacing w:after="0"/>
              <w:rPr>
                <w:sz w:val="20"/>
                <w:szCs w:val="20"/>
                <w:color w:val="auto"/>
              </w:rPr>
            </w:pPr>
            <w:r>
              <w:rPr>
                <w:rFonts w:ascii="Arial" w:cs="Arial" w:eastAsia="Arial" w:hAnsi="Arial"/>
                <w:sz w:val="18"/>
                <w:szCs w:val="18"/>
                <w:color w:val="auto"/>
              </w:rPr>
              <w:t>Income (loss) before taxes</w:t>
            </w: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gridSpan w:val="4"/>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10,260</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14,641</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(12,041)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Selected Operating Expenses: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6,306</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706</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740" w:type="dxa"/>
            <w:vAlign w:val="bottom"/>
            <w:gridSpan w:val="4"/>
          </w:tcPr>
          <w:p>
            <w:pPr>
              <w:spacing w:after="0"/>
              <w:rPr>
                <w:sz w:val="20"/>
                <w:szCs w:val="20"/>
                <w:color w:val="auto"/>
              </w:rPr>
            </w:pPr>
            <w:r>
              <w:rPr>
                <w:rFonts w:ascii="Arial" w:cs="Arial" w:eastAsia="Arial" w:hAnsi="Arial"/>
                <w:sz w:val="18"/>
                <w:szCs w:val="18"/>
                <w:color w:val="auto"/>
              </w:rPr>
              <w:t>Balance Sheet Data:</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197,914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54,116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(58,666)</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42,880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operating costs of corporate headquarter functions are charged to the reportable operating segments based on their estimated usage of the underlying functions. These functions include finance, human resources, information systems, purchasing and distribution, and senior management expenses. We report these charges to the above segments as “Allocations.” Interest and other expense is charged to the segments, based on the actual costs incurred by each segment, net of interest and other income generated. The amount shown above representing total assets eliminated consists of inter-segment receivables, resulting primarily from inter-segment sales and transfers reported above and from inter-segment service charges. Our capital expenditures are primarily comprised of IT hardware and software purchased to maintain or upgrade our management information systems. These systems serve all of our subsidiaries, to varying degrees, and a result, our CODM does not evaluate capital expenditures by segment.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Senior management also monitors revenue by product mix (Notebooks and PDAs; Desktops and Servers; Storage Devices; Software; Net/Com Products; Printers and Printer Supplies; Video, Imaging, and Sound; Memory and System Enhancements; and Accessories/Other).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segment and product mix are presented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Segment (excludes transfers between segments)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0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5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887,040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834,618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482,850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347,508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265,761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262,171</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1,635,651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1,444,297</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1,353,834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Product Mix</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Notebooks and PDAs</w:t>
            </w:r>
          </w:p>
        </w:tc>
        <w:tc>
          <w:tcPr>
            <w:tcW w:w="5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265,562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Desktop/Servers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229,407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208,596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Storage Devices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Software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203,985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173,952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Net/Com Products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Printers and Printer Supplies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164,683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150,824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Video, Imaging, and Sound</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179,035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Memory and System Enhancements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80,789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75,489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Accessories/Other</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183,572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153,372</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1,635,651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1,444,297</w:t>
            </w:r>
          </w:p>
        </w:tc>
        <w:tc>
          <w:tcPr>
            <w:tcW w:w="4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1,353,834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Substantially, all of our net sales in 2006, 2005, and 2004 were made to customers located in the United States. Shipments to customers located in foreign countries aggregated less than 2% in 2006, 2005, and 2004. All of our assets at December 31, 2006 and 2005 were located in the United States. Our primary target customers are SMBs comprised of 20 to 1,000 employees, federal, state, and local governmental agencies, educational institutions, and medium-to-large corporate accounts. No single customer other than the federal government accounted for more than 3% of total net sales in 2006. Net sales to the federal government in 2006, 2005, and 2004 were $72,550, $68,924, and $64,900, or 4.4%, 4.8%, and 4.8% of total net sales, respectively.</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60"/>
          </w:cols>
          <w:pgMar w:left="240" w:top="459"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UNAUDITED QUARTERLY FINANCIAL RESULTS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sets forth certain unaudited quarterly data of the Company for each of the quarters since January 2005. This information has been prepared on the same basis as the annual financial statements and all necessary adjustments, consisting only of normal recurring adjustments, have been included in the amounts stated below to present fairly the selected quarterly information when read in conjunction with the annual financial statements and the notes thereto included elsewhere in this document. The quarterly operating results are not necessarily indicative of future results of operations. See “Risk Factors” in Item 1A of this Annual Report on Form 10-K for the year ended December 31, 2006.</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June 30,</w:t>
            </w: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$380,478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408,094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415,213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334,060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357,351</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364,070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379,919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50,743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44,534</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43,291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Income from operations</w:t>
            </w: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5,759</w:t>
            </w: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6,802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provision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(2,196)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25,283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25,396</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25,667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June 30,</w:t>
            </w: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$323,851</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350,710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371,124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286,517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310,346</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329,044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354,794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40,364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37,379</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37,531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2,985</w:t>
            </w: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provision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25,211</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25,271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60" w:type="dxa"/>
            <w:vAlign w:val="bottom"/>
            <w:gridSpan w:val="2"/>
          </w:tcPr>
          <w:p>
            <w:pPr>
              <w:jc w:val="right"/>
              <w:ind w:right="1039"/>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Balance at</w:t>
            </w:r>
          </w:p>
        </w:tc>
        <w:tc>
          <w:tcPr>
            <w:tcW w:w="0" w:type="dxa"/>
            <w:vAlign w:val="bottom"/>
          </w:tcPr>
          <w:p>
            <w:pPr>
              <w:spacing w:after="0"/>
              <w:rPr>
                <w:sz w:val="1"/>
                <w:szCs w:val="1"/>
                <w:color w:val="auto"/>
              </w:rPr>
            </w:pPr>
          </w:p>
        </w:tc>
      </w:tr>
      <w:tr>
        <w:trPr>
          <w:trHeight w:val="149"/>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280" w:type="dxa"/>
            <w:vAlign w:val="bottom"/>
          </w:tcPr>
          <w:p>
            <w:pPr>
              <w:spacing w:after="0"/>
              <w:rPr>
                <w:sz w:val="12"/>
                <w:szCs w:val="12"/>
                <w:color w:val="auto"/>
              </w:rPr>
            </w:pPr>
          </w:p>
        </w:tc>
        <w:tc>
          <w:tcPr>
            <w:tcW w:w="132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5"/>
              </w:rPr>
              <w:t>Costs and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2"/>
              </w:rPr>
              <w:t>End of</w:t>
            </w:r>
          </w:p>
        </w:tc>
        <w:tc>
          <w:tcPr>
            <w:tcW w:w="0" w:type="dxa"/>
            <w:vAlign w:val="bottom"/>
          </w:tcPr>
          <w:p>
            <w:pPr>
              <w:spacing w:after="0"/>
              <w:rPr>
                <w:sz w:val="1"/>
                <w:szCs w:val="1"/>
                <w:color w:val="auto"/>
              </w:rPr>
            </w:pPr>
          </w:p>
        </w:tc>
      </w:tr>
      <w:tr>
        <w:trPr>
          <w:trHeight w:val="155"/>
        </w:trPr>
        <w:tc>
          <w:tcPr>
            <w:tcW w:w="65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8"/>
              </w:rPr>
              <w:t>of Period</w:t>
            </w:r>
          </w:p>
        </w:tc>
        <w:tc>
          <w:tcPr>
            <w:tcW w:w="280" w:type="dxa"/>
            <w:vAlign w:val="bottom"/>
          </w:tcPr>
          <w:p>
            <w:pPr>
              <w:spacing w:after="0"/>
              <w:rPr>
                <w:sz w:val="13"/>
                <w:szCs w:val="13"/>
                <w:color w:val="auto"/>
              </w:rPr>
            </w:pPr>
          </w:p>
        </w:tc>
        <w:tc>
          <w:tcPr>
            <w:tcW w:w="132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w w:val="85"/>
              </w:rPr>
              <w:t>Expenses</w:t>
            </w:r>
          </w:p>
        </w:tc>
        <w:tc>
          <w:tcPr>
            <w:tcW w:w="1020" w:type="dxa"/>
            <w:vAlign w:val="bottom"/>
            <w:gridSpan w:val="3"/>
          </w:tcPr>
          <w:p>
            <w:pPr>
              <w:jc w:val="right"/>
              <w:ind w:right="360"/>
              <w:spacing w:after="0" w:line="148" w:lineRule="exact"/>
              <w:rPr>
                <w:sz w:val="20"/>
                <w:szCs w:val="20"/>
                <w:color w:val="auto"/>
              </w:rPr>
            </w:pPr>
            <w:r>
              <w:rPr>
                <w:rFonts w:ascii="Arial" w:cs="Arial" w:eastAsia="Arial" w:hAnsi="Arial"/>
                <w:sz w:val="14"/>
                <w:szCs w:val="14"/>
                <w:b w:val="1"/>
                <w:bCs w:val="1"/>
                <w:color w:val="auto"/>
                <w:w w:val="94"/>
              </w:rPr>
              <w:t>Write-Offs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w w:val="82"/>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2004</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1,520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32,892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(32,919)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 Ended December 31, 2005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34,081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(33,286)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2,288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33,796</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(33,856)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2004</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4,129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4,280</w:t>
            </w:r>
            <w:r>
              <w:rPr>
                <w:rFonts w:ascii="Arial" w:cs="Arial" w:eastAsia="Arial" w:hAnsi="Arial"/>
                <w:sz w:val="11"/>
                <w:szCs w:val="11"/>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(4,276)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 Ended December 31, 2005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4,133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3,993</w:t>
            </w: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3,628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2,885</w:t>
            </w:r>
            <w:r>
              <w:rPr>
                <w:rFonts w:ascii="Arial" w:cs="Arial" w:eastAsia="Arial" w:hAnsi="Arial"/>
                <w:sz w:val="11"/>
                <w:szCs w:val="11"/>
                <w:color w:val="auto"/>
              </w:rPr>
              <w:t>(1)</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Inventory Valuation Reserve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2004</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1,460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(5,861)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 Ended December 31, 2005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6,119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Year Ended December 31, 2006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1,549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6,563</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(6,957)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8" w:lineRule="exact"/>
        <w:rPr>
          <w:sz w:val="20"/>
          <w:szCs w:val="20"/>
          <w:color w:val="auto"/>
        </w:rPr>
      </w:pPr>
    </w:p>
    <w:p>
      <w:pPr>
        <w:ind w:left="460" w:right="100" w:hanging="452"/>
        <w:spacing w:after="0" w:line="314" w:lineRule="auto"/>
        <w:tabs>
          <w:tab w:leader="none" w:pos="460" w:val="left"/>
        </w:tabs>
        <w:numPr>
          <w:ilvl w:val="0"/>
          <w:numId w:val="46"/>
        </w:numPr>
        <w:rPr>
          <w:rFonts w:ascii="Arial" w:cs="Arial" w:eastAsia="Arial" w:hAnsi="Arial"/>
          <w:sz w:val="11"/>
          <w:szCs w:val="11"/>
          <w:color w:val="auto"/>
        </w:rPr>
      </w:pPr>
      <w:r>
        <w:rPr>
          <w:rFonts w:ascii="Arial" w:cs="Arial" w:eastAsia="Arial" w:hAnsi="Arial"/>
          <w:sz w:val="16"/>
          <w:szCs w:val="16"/>
          <w:color w:val="auto"/>
        </w:rPr>
        <w:t>Additions to the provision for doubtful accounts include charges to advertising and cost of sales aggregating $823, $1,321, and $1,878, for the years ended December 31, 2006, 2005, and 2004 respectively. Such allowances relate to receivables under advertising arrangements with vendors.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10.53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Compensation for Executive Officers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Following is a description of the compensation arrangements for each of PC Connection, Inc.’s (the “Company’s”) executive officers. The Company’s executive officers consist of: (i) Patricia Gallup, President, Chief Executive Officer, and Chairman; (ii) David Beffa-Negrini, Senior Vice President, Corporate Marketing and Creative Services; (iii) Jack Ferguson, Senior Vice President, Treasurer, and Chief Financial Officer; (iv) Timothy McGrath, Senior Vice President, PC Connection Enterprises; and (v) Bradley Mousseau, Senior Vice President, Human Resources.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Compensation Committee annually sets the compensation of the Chief Executive Officer. The Compensation Committee also reviews the recommendations of the Chief Executive Officer regarding the compensation of the Company’s other executive officers. The Compensation Committee seeks to achieve three broad goals in connection with the Company’s compensation philosophy and decisions regarding compensation. First, the Company is committed to providing executive compensation designed to attract, retain, and motivate executives who contribute to the long-term success of the Company and are capable of leading the Company in achieving its business objectives in the competitive and rapidly changing industry in which the Company operates. Second, the Company wants to reward executives for the achievement of business objectives of the Company and/or the individual executive’s particular area of responsibility. By tying compensation in part to achievement, the Company believes that a performance-oriented environment is created for the Company’s executives. Finally, compensation is intended to provide executives with an equity interest in the Company so as to link a meaningful portion of the compensation of the Company’s executives with the performance of the Company’s Common Stock.</w:t>
      </w:r>
    </w:p>
    <w:p>
      <w:pPr>
        <w:spacing w:after="0" w:line="120"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Each executive’s total compensation depends upon the executive’s performance against specific objectives. These objectives include both quantitative factors related to the Company’s short-term financial objectives and qualitative factors such as (a) demonstrated leadership ability, (b) management development,</w:t>
      </w:r>
    </w:p>
    <w:p>
      <w:pPr>
        <w:ind w:right="260" w:firstLine="8"/>
        <w:spacing w:after="0" w:line="261" w:lineRule="auto"/>
        <w:tabs>
          <w:tab w:leader="none" w:pos="2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Company policies, and (d) anticipation of and response to changing market and economic conditions, to enhance the Company’s ability to operate profitably. Compensation for the Company’s executives generally consists of three elements:</w:t>
      </w:r>
    </w:p>
    <w:p>
      <w:pPr>
        <w:spacing w:after="0" w:line="56" w:lineRule="exact"/>
        <w:rPr>
          <w:rFonts w:ascii="Arial" w:cs="Arial" w:eastAsia="Arial" w:hAnsi="Arial"/>
          <w:sz w:val="18"/>
          <w:szCs w:val="18"/>
          <w:color w:val="auto"/>
        </w:rPr>
      </w:pPr>
    </w:p>
    <w:p>
      <w:pPr>
        <w:ind w:left="900" w:right="740" w:hanging="325"/>
        <w:spacing w:after="0" w:line="33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salary—levels are generally set by reviewing compensation for competitive positions in the market and considering the executive’s level of responsibility, qualifications, and experience, as well as the Company’s financial performance and the individual’s performance;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bonus—amounts are generally based on achievement of the Company’s performance goals in any given year;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equity awards—equity awards provide long-term incentives to promote and identify long-term interests between the Company’s employees and its stockholders and to assist in the retention of executives.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make any equity awards in 2006 to the Company’s executive officers.</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lists the 2006 annual salaries and bonuses of the Company’s executive officers: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8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Salary</w:t>
            </w:r>
          </w:p>
        </w:tc>
        <w:tc>
          <w:tcPr>
            <w:tcW w:w="1620" w:type="dxa"/>
            <w:vAlign w:val="bottom"/>
            <w:tcBorders>
              <w:top w:val="single" w:sz="8" w:color="auto"/>
              <w:bottom w:val="single" w:sz="8" w:color="auto"/>
            </w:tcBorders>
          </w:tcPr>
          <w:p>
            <w:pPr>
              <w:spacing w:after="0"/>
              <w:rPr>
                <w:sz w:val="22"/>
                <w:szCs w:val="22"/>
                <w:color w:val="auto"/>
              </w:rPr>
            </w:pPr>
          </w:p>
        </w:tc>
        <w:tc>
          <w:tcPr>
            <w:tcW w:w="2120" w:type="dxa"/>
            <w:vAlign w:val="bottom"/>
            <w:tcBorders>
              <w:top w:val="single" w:sz="8" w:color="auto"/>
              <w:bottom w:val="single" w:sz="8" w:color="auto"/>
              <w:right w:val="single" w:sz="8" w:color="auto"/>
            </w:tcBorders>
          </w:tcPr>
          <w:p>
            <w:pPr>
              <w:jc w:val="right"/>
              <w:ind w:right="1552"/>
              <w:spacing w:after="0"/>
              <w:rPr>
                <w:sz w:val="20"/>
                <w:szCs w:val="20"/>
                <w:color w:val="auto"/>
              </w:rPr>
            </w:pPr>
            <w:r>
              <w:rPr>
                <w:rFonts w:ascii="Arial" w:cs="Arial" w:eastAsia="Arial" w:hAnsi="Arial"/>
                <w:sz w:val="18"/>
                <w:szCs w:val="18"/>
                <w:b w:val="1"/>
                <w:bCs w:val="1"/>
                <w:color w:val="auto"/>
                <w:w w:val="82"/>
              </w:rPr>
              <w:t>Bonus</w:t>
            </w:r>
          </w:p>
        </w:tc>
      </w:tr>
      <w:tr>
        <w:trPr>
          <w:trHeight w:val="445"/>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Patricia Gallup</w:t>
            </w:r>
          </w:p>
        </w:tc>
        <w:tc>
          <w:tcPr>
            <w:tcW w:w="3880" w:type="dxa"/>
            <w:vAlign w:val="bottom"/>
            <w:tcBorders>
              <w:righ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16"/>
        </w:trPr>
        <w:tc>
          <w:tcPr>
            <w:tcW w:w="38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President, Chief Executive Officer, and</w:t>
            </w:r>
          </w:p>
        </w:tc>
        <w:tc>
          <w:tcPr>
            <w:tcW w:w="38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3"/>
        </w:trPr>
        <w:tc>
          <w:tcPr>
            <w:tcW w:w="38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Chairman</w:t>
            </w:r>
          </w:p>
        </w:tc>
        <w:tc>
          <w:tcPr>
            <w:tcW w:w="38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$476,731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472"/>
              <w:spacing w:after="0"/>
              <w:rPr>
                <w:sz w:val="20"/>
                <w:szCs w:val="20"/>
                <w:color w:val="auto"/>
              </w:rPr>
            </w:pPr>
            <w:r>
              <w:rPr>
                <w:rFonts w:ascii="Arial" w:cs="Arial" w:eastAsia="Arial" w:hAnsi="Arial"/>
                <w:sz w:val="18"/>
                <w:szCs w:val="18"/>
                <w:color w:val="auto"/>
                <w:w w:val="82"/>
              </w:rPr>
              <w:t>750,000</w:t>
            </w:r>
          </w:p>
        </w:tc>
      </w:tr>
      <w:tr>
        <w:trPr>
          <w:trHeight w:val="445"/>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David Beffa-Negrini </w:t>
            </w:r>
            <w:r>
              <w:rPr>
                <w:rFonts w:ascii="Arial" w:cs="Arial" w:eastAsia="Arial" w:hAnsi="Arial"/>
                <w:sz w:val="22"/>
                <w:szCs w:val="22"/>
                <w:color w:val="auto"/>
                <w:vertAlign w:val="superscript"/>
              </w:rPr>
              <w:t>(1)</w:t>
            </w:r>
          </w:p>
        </w:tc>
        <w:tc>
          <w:tcPr>
            <w:tcW w:w="3880" w:type="dxa"/>
            <w:vAlign w:val="bottom"/>
            <w:tcBorders>
              <w:righ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16"/>
        </w:trPr>
        <w:tc>
          <w:tcPr>
            <w:tcW w:w="38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3"/>
              </w:rPr>
              <w:t>Senior Vice President, Corporate Marketing &amp;</w:t>
            </w:r>
          </w:p>
        </w:tc>
        <w:tc>
          <w:tcPr>
            <w:tcW w:w="38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3"/>
        </w:trPr>
        <w:tc>
          <w:tcPr>
            <w:tcW w:w="38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Creative Services</w:t>
            </w:r>
          </w:p>
        </w:tc>
        <w:tc>
          <w:tcPr>
            <w:tcW w:w="38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$270,615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472"/>
              <w:spacing w:after="0"/>
              <w:rPr>
                <w:sz w:val="20"/>
                <w:szCs w:val="20"/>
                <w:color w:val="auto"/>
              </w:rPr>
            </w:pPr>
            <w:r>
              <w:rPr>
                <w:rFonts w:ascii="Arial" w:cs="Arial" w:eastAsia="Arial" w:hAnsi="Arial"/>
                <w:sz w:val="18"/>
                <w:szCs w:val="18"/>
                <w:color w:val="auto"/>
                <w:w w:val="82"/>
              </w:rPr>
              <w:t>207,000</w:t>
            </w:r>
          </w:p>
        </w:tc>
      </w:tr>
      <w:tr>
        <w:trPr>
          <w:trHeight w:val="445"/>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Jack Ferguson</w:t>
            </w:r>
          </w:p>
        </w:tc>
        <w:tc>
          <w:tcPr>
            <w:tcW w:w="3880" w:type="dxa"/>
            <w:vAlign w:val="bottom"/>
            <w:tcBorders>
              <w:righ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16"/>
        </w:trPr>
        <w:tc>
          <w:tcPr>
            <w:tcW w:w="38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8"/>
              </w:rPr>
              <w:t>Senior Vice President, Treasurer, and Chief</w:t>
            </w:r>
          </w:p>
        </w:tc>
        <w:tc>
          <w:tcPr>
            <w:tcW w:w="38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3"/>
        </w:trPr>
        <w:tc>
          <w:tcPr>
            <w:tcW w:w="38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Financial Officer</w:t>
            </w:r>
          </w:p>
        </w:tc>
        <w:tc>
          <w:tcPr>
            <w:tcW w:w="38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$271,856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472"/>
              <w:spacing w:after="0"/>
              <w:rPr>
                <w:sz w:val="20"/>
                <w:szCs w:val="20"/>
                <w:color w:val="auto"/>
              </w:rPr>
            </w:pPr>
            <w:r>
              <w:rPr>
                <w:rFonts w:ascii="Arial" w:cs="Arial" w:eastAsia="Arial" w:hAnsi="Arial"/>
                <w:sz w:val="18"/>
                <w:szCs w:val="18"/>
                <w:color w:val="auto"/>
                <w:w w:val="82"/>
              </w:rPr>
              <w:t>210,000</w:t>
            </w:r>
          </w:p>
        </w:tc>
      </w:tr>
      <w:tr>
        <w:trPr>
          <w:trHeight w:val="445"/>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xml:space="preserve">Timothy McGrath </w:t>
            </w:r>
            <w:r>
              <w:rPr>
                <w:rFonts w:ascii="Arial" w:cs="Arial" w:eastAsia="Arial" w:hAnsi="Arial"/>
                <w:sz w:val="22"/>
                <w:szCs w:val="22"/>
                <w:color w:val="auto"/>
                <w:vertAlign w:val="superscript"/>
              </w:rPr>
              <w:t>(2)</w:t>
            </w:r>
          </w:p>
        </w:tc>
        <w:tc>
          <w:tcPr>
            <w:tcW w:w="3880" w:type="dxa"/>
            <w:vAlign w:val="bottom"/>
            <w:tcBorders>
              <w:righ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16"/>
        </w:trPr>
        <w:tc>
          <w:tcPr>
            <w:tcW w:w="38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Senior Vice President, PC Connection</w:t>
            </w:r>
          </w:p>
        </w:tc>
        <w:tc>
          <w:tcPr>
            <w:tcW w:w="388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r>
      <w:tr>
        <w:trPr>
          <w:trHeight w:val="223"/>
        </w:trPr>
        <w:tc>
          <w:tcPr>
            <w:tcW w:w="38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Enterprises</w:t>
            </w:r>
          </w:p>
        </w:tc>
        <w:tc>
          <w:tcPr>
            <w:tcW w:w="38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$300,000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472"/>
              <w:spacing w:after="0"/>
              <w:rPr>
                <w:sz w:val="20"/>
                <w:szCs w:val="20"/>
                <w:color w:val="auto"/>
              </w:rPr>
            </w:pPr>
            <w:r>
              <w:rPr>
                <w:rFonts w:ascii="Arial" w:cs="Arial" w:eastAsia="Arial" w:hAnsi="Arial"/>
                <w:sz w:val="18"/>
                <w:szCs w:val="18"/>
                <w:color w:val="auto"/>
                <w:w w:val="98"/>
              </w:rPr>
              <w:t>75,000</w:t>
            </w:r>
          </w:p>
        </w:tc>
      </w:tr>
      <w:tr>
        <w:trPr>
          <w:trHeight w:val="445"/>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Bradley Mousseau</w:t>
            </w:r>
          </w:p>
        </w:tc>
        <w:tc>
          <w:tcPr>
            <w:tcW w:w="3880" w:type="dxa"/>
            <w:vAlign w:val="bottom"/>
            <w:tcBorders>
              <w:right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223"/>
        </w:trPr>
        <w:tc>
          <w:tcPr>
            <w:tcW w:w="380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Senior Vice President, Human Resources</w:t>
            </w:r>
          </w:p>
        </w:tc>
        <w:tc>
          <w:tcPr>
            <w:tcW w:w="388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$226,462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right w:val="single" w:sz="8" w:color="auto"/>
            </w:tcBorders>
          </w:tcPr>
          <w:p>
            <w:pPr>
              <w:jc w:val="right"/>
              <w:ind w:right="1472"/>
              <w:spacing w:after="0"/>
              <w:rPr>
                <w:sz w:val="20"/>
                <w:szCs w:val="20"/>
                <w:color w:val="auto"/>
              </w:rPr>
            </w:pPr>
            <w:r>
              <w:rPr>
                <w:rFonts w:ascii="Arial" w:cs="Arial" w:eastAsia="Arial" w:hAnsi="Arial"/>
                <w:sz w:val="18"/>
                <w:szCs w:val="18"/>
                <w:color w:val="auto"/>
                <w:w w:val="82"/>
              </w:rPr>
              <w:t>180,000</w:t>
            </w:r>
          </w:p>
        </w:tc>
      </w:tr>
    </w:tbl>
    <w:p>
      <w:pPr>
        <w:spacing w:after="0" w:line="194" w:lineRule="exact"/>
        <w:rPr>
          <w:sz w:val="20"/>
          <w:szCs w:val="20"/>
          <w:color w:val="auto"/>
        </w:rPr>
      </w:pPr>
    </w:p>
    <w:p>
      <w:pPr>
        <w:ind w:left="9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Beffa-Negrini was appointed Senior Vice President, Corporate Marketing and Creative Services on February 16, 2007. Prior to his appointment, Mr. Beffa-Negrini had been serving as Co-President of the Company’s subsidiary Merrimack Services Corporation since September 2005 and as Vice President of Corporate Communications since June 2000.</w:t>
      </w:r>
    </w:p>
    <w:p>
      <w:pPr>
        <w:spacing w:after="0" w:line="59"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McGrath was appointed Senior Vice President, PC Connection Enterprises on December 20, 2006. Prior to his appointment, Mr. McGrath had been serving as President of the Company’s subsidiary PC Connection Sales Corporation since August 2005.</w:t>
      </w:r>
    </w:p>
    <w:p>
      <w:pPr>
        <w:sectPr>
          <w:pgSz w:w="11900" w:h="16838" w:orient="portrait"/>
          <w:cols w:equalWidth="0" w:num="1">
            <w:col w:w="11420"/>
          </w:cols>
          <w:pgMar w:left="240" w:top="280" w:right="239" w:bottom="1440" w:gutter="0" w:footer="0" w:header="0"/>
        </w:sectPr>
      </w:pPr>
    </w:p>
    <w:bookmarkStart w:id="79" w:name="page80"/>
    <w:bookmarkEnd w:id="79"/>
    <w:p>
      <w:pPr>
        <w:ind w:left="10420"/>
        <w:spacing w:after="0"/>
        <w:rPr>
          <w:sz w:val="20"/>
          <w:szCs w:val="20"/>
          <w:color w:val="auto"/>
        </w:rPr>
      </w:pPr>
      <w:r>
        <w:rPr>
          <w:rFonts w:ascii="Arial" w:cs="Arial" w:eastAsia="Arial" w:hAnsi="Arial"/>
          <w:sz w:val="16"/>
          <w:szCs w:val="16"/>
          <w:b w:val="1"/>
          <w:bCs w:val="1"/>
          <w:color w:val="auto"/>
        </w:rPr>
        <w:t>Exhibit 10.54</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for Non-Employee Directors</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PC Connection, Inc.’s (the “Company’s”) non-employee directors currently consist of: (i) Bruce Barone; (ii) Joseph Baute; and (iii) Donald Weatherson. In 2006, non-employee directors of the Company received an annual retainer. In addition to this retainer, non-employee directors were entitled to receive a fee for each regularly scheduled board meeting attended in person and a fee for each committee meeting attended. The table below sets forth the annual retainer, per board meeting fees and per committee meeting fees paid to our non-employee directors in 2006:</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760" w:type="dxa"/>
            <w:vAlign w:val="bottom"/>
            <w:tcBorders>
              <w:top w:val="single" w:sz="8" w:color="auto"/>
              <w:left w:val="single" w:sz="8" w:color="auto"/>
              <w:right w:val="single" w:sz="8" w:color="auto"/>
            </w:tcBorders>
          </w:tcPr>
          <w:p>
            <w:pPr>
              <w:spacing w:after="0"/>
              <w:rPr>
                <w:sz w:val="24"/>
                <w:szCs w:val="24"/>
                <w:color w:val="auto"/>
              </w:rPr>
            </w:pPr>
          </w:p>
        </w:tc>
        <w:tc>
          <w:tcPr>
            <w:tcW w:w="2880" w:type="dxa"/>
            <w:vAlign w:val="bottom"/>
            <w:tcBorders>
              <w:top w:val="single" w:sz="8" w:color="auto"/>
              <w:right w:val="single" w:sz="8" w:color="auto"/>
            </w:tcBorders>
          </w:tcPr>
          <w:p>
            <w:pPr>
              <w:spacing w:after="0"/>
              <w:rPr>
                <w:sz w:val="24"/>
                <w:szCs w:val="24"/>
                <w:color w:val="auto"/>
              </w:rPr>
            </w:pP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Fee Per Board</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Fee Per Committee</w:t>
            </w:r>
          </w:p>
        </w:tc>
      </w:tr>
      <w:tr>
        <w:trPr>
          <w:trHeight w:val="244"/>
        </w:trPr>
        <w:tc>
          <w:tcPr>
            <w:tcW w:w="276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Director</w:t>
            </w:r>
          </w:p>
        </w:tc>
        <w:tc>
          <w:tcPr>
            <w:tcW w:w="2880" w:type="dxa"/>
            <w:vAlign w:val="bottom"/>
            <w:tcBorders>
              <w:bottom w:val="single" w:sz="8" w:color="auto"/>
              <w:right w:val="single" w:sz="8" w:color="auto"/>
            </w:tcBorders>
          </w:tcPr>
          <w:p>
            <w:pPr>
              <w:jc w:val="center"/>
              <w:spacing w:after="0" w:line="244" w:lineRule="exact"/>
              <w:rPr>
                <w:sz w:val="20"/>
                <w:szCs w:val="20"/>
                <w:color w:val="auto"/>
              </w:rPr>
            </w:pPr>
            <w:r>
              <w:rPr>
                <w:rFonts w:ascii="Arial" w:cs="Arial" w:eastAsia="Arial" w:hAnsi="Arial"/>
                <w:sz w:val="18"/>
                <w:szCs w:val="18"/>
                <w:b w:val="1"/>
                <w:bCs w:val="1"/>
                <w:color w:val="auto"/>
                <w:w w:val="89"/>
              </w:rPr>
              <w:t>Annual Retainer</w:t>
            </w:r>
            <w:r>
              <w:rPr>
                <w:rFonts w:ascii="Arial" w:cs="Arial" w:eastAsia="Arial" w:hAnsi="Arial"/>
                <w:sz w:val="22"/>
                <w:szCs w:val="22"/>
                <w:b w:val="1"/>
                <w:bCs w:val="1"/>
                <w:color w:val="auto"/>
                <w:w w:val="89"/>
                <w:vertAlign w:val="superscript"/>
              </w:rPr>
              <w:t>(1)</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Meeting Attended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Meeting Attended</w:t>
            </w:r>
          </w:p>
        </w:tc>
      </w:tr>
      <w:tr>
        <w:trPr>
          <w:trHeight w:val="452"/>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Bruce Barone</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$36,000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r>
      <w:tr>
        <w:trPr>
          <w:trHeight w:val="453"/>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Joseph Baute</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$36,000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r>
      <w:tr>
        <w:trPr>
          <w:trHeight w:val="453"/>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Donald Weatherson</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$36,000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$1,500</w:t>
            </w:r>
          </w:p>
        </w:tc>
      </w:tr>
    </w:tbl>
    <w:p>
      <w:pPr>
        <w:spacing w:after="0" w:line="19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addition, the non-employee directors receive reimbursement for all reasonable expenses incurred in attending board and committee meetings.</w:t>
      </w:r>
    </w:p>
    <w:p>
      <w:pPr>
        <w:spacing w:after="0" w:line="19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October 2006, the Board of Directors approved the grant of restricted stock to Directors Barone and Baute in the amount of 5,000 shares each. The restrictions on sale of such shares will be released at a rate of 25% per year on the first four anniversaries of the date of grant.</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CORPORATE 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 a Delaware corporation, is the parent company of the following wholly-owned subsidiaries:</w:t>
      </w:r>
    </w:p>
    <w:p>
      <w:pPr>
        <w:spacing w:after="0" w:line="17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PC Connection Sales Corporation, a Delaware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PCC Sales, Inc., a Delaware corporation (subsidiary of PC Connection Sales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Merrimack Services Corporation, a Delaware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GovConnection, Inc. a Maryland corporation.</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MoreDirect, Inc., a Florida corporation.</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We consent to the incorporation by reference in Registration Statement Nos. 333-40172, 333-50845, 333-50847, 333-66450, 333-69981, 333-83943, 333-91584, 333-106652, and 333-130389 on Form S-8 of our report dated March 28, 2007 (which report expresses an unqualified opinion and includes an explanatory paragraph relating to the adoption of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relating to the financial statements and financial statement schedule of PC Connection, Inc. appearing in this Annual Report on Form 10-K of PC Connection, Inc. for the year ended December 31,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2007</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PC Connection,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880" w:val="left"/>
          <w:tab w:leader="none" w:pos="8240" w:val="left"/>
        </w:tabs>
        <w:rPr>
          <w:sz w:val="20"/>
          <w:szCs w:val="20"/>
          <w:color w:val="auto"/>
        </w:rPr>
      </w:pPr>
      <w:r>
        <w:rPr>
          <w:rFonts w:ascii="Arial" w:cs="Arial" w:eastAsia="Arial" w:hAnsi="Arial"/>
          <w:sz w:val="18"/>
          <w:szCs w:val="18"/>
          <w:color w:val="auto"/>
        </w:rPr>
        <w:t>Date: March 28, 2007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PC Connection,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March 28, 2007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Senior Vice President, Treasurer, and Chief Financial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annual report on Form 10-K of PC Connection, Inc. (the “Company”) for the year ended December 31, 2006 as filed with the Securities and Exchange Commission on the date hereof (the “Report”), the undersigned, Patricia Gallup, Chief Executive Officer of the Company, hereby certifies, pursuant to 18 U.S.C. Section 1350, that:</w:t>
      </w:r>
    </w:p>
    <w:p>
      <w:pPr>
        <w:spacing w:after="0" w:line="59"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880" w:val="left"/>
          <w:tab w:leader="none" w:pos="8240" w:val="left"/>
        </w:tabs>
        <w:rPr>
          <w:sz w:val="20"/>
          <w:szCs w:val="20"/>
          <w:color w:val="auto"/>
        </w:rPr>
      </w:pPr>
      <w:r>
        <w:rPr>
          <w:rFonts w:ascii="Arial" w:cs="Arial" w:eastAsia="Arial" w:hAnsi="Arial"/>
          <w:sz w:val="18"/>
          <w:szCs w:val="18"/>
          <w:color w:val="auto"/>
        </w:rPr>
        <w:t>Date: March 28, 2007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annual report on Form 10-K of PC Connection, Inc. (the “Company”) for the year ended December 31, 2006 as filed with the Securities and Exchange Commission on the date hereof (the “Report”), the undersigned, Jack Ferguson, Senior Vice President, Treasurer, and Chief Financial Officer of the Company, hereby certifies, pursuant to 18 U.S.C. Section 1350, that:</w:t>
      </w:r>
    </w:p>
    <w:p>
      <w:pPr>
        <w:spacing w:after="0" w:line="59" w:lineRule="exact"/>
        <w:rPr>
          <w:sz w:val="20"/>
          <w:szCs w:val="20"/>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March 28, 2007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Senior Vice President, Treasurer,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3"/>
    </w:lvl>
  </w:abstractNum>
  <w:abstractNum w:abstractNumId="27">
    <w:nsid w:val="153EA438"/>
    <w:multiLevelType w:val="hybridMultilevel"/>
    <w:lvl w:ilvl="0">
      <w:lvlJc w:val="left"/>
      <w:lvlText w:val="(%1)"/>
      <w:numFmt w:val="lowerLetter"/>
      <w:start w:val="2"/>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2"/>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2"/>
      <w:numFmt w:val="bullet"/>
      <w:start w:val="1"/>
    </w:lvl>
  </w:abstractNum>
  <w:abstractNum w:abstractNumId="32">
    <w:nsid w:val="1D4ED43B"/>
    <w:multiLevelType w:val="hybridMultilevel"/>
    <w:lvl w:ilvl="0">
      <w:lvlJc w:val="left"/>
      <w:lvlText w:val="%1."/>
      <w:numFmt w:val="decimal"/>
      <w:start w:val="3"/>
    </w:lvl>
  </w:abstractNum>
  <w:abstractNum w:abstractNumId="33">
    <w:nsid w:val="725A06FB"/>
    <w:multiLevelType w:val="hybridMultilevel"/>
    <w:lvl w:ilvl="0">
      <w:lvlJc w:val="left"/>
      <w:lvlText w:val="%1."/>
      <w:numFmt w:val="decimal"/>
      <w:start w:val="4"/>
    </w:lvl>
  </w:abstractNum>
  <w:abstractNum w:abstractNumId="34">
    <w:nsid w:val="2CD89A32"/>
    <w:multiLevelType w:val="hybridMultilevel"/>
    <w:lvl w:ilvl="0">
      <w:lvlJc w:val="left"/>
      <w:lvlText w:val="%1."/>
      <w:numFmt w:val="decimal"/>
      <w:start w:val="6"/>
    </w:lvl>
  </w:abstractNum>
  <w:abstractNum w:abstractNumId="35">
    <w:nsid w:val="57E4CCAF"/>
    <w:multiLevelType w:val="hybridMultilevel"/>
    <w:lvl w:ilvl="0">
      <w:lvlJc w:val="left"/>
      <w:lvlText w:val="%1."/>
      <w:numFmt w:val="decimal"/>
      <w:start w:val="7"/>
    </w:lvl>
  </w:abstractNum>
  <w:abstractNum w:abstractNumId="36">
    <w:nsid w:val="7A6D8D3C"/>
    <w:multiLevelType w:val="hybridMultilevel"/>
    <w:lvl w:ilvl="0">
      <w:lvlJc w:val="left"/>
      <w:lvlText w:val="%1."/>
      <w:numFmt w:val="decimal"/>
      <w:start w:val="8"/>
    </w:lvl>
  </w:abstractNum>
  <w:abstractNum w:abstractNumId="37">
    <w:nsid w:val="4B588F54"/>
    <w:multiLevelType w:val="hybridMultilevel"/>
    <w:lvl w:ilvl="0">
      <w:lvlJc w:val="left"/>
      <w:lvlText w:val="%1."/>
      <w:numFmt w:val="decimal"/>
      <w:start w:val="9"/>
    </w:lvl>
  </w:abstractNum>
  <w:abstractNum w:abstractNumId="38">
    <w:nsid w:val="542289EC"/>
    <w:multiLevelType w:val="hybridMultilevel"/>
    <w:lvl w:ilvl="0">
      <w:lvlJc w:val="left"/>
      <w:lvlText w:val="%1."/>
      <w:numFmt w:val="decimal"/>
      <w:start w:val="10"/>
    </w:lvl>
  </w:abstractNum>
  <w:abstractNum w:abstractNumId="39">
    <w:nsid w:val="6DE91B18"/>
    <w:multiLevelType w:val="hybridMultilevel"/>
    <w:lvl w:ilvl="0">
      <w:lvlJc w:val="left"/>
      <w:lvlText w:val="%1."/>
      <w:numFmt w:val="decimal"/>
      <w:start w:val="11"/>
    </w:lvl>
  </w:abstractNum>
  <w:abstractNum w:abstractNumId="40">
    <w:nsid w:val="38437FDB"/>
    <w:multiLevelType w:val="hybridMultilevel"/>
    <w:lvl w:ilvl="0">
      <w:lvlJc w:val="left"/>
      <w:lvlText w:val="%1."/>
      <w:numFmt w:val="decimal"/>
      <w:start w:val="12"/>
    </w:lvl>
  </w:abstractNum>
  <w:abstractNum w:abstractNumId="41">
    <w:nsid w:val="7644A45C"/>
    <w:multiLevelType w:val="hybridMultilevel"/>
    <w:lvl w:ilvl="0">
      <w:lvlJc w:val="left"/>
      <w:lvlText w:val="%1."/>
      <w:numFmt w:val="decimal"/>
      <w:start w:val="13"/>
    </w:lvl>
  </w:abstractNum>
  <w:abstractNum w:abstractNumId="42">
    <w:nsid w:val="32FFF902"/>
    <w:multiLevelType w:val="hybridMultilevel"/>
    <w:lvl w:ilvl="0">
      <w:lvlJc w:val="left"/>
      <w:lvlText w:val="%1."/>
      <w:numFmt w:val="decimal"/>
      <w:start w:val="14"/>
    </w:lvl>
  </w:abstractNum>
  <w:abstractNum w:abstractNumId="43">
    <w:nsid w:val="684A481A"/>
    <w:multiLevelType w:val="hybridMultilevel"/>
    <w:lvl w:ilvl="0">
      <w:lvlJc w:val="left"/>
      <w:lvlText w:val="%1."/>
      <w:numFmt w:val="decimal"/>
      <w:start w:val="15"/>
    </w:lvl>
  </w:abstractNum>
  <w:abstractNum w:abstractNumId="44">
    <w:nsid w:val="579478FE"/>
    <w:multiLevelType w:val="hybridMultilevel"/>
    <w:lvl w:ilvl="0">
      <w:lvlJc w:val="left"/>
      <w:lvlText w:val="%1."/>
      <w:numFmt w:val="decimal"/>
      <w:start w:val="16"/>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3"/>
    </w:lvl>
    <w:lvl w:ilvl="1">
      <w:lvlJc w:val="left"/>
      <w:lvlText w:val="•"/>
      <w:numFmt w:val="bullet"/>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2019-12-14T19:00:09Z</dcterms:created>
  <dcterms:modified xsi:type="dcterms:W3CDTF">2019-12-14T19:00:09Z</dcterms:modified>
</cp:coreProperties>
</file>