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41"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5" w:lineRule="exact"/>
        <w:rPr>
          <w:sz w:val="24"/>
          <w:szCs w:val="24"/>
          <w:color w:val="auto"/>
        </w:rPr>
      </w:pPr>
    </w:p>
    <w:p>
      <w:pPr>
        <w:sectPr>
          <w:pgSz w:w="11900" w:h="16838" w:orient="portrait"/>
          <w:cols w:equalWidth="0" w:num="2">
            <w:col w:w="2840" w:space="620"/>
            <w:col w:w="7820"/>
          </w:cols>
          <w:pgMar w:left="240" w:top="230" w:right="379" w:bottom="1440"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color w:val="auto"/>
        </w:rPr>
        <w:t>Commission file number 0-23827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PC CONNECTION,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1420" w:type="dxa"/>
        <w:tblCellMar>
          <w:top w:w="0" w:type="dxa"/>
          <w:left w:w="0" w:type="dxa"/>
          <w:bottom w:w="0" w:type="dxa"/>
          <w:right w:w="0" w:type="dxa"/>
        </w:tblCellMar>
      </w:tblPr>
      <w:tr>
        <w:trPr>
          <w:trHeight w:val="2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DELAWARE</w:t>
            </w:r>
          </w:p>
        </w:tc>
        <w:tc>
          <w:tcPr>
            <w:tcW w:w="5040" w:type="dxa"/>
            <w:vAlign w:val="bottom"/>
          </w:tcPr>
          <w:p>
            <w:pPr>
              <w:jc w:val="right"/>
              <w:ind w:right="24"/>
              <w:spacing w:after="0"/>
              <w:rPr>
                <w:sz w:val="20"/>
                <w:szCs w:val="20"/>
                <w:color w:val="auto"/>
              </w:rPr>
            </w:pPr>
            <w:r>
              <w:rPr>
                <w:rFonts w:ascii="Arial" w:cs="Arial" w:eastAsia="Arial" w:hAnsi="Arial"/>
                <w:sz w:val="18"/>
                <w:szCs w:val="18"/>
                <w:b w:val="1"/>
                <w:bCs w:val="1"/>
                <w:color w:val="auto"/>
              </w:rPr>
              <w:t>02-0513618</w:t>
            </w:r>
          </w:p>
        </w:tc>
      </w:tr>
      <w:tr>
        <w:trPr>
          <w:trHeight w:val="149"/>
        </w:trPr>
        <w:tc>
          <w:tcPr>
            <w:tcW w:w="2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040" w:type="dxa"/>
            <w:vAlign w:val="bottom"/>
          </w:tcPr>
          <w:p>
            <w:pPr>
              <w:jc w:val="center"/>
              <w:ind w:left="392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7"/>
              </w:rPr>
              <w:t>730 MILFORD ROAD,</w:t>
            </w:r>
          </w:p>
        </w:tc>
        <w:tc>
          <w:tcPr>
            <w:tcW w:w="5040" w:type="dxa"/>
            <w:vAlign w:val="bottom"/>
          </w:tcPr>
          <w:p>
            <w:pPr>
              <w:spacing w:after="0"/>
              <w:rPr>
                <w:sz w:val="24"/>
                <w:szCs w:val="24"/>
                <w:color w:val="auto"/>
              </w:rPr>
            </w:pPr>
          </w:p>
        </w:tc>
      </w:tr>
      <w:tr>
        <w:trPr>
          <w:trHeight w:val="218"/>
        </w:trPr>
        <w:tc>
          <w:tcPr>
            <w:tcW w:w="2800" w:type="dxa"/>
            <w:vAlign w:val="bottom"/>
          </w:tcPr>
          <w:p>
            <w:pPr>
              <w:jc w:val="center"/>
              <w:spacing w:after="0"/>
              <w:rPr>
                <w:sz w:val="20"/>
                <w:szCs w:val="20"/>
                <w:color w:val="auto"/>
              </w:rPr>
            </w:pPr>
            <w:r>
              <w:rPr>
                <w:rFonts w:ascii="Arial" w:cs="Arial" w:eastAsia="Arial" w:hAnsi="Arial"/>
                <w:sz w:val="18"/>
                <w:szCs w:val="18"/>
                <w:b w:val="1"/>
                <w:bCs w:val="1"/>
                <w:color w:val="auto"/>
              </w:rPr>
              <w:t>MERRIMACK, NEW HAMPSHIRE</w:t>
            </w:r>
          </w:p>
        </w:tc>
        <w:tc>
          <w:tcPr>
            <w:tcW w:w="5040" w:type="dxa"/>
            <w:vAlign w:val="bottom"/>
          </w:tcPr>
          <w:p>
            <w:pPr>
              <w:jc w:val="right"/>
              <w:ind w:right="224"/>
              <w:spacing w:after="0"/>
              <w:rPr>
                <w:sz w:val="20"/>
                <w:szCs w:val="20"/>
                <w:color w:val="auto"/>
              </w:rPr>
            </w:pPr>
            <w:r>
              <w:rPr>
                <w:rFonts w:ascii="Arial" w:cs="Arial" w:eastAsia="Arial" w:hAnsi="Arial"/>
                <w:sz w:val="18"/>
                <w:szCs w:val="18"/>
                <w:b w:val="1"/>
                <w:bCs w:val="1"/>
                <w:color w:val="auto"/>
              </w:rPr>
              <w:t>03054</w:t>
            </w:r>
          </w:p>
        </w:tc>
      </w:tr>
      <w:tr>
        <w:trPr>
          <w:trHeight w:val="174"/>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040" w:type="dxa"/>
            <w:vAlign w:val="bottom"/>
          </w:tcPr>
          <w:p>
            <w:pPr>
              <w:jc w:val="center"/>
              <w:ind w:left="3924"/>
              <w:spacing w:after="0"/>
              <w:rPr>
                <w:sz w:val="20"/>
                <w:szCs w:val="20"/>
                <w:color w:val="auto"/>
              </w:rPr>
            </w:pPr>
            <w:r>
              <w:rPr>
                <w:rFonts w:ascii="Arial" w:cs="Arial" w:eastAsia="Arial" w:hAnsi="Arial"/>
                <w:sz w:val="14"/>
                <w:szCs w:val="14"/>
                <w:b w:val="1"/>
                <w:bCs w:val="1"/>
                <w:color w:val="auto"/>
                <w:w w:val="92"/>
              </w:rPr>
              <w:t>(Zip Code)</w:t>
            </w:r>
          </w:p>
        </w:tc>
      </w:tr>
      <w:tr>
        <w:trPr>
          <w:trHeight w:val="352"/>
        </w:trPr>
        <w:tc>
          <w:tcPr>
            <w:tcW w:w="2800" w:type="dxa"/>
            <w:vAlign w:val="bottom"/>
          </w:tcPr>
          <w:p>
            <w:pPr>
              <w:spacing w:after="0"/>
              <w:rPr>
                <w:sz w:val="24"/>
                <w:szCs w:val="24"/>
                <w:color w:val="auto"/>
              </w:rPr>
            </w:pPr>
          </w:p>
        </w:tc>
        <w:tc>
          <w:tcPr>
            <w:tcW w:w="5040" w:type="dxa"/>
            <w:vAlign w:val="bottom"/>
          </w:tcPr>
          <w:p>
            <w:pPr>
              <w:jc w:val="right"/>
              <w:ind w:right="2924"/>
              <w:spacing w:after="0"/>
              <w:rPr>
                <w:sz w:val="20"/>
                <w:szCs w:val="20"/>
                <w:color w:val="auto"/>
              </w:rPr>
            </w:pPr>
            <w:r>
              <w:rPr>
                <w:rFonts w:ascii="Arial" w:cs="Arial" w:eastAsia="Arial" w:hAnsi="Arial"/>
                <w:sz w:val="18"/>
                <w:szCs w:val="18"/>
                <w:b w:val="1"/>
                <w:bCs w:val="1"/>
                <w:color w:val="auto"/>
              </w:rPr>
              <w:t>(603) 683-2000</w:t>
            </w:r>
          </w:p>
        </w:tc>
      </w:tr>
      <w:tr>
        <w:trPr>
          <w:trHeight w:val="174"/>
        </w:trPr>
        <w:tc>
          <w:tcPr>
            <w:tcW w:w="2800" w:type="dxa"/>
            <w:vAlign w:val="bottom"/>
          </w:tcPr>
          <w:p>
            <w:pPr>
              <w:spacing w:after="0"/>
              <w:rPr>
                <w:sz w:val="15"/>
                <w:szCs w:val="15"/>
                <w:color w:val="auto"/>
              </w:rPr>
            </w:pPr>
          </w:p>
        </w:tc>
        <w:tc>
          <w:tcPr>
            <w:tcW w:w="5040" w:type="dxa"/>
            <w:vAlign w:val="bottom"/>
          </w:tcPr>
          <w:p>
            <w:pPr>
              <w:jc w:val="center"/>
              <w:ind w:right="1964"/>
              <w:spacing w:after="0"/>
              <w:rPr>
                <w:sz w:val="20"/>
                <w:szCs w:val="20"/>
                <w:color w:val="auto"/>
              </w:rPr>
            </w:pPr>
            <w:r>
              <w:rPr>
                <w:rFonts w:ascii="Arial" w:cs="Arial" w:eastAsia="Arial" w:hAnsi="Arial"/>
                <w:sz w:val="14"/>
                <w:szCs w:val="14"/>
                <w:b w:val="1"/>
                <w:bCs w:val="1"/>
                <w:color w:val="auto"/>
                <w:w w:val="85"/>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111760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 N/A</w:t>
      </w:r>
    </w:p>
    <w:p>
      <w:pPr>
        <w:spacing w:after="0" w:line="177" w:lineRule="exact"/>
        <w:rPr>
          <w:sz w:val="24"/>
          <w:szCs w:val="24"/>
          <w:color w:val="auto"/>
        </w:rPr>
      </w:pPr>
    </w:p>
    <w:p>
      <w:pPr>
        <w:ind w:right="100" w:firstLine="45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7" w:lineRule="exact"/>
        <w:rPr>
          <w:sz w:val="24"/>
          <w:szCs w:val="24"/>
          <w:color w:val="auto"/>
        </w:rPr>
      </w:pPr>
    </w:p>
    <w:p>
      <w:pPr>
        <w:jc w:val="center"/>
        <w:ind w:right="-139"/>
        <w:spacing w:after="0" w:line="207" w:lineRule="exact"/>
        <w:tabs>
          <w:tab w:leader="none" w:pos="16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8" w:lineRule="exact"/>
        <w:rPr>
          <w:sz w:val="24"/>
          <w:szCs w:val="24"/>
          <w:color w:val="auto"/>
        </w:rPr>
      </w:pPr>
    </w:p>
    <w:p>
      <w:pPr>
        <w:ind w:left="460" w:right="2080" w:firstLine="1752"/>
        <w:spacing w:after="0" w:line="27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w:t>
      </w:r>
    </w:p>
    <w:p>
      <w:pPr>
        <w:spacing w:after="0" w:line="42" w:lineRule="exact"/>
        <w:rPr>
          <w:sz w:val="24"/>
          <w:szCs w:val="24"/>
          <w:color w:val="auto"/>
        </w:rPr>
      </w:pPr>
    </w:p>
    <w:p>
      <w:pPr>
        <w:ind w:left="5080"/>
        <w:spacing w:after="0" w:line="207" w:lineRule="exact"/>
        <w:tabs>
          <w:tab w:leader="none" w:pos="5820" w:val="left"/>
        </w:tabs>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b w:val="1"/>
          <w:bCs w:val="1"/>
          <w:color w:val="auto"/>
        </w:rPr>
        <w:t xml:space="preserve">NO </w:t>
      </w:r>
      <w:r>
        <w:rPr>
          <w:rFonts w:ascii="MS PGothic" w:cs="MS PGothic" w:eastAsia="MS PGothic" w:hAnsi="MS PGothic"/>
          <w:sz w:val="16"/>
          <w:szCs w:val="16"/>
          <w:color w:val="auto"/>
          <w:highlight w:val="black"/>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number of shares outstanding of the issuer’s common stock as of May 4, 2007 was 26,801,771.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PC CONNECTION,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180" w:type="dxa"/>
            <w:vAlign w:val="bottom"/>
            <w:gridSpan w:val="10"/>
            <w:vMerge w:val="restart"/>
          </w:tcPr>
          <w:p>
            <w:pPr>
              <w:jc w:val="center"/>
              <w:ind w:right="194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180" w:type="dxa"/>
            <w:vAlign w:val="bottom"/>
            <w:gridSpan w:val="10"/>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4"/>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Report of Independent Registered Public Accounting Firm</w:t>
              </w:r>
            </w:hyperlink>
          </w:p>
        </w:tc>
        <w:tc>
          <w:tcPr>
            <w:tcW w:w="578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Balance Sheets—March 31, 2007 and December 31, 2006</w:t>
              </w:r>
            </w:hyperlink>
          </w:p>
        </w:tc>
        <w:tc>
          <w:tcPr>
            <w:tcW w:w="40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Income—Three months ended March 31, 2007 and 2006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2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Changes in Stockholders’ Equity—Three months ended March 31, 2007</w:t>
              </w:r>
            </w:hyperlink>
          </w:p>
        </w:tc>
        <w:tc>
          <w:tcPr>
            <w:tcW w:w="2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Flows—Three months ended March 31, 2007 and 2006</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Borders>
              <w:top w:val="single" w:sz="8" w:color="0000EE"/>
            </w:tcBorders>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28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6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Quantitative and Qualitative Disclosures About Market Risk</w:t>
              </w:r>
            </w:hyperlink>
          </w:p>
        </w:tc>
        <w:tc>
          <w:tcPr>
            <w:tcW w:w="56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43"/>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180" w:type="dxa"/>
            <w:vAlign w:val="bottom"/>
            <w:gridSpan w:val="10"/>
          </w:tcPr>
          <w:p>
            <w:pPr>
              <w:jc w:val="center"/>
              <w:ind w:right="1940"/>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Risk Factors</w:t>
              </w:r>
            </w:hyperlink>
          </w:p>
        </w:tc>
        <w:tc>
          <w:tcPr>
            <w:tcW w:w="902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Unregistered Sales of Equity Securities and Use of Proceeds</w:t>
              </w:r>
            </w:hyperlink>
          </w:p>
        </w:tc>
        <w:tc>
          <w:tcPr>
            <w:tcW w:w="56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Other Information</w:t>
              </w:r>
            </w:hyperlink>
          </w:p>
        </w:tc>
        <w:tc>
          <w:tcPr>
            <w:tcW w:w="862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00" w:type="dxa"/>
            <w:vAlign w:val="bottom"/>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1140" w:type="dxa"/>
            <w:vAlign w:val="bottom"/>
            <w:tcBorders>
              <w:bottom w:val="single" w:sz="8" w:color="0000EE"/>
            </w:tcBorders>
          </w:tcPr>
          <w:p>
            <w:pPr>
              <w:spacing w:after="0"/>
              <w:rPr>
                <w:rFonts w:ascii="Arial" w:cs="Arial" w:eastAsia="Arial" w:hAnsi="Arial"/>
                <w:sz w:val="18"/>
                <w:szCs w:val="18"/>
                <w:b w:val="1"/>
                <w:bCs w:val="1"/>
                <w:color w:val="0000EE"/>
                <w:w w:val="94"/>
              </w:rPr>
            </w:pPr>
            <w:hyperlink w:anchor="page35">
              <w:r>
                <w:rPr>
                  <w:rFonts w:ascii="Arial" w:cs="Arial" w:eastAsia="Arial" w:hAnsi="Arial"/>
                  <w:sz w:val="18"/>
                  <w:szCs w:val="18"/>
                  <w:b w:val="1"/>
                  <w:bCs w:val="1"/>
                  <w:color w:val="0000EE"/>
                  <w:w w:val="94"/>
                </w:rPr>
                <w:t>SIGNATURES</w:t>
              </w:r>
            </w:hyperlink>
          </w:p>
        </w:tc>
        <w:tc>
          <w:tcPr>
            <w:tcW w:w="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New Hampshire</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PC Connection, Inc. and subsidiaries (the “Company”) as of March 31, 2007, and the related condensed consolidated statements of income and of cash flows for the three-month periods ended March 31, 2007 and 2006, and the condensed consolidated statement of changes in stockholders’ equity for the three-month period ended March 31, 2007. These interim financial statements are the responsibility of the Company’s management.</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interim financial statements for them to be in conformity with accounting principles generally accepted in the United States of America.</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PC Connection, Inc. and subsidiaries as of December 31, 2006, and the related consolidated statements of income, stockholders’ equity, and cash flows for the year then ended (not presented herein); and in our report dated March 28, 2007, we expressed an unqualified opinion on those consolidated financial statements. In our opinion, the information set forth in the accompanying condensed consolidated balance sheet as of December 31, 2006 is fairly stated, in all material respects, in relation to the consolidated balance sheet from which it has been derived.</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discussed in Note 3 to the condensed consolidated interim financial statements, effective January 1, 2007, the Company adopted Financial Accounting Standards Board (“FASB”) Interpretation No. 48, “Accounting for Uncertainty in Income Taxes—an interpretation of FASB Statement 109, Accounting for Income Taxes.”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680" w:type="dxa"/>
            <w:vAlign w:val="bottom"/>
            <w:gridSpan w:val="2"/>
          </w:tcPr>
          <w:p>
            <w:pPr>
              <w:ind w:left="20"/>
              <w:spacing w:after="0" w:line="143" w:lineRule="exact"/>
              <w:rPr>
                <w:sz w:val="20"/>
                <w:szCs w:val="20"/>
                <w:color w:val="auto"/>
              </w:rPr>
            </w:pPr>
            <w:r>
              <w:rPr>
                <w:rFonts w:ascii="Arial" w:cs="Arial" w:eastAsia="Arial" w:hAnsi="Arial"/>
                <w:sz w:val="14"/>
                <w:szCs w:val="14"/>
                <w:b w:val="1"/>
                <w:bCs w:val="1"/>
                <w:i w:val="1"/>
                <w:iCs w:val="1"/>
                <w:color w:val="auto"/>
                <w:w w:val="83"/>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24,668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146,334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170,222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Inventories—merchandise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67,407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4,007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1,996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248,379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265,557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19,390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56,867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4,095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12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329,078</w:t>
            </w:r>
          </w:p>
        </w:tc>
        <w:tc>
          <w:tcPr>
            <w:tcW w:w="340" w:type="dxa"/>
            <w:vAlign w:val="bottom"/>
          </w:tcPr>
          <w:p>
            <w:pPr>
              <w:spacing w:after="0"/>
              <w:rPr>
                <w:sz w:val="19"/>
                <w:szCs w:val="19"/>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346,684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ind w:left="242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maturities of capital lease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860"/>
              <w:spacing w:after="0"/>
              <w:rPr>
                <w:sz w:val="20"/>
                <w:szCs w:val="20"/>
                <w:color w:val="auto"/>
              </w:rPr>
            </w:pPr>
            <w:r>
              <w:rPr>
                <w:rFonts w:ascii="Arial" w:cs="Arial" w:eastAsia="Arial" w:hAnsi="Arial"/>
                <w:sz w:val="18"/>
                <w:szCs w:val="18"/>
                <w:color w:val="auto"/>
              </w:rPr>
              <w:t>To affiliate</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477</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 third party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89,067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110,977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17,080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Accrued payroll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112,468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138,592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Capital lease obligation, less current maturities: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 affiliate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4,712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6,354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12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125,822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149,780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92,847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112,360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109,321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30"/>
        </w:trPr>
        <w:tc>
          <w:tcPr>
            <w:tcW w:w="20" w:type="dxa"/>
            <w:vAlign w:val="bottom"/>
          </w:tcPr>
          <w:p>
            <w:pPr>
              <w:spacing w:after="0"/>
              <w:rPr>
                <w:sz w:val="20"/>
                <w:szCs w:val="20"/>
                <w:color w:val="auto"/>
              </w:rPr>
            </w:pPr>
          </w:p>
        </w:tc>
        <w:tc>
          <w:tcPr>
            <w:tcW w:w="9240" w:type="dxa"/>
            <w:vAlign w:val="bottom"/>
          </w:tcPr>
          <w:p>
            <w:pPr>
              <w:ind w:left="1280"/>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203,256</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196,904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6"/>
              </w:rPr>
              <w:t>329,078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346,684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398,180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348,265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334,060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44,193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tcPr>
          <w:p>
            <w:pPr>
              <w:ind w:left="440"/>
              <w:spacing w:after="0"/>
              <w:rPr>
                <w:sz w:val="20"/>
                <w:szCs w:val="20"/>
                <w:color w:val="auto"/>
              </w:rPr>
            </w:pPr>
            <w:r>
              <w:rPr>
                <w:rFonts w:ascii="Arial" w:cs="Arial" w:eastAsia="Arial" w:hAnsi="Arial"/>
                <w:sz w:val="18"/>
                <w:szCs w:val="18"/>
                <w:b w:val="1"/>
                <w:bCs w:val="1"/>
                <w:color w:val="auto"/>
              </w:rPr>
              <w:t>Income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5,722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before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(2,330)</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3,385</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26,680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27,005</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amounts in thousands</w:t>
      </w:r>
      <w:r>
        <w:rPr>
          <w:rFonts w:ascii="Arial" w:cs="Arial" w:eastAsia="Arial" w:hAnsi="Arial"/>
          <w:sz w:val="18"/>
          <w:szCs w:val="18"/>
          <w:b w:val="1"/>
          <w:bCs w:val="1"/>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20" w:type="dxa"/>
            <w:vAlign w:val="bottom"/>
            <w:gridSpan w:val="5"/>
          </w:tcPr>
          <w:p>
            <w:pPr>
              <w:ind w:left="1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Additional</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Retained</w:t>
            </w:r>
          </w:p>
        </w:tc>
        <w:tc>
          <w:tcPr>
            <w:tcW w:w="1580" w:type="dxa"/>
            <w:vAlign w:val="bottom"/>
            <w:gridSpan w:val="5"/>
          </w:tcPr>
          <w:p>
            <w:pPr>
              <w:ind w:left="180"/>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Borders>
              <w:top w:val="single" w:sz="8" w:color="auto"/>
            </w:tcBorders>
            <w:gridSpan w:val="2"/>
          </w:tcPr>
          <w:p>
            <w:pPr>
              <w:spacing w:after="0"/>
              <w:rPr>
                <w:sz w:val="12"/>
                <w:szCs w:val="12"/>
                <w:color w:val="auto"/>
              </w:rPr>
            </w:pPr>
          </w:p>
        </w:tc>
        <w:tc>
          <w:tcPr>
            <w:tcW w:w="5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Paid-In Capital</w:t>
            </w:r>
          </w:p>
        </w:tc>
        <w:tc>
          <w:tcPr>
            <w:tcW w:w="3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Earnings</w:t>
            </w:r>
          </w:p>
        </w:tc>
        <w:tc>
          <w:tcPr>
            <w:tcW w:w="28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Balance—January 1, 2007</w:t>
            </w: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7"/>
              </w:rPr>
              <w:t>26,862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269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89,537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$ 109,321</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(352)</w:t>
            </w:r>
          </w:p>
        </w:tc>
        <w:tc>
          <w:tcPr>
            <w:tcW w:w="98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 (2,223)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196,904</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Cumulative effect of change in accounting principle</w:t>
            </w:r>
          </w:p>
        </w:tc>
        <w:tc>
          <w:tcPr>
            <w:tcW w:w="7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(346)</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(346)</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Exercise of stock options, including income tax benefits</w:t>
            </w: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86"/>
              </w:rPr>
              <w:t>292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260"/>
              <w:spacing w:after="0"/>
              <w:rPr>
                <w:sz w:val="20"/>
                <w:szCs w:val="20"/>
                <w:color w:val="auto"/>
              </w:rPr>
            </w:pPr>
            <w:r>
              <w:rPr>
                <w:rFonts w:ascii="Arial" w:cs="Arial" w:eastAsia="Arial" w:hAnsi="Arial"/>
                <w:sz w:val="15"/>
                <w:szCs w:val="15"/>
                <w:color w:val="auto"/>
                <w:w w:val="71"/>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3,378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9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3,381</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3,385</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3,385</w:t>
            </w: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Balance—March 31, 2007</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3"/>
              </w:rPr>
              <w:t>27,154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272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92,847</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$ 112,360</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w w:val="71"/>
              </w:rPr>
              <w:t>(352)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(2,223</w:t>
            </w:r>
          </w:p>
        </w:tc>
        <w:tc>
          <w:tcPr>
            <w:tcW w:w="280" w:type="dxa"/>
            <w:vAlign w:val="bottom"/>
          </w:tcPr>
          <w:p>
            <w:pPr>
              <w:jc w:val="right"/>
              <w:ind w:right="13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203,256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3"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3,385</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1,888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excess tax benefit from exercise of stock options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(343)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Income tax benefits from exercise of stock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887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23,551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(1,454)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w w:val="89"/>
              </w:rPr>
              <w:t>(21,910)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b w:val="1"/>
                <w:bCs w:val="1"/>
                <w:color w:val="auto"/>
              </w:rPr>
              <w:t>(2,179)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5,940</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(1,474)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(1,474)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125,911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(130,737)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tcPr>
          <w:p>
            <w:pPr>
              <w:spacing w:after="0"/>
              <w:rPr>
                <w:sz w:val="18"/>
                <w:szCs w:val="18"/>
                <w:color w:val="auto"/>
              </w:rPr>
            </w:pPr>
          </w:p>
        </w:tc>
        <w:tc>
          <w:tcPr>
            <w:tcW w:w="11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Gross excess tax benefit from exercise of stock options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(used for)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vMerge w:val="restart"/>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7,086</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17,582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24,668</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PC Connection, Inc. and its subsidiaries (the “Company,” “we,” “us,” or “our”) have been prepared in accordance with accounting principles generally accepted in the United States of America. Such principles were applied on a basis consistent with those of the financial statements contained in our Annual Report on Form 10-K for the year ended December 31, 2006 filed with the Securities and Exchange Commission (the “SEC”). The accompanying condensed consolidated financial statements should be read in conjunction with the financial statements contained in our Annual Report on Form 10-K. In the opinion of management, the accompanying unaudited condensed consolidated financial statements contain all adjustments (consisting only of normal recurring adjustments) necessary for a fair presentation of the results of operations for the interim periods reported and of the Company’s financial condition as of the date of the interim balance sheet. The operating results for the three months ended March 31, 2007 may not be indicative of the results expected for any succeeding quarter or the entire year ending December 31, 2007.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Revenue on product sales is recognized at the point in time when persuasive evidence of an arrangement exists, the price is fixed and final, delivery has occurred, and there is a reasonable assurance of collection of the sales proceeds. We generally obtain oral or written purchase authorizations from our customers for a specified amount of product at a specified price. Because we either (i) have a general practice of covering customer losses while products are in-transit despite title transferring at the point of shipment or (ii) have FOB–destination specifically set out in our arrangements with federal agencies and certain commercial customers, delivery is deemed to have occurred at the point in time when the product is received by the customer.</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provide our customers with a limited thirty-day right of return generally limited to defective merchandise. Revenue is recognized at delivery and a reserve for sales returns is recorded. We have demonstrated the ability to make reasonable and reliable estimates of product returns in accordance with Statement of Financial Accounting Standards (“SFAS”) No. 48, “Revenue Recognition When Right of Return Exists,” based on significant historical experience.</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All amounts billed to a customer in a sale transaction related to shipping and handling, if any, represent revenues earned for the goods provided, and these amounts have been classified as “net sales.” Costs related to such shipping and handling billings are classified as “cost of sales.”</w:t>
      </w:r>
    </w:p>
    <w:p>
      <w:pPr>
        <w:spacing w:after="0" w:line="85"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Revenue for third party service contracts is recorded on a net sales recognition basis because we do not assume the risks and rewards of ownership in these transactions. For such contracts, we evaluate whether the sales of such services should be recorded as gross sales or net sales as required under the guidelines described in Staff Accounting Bulletin No. 104, “Revenue Recognition” and Emerging Issues Task Force (“EITF”) Issue No. 99-19, “Reporting Revenue Gross as a Principal versus Net as an Agent.” Under gross sales recognition, we are the primary obligor, and the entire selling price is recorded in sales with our cost to the third party service provider recorded as a cost of sales. Under net sales recognition, we are not the primary obligor, and the cost to the third party service provider is recorded as a reduction to sales, with no cost of goods sold, thus leaving the entire gross profit as the reported net sale for the transaction.</w:t>
      </w:r>
    </w:p>
    <w:p>
      <w:pPr>
        <w:spacing w:after="0" w:line="10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Similarly, we recognize revenue from agency sales transactions on a net sales basis. In agency sales transactions, we facilitate product sales by manufacturers directly to our customers and receive agency fees for such transactions. We do not take title to the products in these transactions; title is passed directly from the supplier to our customer.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Cost of sales includes the invoice cost of the product, packaging, inbound and outbound freight, and provisions for inventory obsolescence, adjusted for discounts, rebates, and other vendor consideration adjustments, including those pursuant to EITF Issue No. 02-16, “Accounting by a Customer (Including a Reseller) for Certain Consideration Received from a Vendor” (“EITF 02-16”). Direct operating expenses relating to our purchasing function and receiving, inspection, internal transfer, warehousing, packing and shipping, and other expenses of our distribution center are included in selling, general and administrative, or SG&amp;A, expense. Total direct operating expenses relating to these functions included in SG&amp;A expenses for the periods reported are shown below:</w:t>
      </w:r>
    </w:p>
    <w:p>
      <w:pPr>
        <w:spacing w:after="0" w:line="13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jc w:val="center"/>
        <w:ind w:left="8360"/>
        <w:spacing w:after="0" w:line="221" w:lineRule="auto"/>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43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190"/>
        </w:trPr>
        <w:tc>
          <w:tcPr>
            <w:tcW w:w="4360" w:type="dxa"/>
            <w:vAlign w:val="bottom"/>
            <w:shd w:val="clear" w:color="auto" w:fill="CCEEFF"/>
          </w:tcPr>
          <w:p>
            <w:pPr>
              <w:jc w:val="right"/>
              <w:ind w:right="3912"/>
              <w:spacing w:after="0" w:line="189" w:lineRule="exact"/>
              <w:rPr>
                <w:sz w:val="20"/>
                <w:szCs w:val="20"/>
                <w:color w:val="auto"/>
              </w:rPr>
            </w:pPr>
            <w:r>
              <w:rPr>
                <w:rFonts w:ascii="Arial" w:cs="Arial" w:eastAsia="Arial" w:hAnsi="Arial"/>
                <w:sz w:val="18"/>
                <w:szCs w:val="18"/>
                <w:color w:val="auto"/>
                <w:w w:val="84"/>
              </w:rPr>
              <w:t>2007</w:t>
            </w:r>
          </w:p>
        </w:tc>
        <w:tc>
          <w:tcPr>
            <w:tcW w:w="44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2,787</w:t>
            </w:r>
          </w:p>
        </w:tc>
      </w:tr>
      <w:tr>
        <w:trPr>
          <w:trHeight w:val="222"/>
        </w:trPr>
        <w:tc>
          <w:tcPr>
            <w:tcW w:w="4360" w:type="dxa"/>
            <w:vAlign w:val="bottom"/>
          </w:tcPr>
          <w:p>
            <w:pPr>
              <w:jc w:val="right"/>
              <w:ind w:right="3912"/>
              <w:spacing w:after="0"/>
              <w:rPr>
                <w:sz w:val="20"/>
                <w:szCs w:val="20"/>
                <w:color w:val="auto"/>
              </w:rPr>
            </w:pPr>
            <w:r>
              <w:rPr>
                <w:rFonts w:ascii="Arial" w:cs="Arial" w:eastAsia="Arial" w:hAnsi="Arial"/>
                <w:sz w:val="18"/>
                <w:szCs w:val="18"/>
                <w:color w:val="auto"/>
                <w:w w:val="84"/>
              </w:rPr>
              <w:t>2006</w:t>
            </w:r>
          </w:p>
        </w:tc>
        <w:tc>
          <w:tcPr>
            <w:tcW w:w="4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2,698</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 and Allowances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Costs of producing and distributing catalogs are charged to expense in the month the respective catalog is issued. Other advertising costs are expensed as incurred.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Vendors have the ability to place advertisements in the catalogs for which we receive advertising allowances. These vendor allowances, to the extent that they represent specific reimbursements of such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accordance with EITF 02-16.</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Gross advertising allowances received from vendors were $7,568 and $7,220 for the three months ended March 31, 2007 and 2006, respectively. We classified $7,568 and $5,330 of these allowances as offsets to cost of sales or inventory for the three months ended March 31, 2007 and 2006, respectively. As advertising programs with our vendor partners have become more comprehensive, we have classified substantially all vendor consideration as a reduction of cost of inventory purchases rather than a reduction of advertising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designated January 1 of each year as the date we perform our annual impairment tests relative to goodwill and indefinite-lived intangible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completed the impairment review in January 2007 and determined that our goodwill and trademarks were not impaired.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not subject to amortization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March 31,</w:t>
            </w:r>
          </w:p>
        </w:tc>
      </w:tr>
      <w:tr>
        <w:trPr>
          <w:trHeight w:val="161"/>
        </w:trPr>
        <w:tc>
          <w:tcPr>
            <w:tcW w:w="28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2007</w:t>
            </w: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$ 56,867</w:t>
            </w:r>
          </w:p>
        </w:tc>
      </w:tr>
      <w:tr>
        <w:trPr>
          <w:trHeight w:val="228"/>
        </w:trPr>
        <w:tc>
          <w:tcPr>
            <w:tcW w:w="2800" w:type="dxa"/>
            <w:vAlign w:val="bottom"/>
          </w:tcPr>
          <w:p>
            <w:pPr>
              <w:spacing w:after="0"/>
              <w:rPr>
                <w:sz w:val="20"/>
                <w:szCs w:val="20"/>
                <w:color w:val="auto"/>
              </w:rPr>
            </w:pPr>
            <w:r>
              <w:rPr>
                <w:rFonts w:ascii="Arial" w:cs="Arial" w:eastAsia="Arial" w:hAnsi="Arial"/>
                <w:sz w:val="18"/>
                <w:szCs w:val="18"/>
                <w:color w:val="auto"/>
              </w:rPr>
              <w:t>Trademarks</w:t>
            </w:r>
          </w:p>
        </w:tc>
        <w:tc>
          <w:tcPr>
            <w:tcW w:w="6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1,190</w:t>
            </w:r>
          </w:p>
        </w:tc>
      </w:tr>
      <w:tr>
        <w:trPr>
          <w:trHeight w:val="350"/>
        </w:trPr>
        <w:tc>
          <w:tcPr>
            <w:tcW w:w="2800" w:type="dxa"/>
            <w:vAlign w:val="bottom"/>
          </w:tcPr>
          <w:p>
            <w:pPr>
              <w:spacing w:after="0"/>
              <w:rPr>
                <w:sz w:val="24"/>
                <w:szCs w:val="24"/>
                <w:color w:val="auto"/>
              </w:rPr>
            </w:pPr>
          </w:p>
        </w:tc>
        <w:tc>
          <w:tcPr>
            <w:tcW w:w="6180" w:type="dxa"/>
            <w:vAlign w:val="bottom"/>
          </w:tcPr>
          <w:p>
            <w:pPr>
              <w:jc w:val="right"/>
              <w:ind w:right="4052"/>
              <w:spacing w:after="0"/>
              <w:rPr>
                <w:sz w:val="20"/>
                <w:szCs w:val="20"/>
                <w:color w:val="auto"/>
              </w:rPr>
            </w:pPr>
            <w:r>
              <w:rPr>
                <w:rFonts w:ascii="Arial" w:cs="Arial" w:eastAsia="Arial" w:hAnsi="Arial"/>
                <w:sz w:val="18"/>
                <w:szCs w:val="18"/>
                <w:color w:val="auto"/>
              </w:rPr>
              <w:t>7</w:t>
            </w:r>
          </w:p>
        </w:tc>
        <w:tc>
          <w:tcPr>
            <w:tcW w:w="6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Intangible assets subject to amortization at March 31, 2007 consisted of customer lists of $2,608 and a licensing agreement of $297 (net of accumulated amortization of $2,612 and $178, respectively). Intangible assets subject to amortization at December 31, 2006 consisted of customer lists of $2,846 and a licensing agreement of $327 (net of accumulated amortization of $2,374 and $148, respectively). For the three months ended March 31, 2007 and 2006, we recorded amortization expense of $268 and $261, respectively.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for each of the five succeeding years and thereafter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For the Year Ended December 31,</w:t>
            </w:r>
          </w:p>
        </w:tc>
        <w:tc>
          <w:tcPr>
            <w:tcW w:w="1560" w:type="dxa"/>
            <w:vAlign w:val="bottom"/>
          </w:tcPr>
          <w:p>
            <w:pPr>
              <w:spacing w:after="0"/>
              <w:rPr>
                <w:sz w:val="14"/>
                <w:szCs w:val="14"/>
                <w:color w:val="auto"/>
              </w:rPr>
            </w:pP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803(A)</w:t>
            </w:r>
          </w:p>
        </w:tc>
      </w:tr>
      <w:tr>
        <w:trPr>
          <w:trHeight w:val="216"/>
        </w:trPr>
        <w:tc>
          <w:tcPr>
            <w:tcW w:w="9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2008</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1,071</w:t>
            </w: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15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942</w:t>
            </w:r>
          </w:p>
        </w:tc>
      </w:tr>
      <w:tr>
        <w:trPr>
          <w:trHeight w:val="216"/>
        </w:trPr>
        <w:tc>
          <w:tcPr>
            <w:tcW w:w="9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2010</w:t>
            </w:r>
          </w:p>
        </w:tc>
        <w:tc>
          <w:tcPr>
            <w:tcW w:w="1560" w:type="dxa"/>
            <w:vAlign w:val="bottom"/>
          </w:tcPr>
          <w:p>
            <w:pPr>
              <w:jc w:val="right"/>
              <w:ind w:right="172"/>
              <w:spacing w:after="0"/>
              <w:rPr>
                <w:sz w:val="20"/>
                <w:szCs w:val="20"/>
                <w:color w:val="auto"/>
              </w:rPr>
            </w:pPr>
            <w:r>
              <w:rPr>
                <w:rFonts w:ascii="Arial" w:cs="Arial" w:eastAsia="Arial" w:hAnsi="Arial"/>
                <w:sz w:val="18"/>
                <w:szCs w:val="18"/>
                <w:color w:val="auto"/>
              </w:rPr>
              <w:t>89</w:t>
            </w:r>
          </w:p>
        </w:tc>
      </w:tr>
      <w:tr>
        <w:trPr>
          <w:trHeight w:val="216"/>
        </w:trPr>
        <w:tc>
          <w:tcPr>
            <w:tcW w:w="9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 and thereafter</w:t>
            </w:r>
          </w:p>
        </w:tc>
        <w:tc>
          <w:tcPr>
            <w:tcW w:w="15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r>
      <w:tr>
        <w:trPr>
          <w:trHeight w:val="108"/>
        </w:trPr>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760" w:type="dxa"/>
            <w:vAlign w:val="bottom"/>
          </w:tcPr>
          <w:p>
            <w:pPr>
              <w:spacing w:after="0"/>
              <w:rPr>
                <w:sz w:val="9"/>
                <w:szCs w:val="9"/>
                <w:color w:val="auto"/>
              </w:rPr>
            </w:pPr>
          </w:p>
        </w:tc>
        <w:tc>
          <w:tcPr>
            <w:tcW w:w="1560" w:type="dxa"/>
            <w:vAlign w:val="bottom"/>
          </w:tcPr>
          <w:p>
            <w:pPr>
              <w:spacing w:after="0"/>
              <w:rPr>
                <w:sz w:val="9"/>
                <w:szCs w:val="9"/>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Represents estimated amortization expense for the nine-month period ending December 31, 2007.</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These estimates and assumptions affect the amounts reported in the accompanying condensed consolidated financial statements. Actual results could differ from those estimates.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Effective January 1, 2006, we adopted Financial Accounting Standards Board (“FASB”) Statement No. 123 (revised), or SFAS 123(R), using the modified prospective application method. SFAS No. 123(R) requires a company to measure the grant date fair value of equity awards given to employees and recognize that cost, adjusted for forfeitures, over the period that such services are performed in its consolidated financial statements. See Note 10, “Stockholders’ Equity and Share-Based Compensation” of Notes to Consolidated Financial Statements of our Annual Report on Form 10-K for the year ended December 31, 2006, to review the effect of adoption of SFAS 123(R) on our financial statements. SFAS 123(R) requires forfeitures to be estimated at the time of grant and revised, if necessary, in subsequent periods if actual forfeitures experienced differ from these estimates. As a result of the cancellation of unvested stock options forfeited in the first quarter of 2007, we reversed compensation previously recognized for these cancelled options pursuant to SFAS 123(R). This reversal of expense resulted in a net credit recorded for share-based compensation in the first quarter of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2—Earnings Per Share</w:t>
      </w:r>
    </w:p>
    <w:p>
      <w:pPr>
        <w:spacing w:after="0" w:line="96"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Basic earnings per common share is computed using the weighted average number of shares outstanding. Diluted earnings per share is computed using the weighted average number of shares outstanding adjusted for the incremental shares attributed to equity awards outstanding to purchase common stock, if dilutive.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6"/>
          <w:szCs w:val="16"/>
          <w:b w:val="1"/>
          <w:bCs w:val="1"/>
          <w:color w:val="auto"/>
        </w:rPr>
        <w:t>NOTES TO CONDENSED CONSOLIDATED FINANCIAL STATEMENTS—(Continued)</w:t>
      </w:r>
    </w:p>
    <w:p>
      <w:pPr>
        <w:spacing w:after="0" w:line="32"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369"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80"/>
        <w:spacing w:after="0"/>
        <w:rPr>
          <w:sz w:val="20"/>
          <w:szCs w:val="20"/>
          <w:color w:val="auto"/>
        </w:rPr>
      </w:pPr>
      <w:r>
        <w:rPr>
          <w:rFonts w:ascii="Arial" w:cs="Arial" w:eastAsia="Arial" w:hAnsi="Arial"/>
          <w:sz w:val="12"/>
          <w:szCs w:val="12"/>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14605</wp:posOffset>
            </wp:positionV>
            <wp:extent cx="10636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18" w:lineRule="exact"/>
        <w:rPr>
          <w:sz w:val="20"/>
          <w:szCs w:val="20"/>
          <w:color w:val="auto"/>
        </w:rPr>
      </w:pPr>
    </w:p>
    <w:p>
      <w:pPr>
        <w:spacing w:after="0"/>
        <w:tabs>
          <w:tab w:leader="none" w:pos="1080" w:val="left"/>
        </w:tabs>
        <w:rPr>
          <w:sz w:val="20"/>
          <w:szCs w:val="20"/>
          <w:color w:val="auto"/>
        </w:rPr>
      </w:pPr>
      <w:r>
        <w:rPr>
          <w:rFonts w:ascii="Arial" w:cs="Arial" w:eastAsia="Arial" w:hAnsi="Arial"/>
          <w:sz w:val="11"/>
          <w:szCs w:val="11"/>
          <w:b w:val="1"/>
          <w:bCs w:val="1"/>
          <w:color w:val="auto"/>
        </w:rPr>
        <w:t>2007</w:t>
      </w:r>
      <w:r>
        <w:rPr>
          <w:sz w:val="20"/>
          <w:szCs w:val="20"/>
          <w:color w:val="auto"/>
        </w:rPr>
        <w:tab/>
      </w:r>
      <w:r>
        <w:rPr>
          <w:rFonts w:ascii="Arial" w:cs="Arial" w:eastAsia="Arial" w:hAnsi="Arial"/>
          <w:sz w:val="11"/>
          <w:szCs w:val="11"/>
          <w:b w:val="1"/>
          <w:bCs w:val="1"/>
          <w:color w:val="auto"/>
        </w:rPr>
        <w:t>2006</w:t>
      </w:r>
    </w:p>
    <w:p>
      <w:pPr>
        <w:spacing w:after="0" w:line="22" w:lineRule="exact"/>
        <w:rPr>
          <w:sz w:val="20"/>
          <w:szCs w:val="20"/>
          <w:color w:val="auto"/>
        </w:rPr>
      </w:pPr>
    </w:p>
    <w:p>
      <w:pPr>
        <w:sectPr>
          <w:pgSz w:w="11900" w:h="16838" w:orient="portrait"/>
          <w:cols w:equalWidth="0" w:num="2">
            <w:col w:w="9120" w:space="320"/>
            <w:col w:w="1940"/>
          </w:cols>
          <w:pgMar w:left="240" w:top="459" w:right="279" w:bottom="1440" w:gutter="0" w:footer="0" w:header="0"/>
        </w:sectPr>
      </w:pPr>
    </w:p>
    <w:tbl>
      <w:tblPr>
        <w:tblLayout w:type="fixed"/>
        <w:tblInd w:w="460" w:type="dxa"/>
        <w:tblCellMar>
          <w:top w:w="0" w:type="dxa"/>
          <w:left w:w="0" w:type="dxa"/>
          <w:bottom w:w="0" w:type="dxa"/>
          <w:right w:w="0" w:type="dxa"/>
        </w:tblCellMar>
      </w:tblPr>
      <w:tr>
        <w:trPr>
          <w:trHeight w:val="223"/>
        </w:trPr>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50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3,385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1,706</w:t>
            </w:r>
          </w:p>
        </w:tc>
        <w:tc>
          <w:tcPr>
            <w:tcW w:w="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Denominator for basic earnings per share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26,680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25,259</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Dilutive effect of equity awards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23"/>
        </w:trPr>
        <w:tc>
          <w:tcPr>
            <w:tcW w:w="8320" w:type="dxa"/>
            <w:vAlign w:val="bottom"/>
          </w:tcPr>
          <w:p>
            <w:pPr>
              <w:ind w:left="440"/>
              <w:spacing w:after="0"/>
              <w:rPr>
                <w:sz w:val="20"/>
                <w:szCs w:val="20"/>
                <w:color w:val="auto"/>
              </w:rPr>
            </w:pPr>
            <w:r>
              <w:rPr>
                <w:rFonts w:ascii="Arial" w:cs="Arial" w:eastAsia="Arial" w:hAnsi="Arial"/>
                <w:sz w:val="18"/>
                <w:szCs w:val="18"/>
                <w:color w:val="auto"/>
              </w:rPr>
              <w:t>Denominator for diluted earnings per share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27,005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25,299</w:t>
            </w:r>
          </w:p>
        </w:tc>
      </w:tr>
      <w:tr>
        <w:trPr>
          <w:trHeight w:val="20"/>
        </w:trPr>
        <w:tc>
          <w:tcPr>
            <w:tcW w:w="8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320" w:type="dxa"/>
            <w:vAlign w:val="bottom"/>
          </w:tcPr>
          <w:p>
            <w:pPr>
              <w:ind w:left="44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unexercised stock options were excluded from the computation of diluted earnings per share for the three months ended March 31, 2007 and 2006 because the exercise prices of these options were greater than the average market price of common stock during the respective periods: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178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74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12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Anti-dilutive stock options</w:t>
            </w:r>
          </w:p>
        </w:tc>
        <w:tc>
          <w:tcPr>
            <w:tcW w:w="6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w:t>
            </w:r>
          </w:p>
        </w:tc>
        <w:tc>
          <w:tcPr>
            <w:tcW w:w="60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3—Recently Issued Accounting Standards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Effective January 1, 2007, we adopted FASB Interpretation No. 48 (FIN 48), “Accounting for Uncertainty in Income Taxes—an interpretation of FASB Statement No. 109, Accounting for Income Taxes.” FIN 48 requires that the financial statement effects of a tax position taken or expected to be taken in a tax return to be recognized in the financial statements when it is more likely than not, based on the technical merits, that the position will be sustained upon examination. The cumulative effect of applying FIN 48 was $346 and was recorded as an adjustment reducing the January 1, 2007 balance of retained earnings. See Note 7 “Income Taxes.”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January 1, 2007, we adopted the additional disclosure provisions of EITF Issue No. 06-03, “How Taxes Collected from Customers and Remitted to Governmental Authorities Should Be Presented in the Income Statement.” EITF No. 06-03 permits the presentation of these taxes on either a gross basis (included in revenues and costs) or a net basis (excluded from revenues). We classify sales taxes on a net basis in our income statements. Adoption of EITF No. 06-03 did not have an effect on our financial statements.</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which permits companies to voluntarily choose, at specified election dates, to measure specified financial instruments and other items at fair value on a contract-by-contract basis. Subsequent changes in fair value will be required to be reported in earnings each reporting period. SFAS No. 159 is effective for fiscal years beginning after November 15, 2007 and interim periods within those fiscal years. We do not expect SFAS 159 to have a material impact on our results of operation or financial position.</w:t>
      </w:r>
    </w:p>
    <w:p>
      <w:pPr>
        <w:spacing w:after="0" w:line="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4—Segment and Related Disclosures</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SFAS No. 131, “Disclosures About Segments of an Enterprise and Related Information,” requires that public companies report profits and losses and certain other information on their “reportable operating segments” in their annual and interim financial statements. The internal organization used by our Chief Operating Decision Maker (“CODM”) to assess performance and allocate resources determines the basis for our reportable operating segments. Our CODM is our Chief Executive Officer.</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operations are organized under three reportable operating segments—the “SMB” segment, which serves small- and medium-sized businesses, as well as consumers, the “Large Account” segment, which serves medium-to-large corporations, and the “Public Sector” segment, which serves federal, state, and local government entities and educational institutions.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information applicable to our reportable operating segments for the three months ended March 31, 2007 and 2006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0"/>
              </w:rPr>
              <w:t>Three Months Ended March 31, 2007</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rPr>
              <w:t>SMB</w:t>
            </w:r>
          </w:p>
        </w:tc>
        <w:tc>
          <w:tcPr>
            <w:tcW w:w="14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Large Account</w:t>
            </w:r>
          </w:p>
        </w:tc>
        <w:tc>
          <w:tcPr>
            <w:tcW w:w="13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Public Sector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7"/>
              </w:rPr>
              <w:t>Segment</w:t>
            </w: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7"/>
              </w:rPr>
              <w:t>Segment</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4"/>
              </w:rPr>
              <w:t>Segment</w:t>
            </w:r>
          </w:p>
        </w:tc>
        <w:tc>
          <w:tcPr>
            <w:tcW w:w="58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233,933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110,315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53,932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52,885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(52,885)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286,818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110,315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53,932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(52,885)</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00" w:type="dxa"/>
            <w:vAlign w:val="bottom"/>
            <w:gridSpan w:val="2"/>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15,921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5,539</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(16,938)</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(13,251)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(3,437)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(2,237)</w:t>
            </w: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00" w:type="dxa"/>
            <w:vAlign w:val="bottom"/>
            <w:gridSpan w:val="2"/>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2,652</w:t>
            </w:r>
          </w:p>
        </w:tc>
        <w:tc>
          <w:tcPr>
            <w:tcW w:w="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5,308</w:t>
            </w:r>
          </w:p>
        </w:tc>
        <w:tc>
          <w:tcPr>
            <w:tcW w:w="5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(2,245)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1,471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 Data:</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 assets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225,452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138,248</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46,088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(80,710)</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329,078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1,173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7,634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9"/>
          </w:tcPr>
          <w:p>
            <w:pPr>
              <w:jc w:val="right"/>
              <w:ind w:right="800"/>
              <w:spacing w:after="0"/>
              <w:rPr>
                <w:sz w:val="20"/>
                <w:szCs w:val="20"/>
                <w:color w:val="auto"/>
              </w:rPr>
            </w:pPr>
            <w:r>
              <w:rPr>
                <w:rFonts w:ascii="Arial" w:cs="Arial" w:eastAsia="Arial" w:hAnsi="Arial"/>
                <w:sz w:val="14"/>
                <w:szCs w:val="14"/>
                <w:b w:val="1"/>
                <w:bCs w:val="1"/>
                <w:color w:val="auto"/>
              </w:rPr>
              <w:t>Three Months Ended March 31, 2006</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4"/>
              </w:rPr>
              <w:t>Large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Public</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SMB</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Account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2"/>
              </w:rPr>
              <w:t>Sector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1"/>
              </w:rPr>
              <w:t>Segment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Segment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Segment</w:t>
            </w:r>
          </w:p>
        </w:tc>
        <w:tc>
          <w:tcPr>
            <w:tcW w:w="6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Sales to external customers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219,121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108,362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3"/>
              </w:rPr>
              <w:t>52,995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Transfers between segments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53,569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(53,569)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272,690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108,362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3"/>
              </w:rPr>
              <w:t>52,995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(53,569)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before allocations</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gridSpan w:val="2"/>
            <w:vMerge w:val="continue"/>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16,195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4,767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1,137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(18,527)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Allocations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(14,411)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(3,884)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2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1,784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(2,747)</w:t>
            </w:r>
          </w:p>
        </w:tc>
        <w:tc>
          <w:tcPr>
            <w:tcW w:w="14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other—net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taxes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20" w:type="dxa"/>
            <w:vAlign w:val="bottom"/>
            <w:gridSpan w:val="2"/>
            <w:vMerge w:val="continue"/>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1,278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4,553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91"/>
              </w:rPr>
              <w:t>(2,892)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Selected Operating Expenses: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1,302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020" w:type="dxa"/>
            <w:vAlign w:val="bottom"/>
            <w:gridSpan w:val="2"/>
          </w:tcPr>
          <w:p>
            <w:pPr>
              <w:spacing w:after="0"/>
              <w:rPr>
                <w:sz w:val="20"/>
                <w:szCs w:val="20"/>
                <w:color w:val="auto"/>
              </w:rPr>
            </w:pPr>
            <w:r>
              <w:rPr>
                <w:rFonts w:ascii="Arial" w:cs="Arial" w:eastAsia="Arial" w:hAnsi="Arial"/>
                <w:sz w:val="18"/>
                <w:szCs w:val="18"/>
                <w:i w:val="1"/>
                <w:iCs w:val="1"/>
                <w:color w:val="auto"/>
              </w:rPr>
              <w:t>Balance Sheet Data:</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238,558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113,455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3"/>
              </w:rPr>
              <w:t>55,406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(97,247)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310,172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 net</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48,060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7,634</w:t>
            </w:r>
          </w:p>
        </w:tc>
        <w:tc>
          <w:tcPr>
            <w:tcW w:w="14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56,867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operating costs of corporate headquarter functions are charged to the reportable operating segments based on their estimated usage of the underlying functions. These functions include finance, human resources, information systems, purchasing and distribution, and senior management expenses. We report these charges to the above segments as “Allocations.” Interest and other expense is charged to the segments, based on the actual costs incurred by each segment, net of interest and other income generated. The amount shown above representing total assets eliminated consists of inter-segment receivables, resulting primarily from inter-segment sales and transfers reported above and from inter-segment service charges. Our capital expenditures are primarily comprised of IT hardware and software purchased to maintain or upgrade our management information systems. These systems serve all of our subsidiaries, to varying degrees, and as a result, our CODM does not evaluate capital expenditures by segment.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business segment and product mix are presented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9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48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Segment (excludes transfers between segments)</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233,933</w:t>
            </w:r>
          </w:p>
        </w:tc>
        <w:tc>
          <w:tcPr>
            <w:tcW w:w="24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219,121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110,315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108,362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398,180</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380,478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Product Mix</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73,643</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Desktops/Servers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57,528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34,808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Software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48,286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29,819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Printers and Printer Supplies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41,653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Video, Imaging, and Sound</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Memory and System Enhancements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19,949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44,393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398,180</w:t>
            </w:r>
          </w:p>
        </w:tc>
        <w:tc>
          <w:tcPr>
            <w:tcW w:w="2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380,478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Substantially all of our net sales for the three months ended March 31, 2007 and 2006 were made to customers located in the United States. Shipments to customers located in foreign countries aggregated less than 1% in each of those respective periods. All of our assets at March 31, 2007 and December 31, 2006 were located in the United States. Our primary target customers are small- and medium-sized businesses with 20 to 1,000 employees, federal, state, and local government agencies, educational institutions, and medium-to-large corporate accounts. Except for the federal government, no single customer accounted for more than 2% of total net sales in the three months ended March 31, 2007 and 2006. Net sales to the federal government accounted for $13,293, or 3.3% of total net sales for the three months ended March 31, 2007, and $12,850, or 3.4% of total net sales for the three months ended March 31, 2006.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Based Compensation</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terms and conditions of outstanding awards previously granted are more fully described in Note 10 to the Consolidated Financial Statements included in our Annual Report on Form 10-K for the year ended December 31, 2006. We did not grant any equity awards in the three months ended March 31, 2007.</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00"/>
          </w:cols>
          <w:pgMar w:left="240" w:top="45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6—Special Charges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did not record any special charges in the first quarter of 2007. In the first quarter of 2006, we recorded a charge of $371 related to the temporary retention of facilities subsequent to our purchase of certain assets of Amherst Technologies, LLC (“Amherst transaction”). We also recorded in the first quarter of 2006 a charge of $520 related to management restructuring costs, classified as workforce reductions in the table below.</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roll forward of liabilities related to special charges is shown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Workforce</w:t>
            </w:r>
          </w:p>
        </w:tc>
      </w:t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Reductions</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185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Liabilities at March 31, 2007</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liability at December 31, 2006 is included in accrued expenses and other liabilities on the consolidated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7—Income Taxes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file one consolidated United States federal income tax return that includes all of our subsidiaries as well as several consolidated, combined, and separate company returns in many U.S. state tax jurisdictions. The tax years 2003-2006 remain open to examination by the major taxing jurisdictions in which we file.</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Effective January 1, 2007, we adopted the provisions of FIN 48. As a result of the implementation of FIN 48, we recognized an increase of $953 in the liability for unrecognized income tax benefits, a decrease of $607 in the noncurrent liability for deferred income taxes, and a cumulative effect decrease of $346 in the January 1, 2007 balance of retained earnings. As of the date of adoption and after recognition of the increase noted above, the aggregate liability for unrecognized income tax benefits is $2,169, including interest and penalties. This balance includes $607 relating to tax positions, the disallowance of which would not affect our annual effective income tax rate.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elected to continue our historic treatment for interest and penalties, recognizing potential interest and penalties related to unrecognized income tax benefits as a component of income tax expense, and the corresponding accrual is included as a component of our liability for unrecognized income tax benefits. Pursuant to our adoption of FIN 48, $711 and $236 of this liability as of January 1, 2007 related to interest and penalties, respectively. During the three months ended March 31, 2007, we recognized an additional $119 liability for unrecognized income tax positions relating to tax positions taken in the current and prior periods. Of this amount, $62 relates to additional interest and penalties associated with unrecognized tax benefits for total interest and penalties at March 31, 2007 of $1,069. As of March 31, 2007, unrecognized tax benefits of $1,653 would favorably affect our tax rate, if recognized.</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do not anticipate that total unrecognized tax benefits will change significantly due to the settlement of audits, expiration of statute of limitations, or other reasons prior to December 31,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1—Financial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8—Commitments and Contingencies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are subject to various legal proceedings and claims which have arisen during the ordinary course of business. In the opinion of management, the outcome of such matters is not expected to have a material effect on our financial position, results of operations, and cash flows.</w:t>
      </w:r>
    </w:p>
    <w:p>
      <w:pPr>
        <w:spacing w:after="0" w:line="85"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are also subject to audits by states on sales and income taxes, unclaimed property, and other assessments. A multi-state unclaimed property audit is in progress, and certain sales tax audits may be imminent. While management believes that known liabilities have been adequately provided for, it is too early to determine the ultimate outcome of such audits. Such outcome could have a material impact on our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9—Bank Borrowing and Trade Credit Arrangements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 $50,000 credit facility collateralized by substantially all of our business assets. This facility also gives us the option of increasing the borrowing amount by an additional $20,000 at substantially the same terms. Amounts outstanding under this facility bear interest at the prime rate (8.25% at March 31, 2007). The facility also gives us the option of obtaining Eurodollar Rate Loans in multiples of $1,000 for durations of one, two, three, four, or six months. The credit facility includes various customary financial and operating covenants, including minimum net worth and maximum funded debt ratio requirements, and restrictions on the payment of dividends, repurchase of our common stock, and default acceleration provisions, none of which we believe significantly restricts our operations. Funded debt ratio is the ratio of average outstanding advances under the facility to EBITDA (Earnings Before Interest Expense, Taxes, Depreciation, and Amortization). The maximum allowable funded debt ratio under the agreement is 2.0 to 1.0; since no borrowings were outstanding under this credit facility during the first quarter of 2007, our actual funded debt ratio at March 31, 2007 was 0.0 to 1.0. The entire $50,000 facility was available for borrowing at March 31, 2007. The credit facility matures on June 29, 2008, at which time amounts outstanding become due.</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At March 31, 2007, we had security agreements with two financial institutions to facilitate the purchase of inventory from various suppliers under certain terms and conditions. The agreements allow a collateralized first position in certain branded products inventory financed by the financial institutions up to an aggregate amount of $45,000. The cost of such financing under these agreements is borne by the suppliers by discounting their invoices to the financial institutions as an incentive for us to purchase their products. We do not pay any interest or discount fees on such inventory financing. At March 31, 2007 and December 31, 2006, accounts payable included $18,642 and $17,421, respectively, owed to these financial institutions.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Our management’s discussion and analysis of our financial condition and results of operations include the identification of certain trends and other statements that may predict or anticipate future business or financial results that are subject to important factors that could cause our actual results to differ materially from those indicated. See Item 1A “Risk Factors”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We are a national direct marketer and procurement service provider of a wide range of IT products and services—including computer systems, software and peripheral equipment, networking communications, and other products and accessories, that we purchase from manufacturers, distributors, and other suppliers. We also offer a growing range of repair, configuration, installation, and other services performed by our personnel and third-party providers. We operate through three primary business segments: (a) consumers and small- to medium-sized businesses, or SMBs, through our PC Connection Sales subsidiaries,</w:t>
      </w:r>
    </w:p>
    <w:p>
      <w:pPr>
        <w:spacing w:after="0" w:line="3" w:lineRule="exact"/>
        <w:rPr>
          <w:sz w:val="20"/>
          <w:szCs w:val="20"/>
          <w:color w:val="auto"/>
        </w:rPr>
      </w:pPr>
    </w:p>
    <w:p>
      <w:pPr>
        <w:ind w:right="740"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 corporate accounts, or Large Account, through our MoreDirect subsidiary, and (c) federal, state, and local government entities and educational institutions, or Public Sector, through our GovConnection subsidiary.</w:t>
      </w:r>
    </w:p>
    <w:p>
      <w:pPr>
        <w:spacing w:after="0" w:line="13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generate sales through (i) outbound telemarketing and field sales contacts by account managers focused on the business, education, and government markets, (ii) our Web sites, and (iii) inbound calls from customers responding to our catalogs and other advertising media.</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primary challenges we face in effectively managing our business are (1) growing our revenues in the face of increasing competition while improving our gross profit margins in all three business segments, (2) recruiting, retaining, and improving the productivity of our sales personnel, and (3) effectively managing and leveraging our SG&amp;A expenses over a higher sales base. We believe that our future success hinges on the ability of our sales representatives to foster loyal customer relationships. Only by better understanding and anticipating our customers’ IT needs will we strengthen customer loyalty, which we believe, will result in increased productivity of sales representatives and improved operating margins.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derived from our statements of income expressed as a percentage of net sales for the periods indicated.</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0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42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sales </w:t>
            </w:r>
            <w:r>
              <w:rPr>
                <w:rFonts w:ascii="Arial" w:cs="Arial" w:eastAsia="Arial" w:hAnsi="Arial"/>
                <w:sz w:val="18"/>
                <w:szCs w:val="18"/>
                <w:i w:val="1"/>
                <w:iCs w:val="1"/>
                <w:color w:val="auto"/>
              </w:rPr>
              <w:t>(in millions)</w:t>
            </w:r>
          </w:p>
        </w:tc>
        <w:tc>
          <w:tcPr>
            <w:tcW w:w="7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6"/>
              </w:rPr>
              <w:t>$ 398.2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gridSpan w:val="3"/>
            <w:vMerge w:val="continue"/>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year-over-year increase in sales in the first quarter of 2007 resulted primarily from sales growth in our SMB segment, with only modest sales growth experienced in the Large Account and Public Sector segments.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operating margins increased year over year in the first quarter of 2007 primarily due to our improvement in operating expenses and special charges. Gross margins benefited in the first quarter of 2007 from our recording of substantially all vendor consideration as a reduction to cost of inventory purchases. As advertising programs with our vendor partners have become more comprehensive, we have classified substantially all vendor consideration as a reduction of cost of inventory purchases rather than a reduction of advertising expense. Accordingly, we recorded approximately $1.9 million of additional consideration in the first quarter of 2007 as a reduction to cost of goods sold as compared to the first quarter of 2006, accounting for a 48 basis-point increase in both our gross margin and our SG&amp;A costs as a percentage of net sales. The increase in gross margin from these vendor allowances was partially offset by lower invoice product margins in the first quarter of 2007 compared to the first quarter of 2006.</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 Distribution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percentage of net sales by business segment and product mix:</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166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8"/>
              </w:rPr>
              <w:t>Three Months Ended</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80" w:type="dxa"/>
            <w:vAlign w:val="bottom"/>
            <w:gridSpan w:val="3"/>
            <w:vMerge w:val="continue"/>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2007</w:t>
            </w: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Business Segment</w:t>
            </w:r>
          </w:p>
        </w:tc>
        <w:tc>
          <w:tcPr>
            <w:tcW w:w="9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5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Product Mix</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8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Notebooks and PDAs</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Desktops/Servers</w:t>
            </w:r>
          </w:p>
        </w:tc>
        <w:tc>
          <w:tcPr>
            <w:tcW w:w="15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Storage Devices</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Software</w:t>
            </w:r>
          </w:p>
        </w:tc>
        <w:tc>
          <w:tcPr>
            <w:tcW w:w="15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Net/Com Products</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Printers and Printer Supplies</w:t>
            </w:r>
          </w:p>
        </w:tc>
        <w:tc>
          <w:tcPr>
            <w:tcW w:w="15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Videos, Imaging, and Sound</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Memory and System Enhancements</w:t>
            </w:r>
          </w:p>
        </w:tc>
        <w:tc>
          <w:tcPr>
            <w:tcW w:w="1540" w:type="dxa"/>
            <w:vAlign w:val="bottom"/>
            <w:gridSpan w:val="2"/>
          </w:tcPr>
          <w:p>
            <w:pPr>
              <w:jc w:val="right"/>
              <w:ind w:right="100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Accessories/Other</w:t>
            </w:r>
          </w:p>
        </w:tc>
        <w:tc>
          <w:tcPr>
            <w:tcW w:w="15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gridSpan w:val="2"/>
            <w:vMerge w:val="restart"/>
          </w:tcPr>
          <w:p>
            <w:pPr>
              <w:ind w:left="8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vMerge w:val="continue"/>
          </w:tcPr>
          <w:p>
            <w:pPr>
              <w:spacing w:after="0"/>
              <w:rPr>
                <w:sz w:val="19"/>
                <w:szCs w:val="19"/>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100%</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 Margins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overall gross profit margins, as a percentage of net sales, over the periods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16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834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2007</w:t>
            </w:r>
          </w:p>
        </w:tc>
        <w:tc>
          <w:tcPr>
            <w:tcW w:w="9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Business Segment</w:t>
            </w:r>
          </w:p>
        </w:tc>
        <w:tc>
          <w:tcPr>
            <w:tcW w:w="8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SMB</w:t>
            </w:r>
          </w:p>
        </w:tc>
        <w:tc>
          <w:tcPr>
            <w:tcW w:w="14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13.5%</w:t>
            </w: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86"/>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Large Account</w:t>
            </w:r>
          </w:p>
        </w:tc>
        <w:tc>
          <w:tcPr>
            <w:tcW w:w="1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10.8</w:t>
            </w:r>
          </w:p>
        </w:tc>
        <w:tc>
          <w:tcPr>
            <w:tcW w:w="5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5"/>
              </w:rPr>
              <w:t>10.5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420"/>
              <w:spacing w:after="0"/>
              <w:rPr>
                <w:sz w:val="20"/>
                <w:szCs w:val="20"/>
                <w:color w:val="auto"/>
              </w:rPr>
            </w:pPr>
            <w:r>
              <w:rPr>
                <w:rFonts w:ascii="Arial" w:cs="Arial" w:eastAsia="Arial" w:hAnsi="Arial"/>
                <w:sz w:val="18"/>
                <w:szCs w:val="18"/>
                <w:color w:val="auto"/>
              </w:rPr>
              <w:t>Public Sector</w:t>
            </w:r>
          </w:p>
        </w:tc>
        <w:tc>
          <w:tcPr>
            <w:tcW w:w="1480" w:type="dxa"/>
            <w:vAlign w:val="bottom"/>
            <w:gridSpan w:val="2"/>
          </w:tcPr>
          <w:p>
            <w:pPr>
              <w:jc w:val="right"/>
              <w:ind w:right="940"/>
              <w:spacing w:after="0"/>
              <w:rPr>
                <w:sz w:val="20"/>
                <w:szCs w:val="20"/>
                <w:color w:val="auto"/>
              </w:rPr>
            </w:pPr>
            <w:r>
              <w:rPr>
                <w:rFonts w:ascii="Arial" w:cs="Arial" w:eastAsia="Arial" w:hAnsi="Arial"/>
                <w:sz w:val="18"/>
                <w:szCs w:val="18"/>
                <w:b w:val="1"/>
                <w:bCs w:val="1"/>
                <w:color w:val="auto"/>
              </w:rPr>
              <w:t>11.8</w:t>
            </w:r>
          </w:p>
        </w:tc>
        <w:tc>
          <w:tcPr>
            <w:tcW w:w="540" w:type="dxa"/>
            <w:vAlign w:val="bottom"/>
          </w:tcPr>
          <w:p>
            <w:pPr>
              <w:ind w:left="220"/>
              <w:spacing w:after="0"/>
              <w:rPr>
                <w:sz w:val="20"/>
                <w:szCs w:val="20"/>
                <w:color w:val="auto"/>
              </w:rPr>
            </w:pPr>
            <w:r>
              <w:rPr>
                <w:rFonts w:ascii="Arial" w:cs="Arial" w:eastAsia="Arial" w:hAnsi="Arial"/>
                <w:sz w:val="18"/>
                <w:szCs w:val="18"/>
                <w:color w:val="auto"/>
                <w:w w:val="85"/>
              </w:rPr>
              <w:t>10.7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12.5%</w:t>
            </w: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6"/>
              </w:rPr>
              <w:t>12.2%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Consolidated gross profit dollars increased for the first quarter of 2007 by $3.5 million compared to first quarter of 2006, due to increases in both net sales and gross profit margins. Gross margin increased in the first quarter of 2007 compared to the first quarter of 2006 primarily due to the recording of approximately $1.9 million of vendor consideration as a reduction to cost of sales, as discussed above. These vendor allowances,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which accounted for a 48 basis-point increase in consolidated gross margin as a percentage of sales, were partly offset by lower invoice product margins in the first quarter of 2007 compared to the first quarter of 2006.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 and Certain Other Costs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Cost of sales includes the invoice cost of the product, packaging, inbound and outbound freight, and provisions for inventory obsolescence, adjusted for discounts, rebates, and other vendor consideration adjustments. Direct operating expenses relating to our purchasing function and receiving, inspection, internal transfer, warehousing, packing and shipping, and other expenses of our distribution center are included in SG&amp;A expenses. Accordingly, our gross margins may not be comparable to those of other entities who include all of the costs related to their distribution network in cost of goods sold. Such costs, as a percentage of net sales for the periods reported, are as follows:</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21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360" w:type="dxa"/>
            <w:vAlign w:val="bottom"/>
            <w:gridSpan w:val="3"/>
            <w:vMerge w:val="continue"/>
          </w:tcPr>
          <w:p>
            <w:pPr>
              <w:spacing w:after="0"/>
              <w:rPr>
                <w:sz w:val="12"/>
                <w:szCs w:val="12"/>
                <w:color w:val="auto"/>
              </w:rPr>
            </w:pPr>
          </w:p>
        </w:tc>
        <w:tc>
          <w:tcPr>
            <w:tcW w:w="540" w:type="dxa"/>
            <w:vAlign w:val="bottom"/>
            <w:tcBorders>
              <w:top w:val="single" w:sz="8" w:color="auto"/>
            </w:tcBorders>
          </w:tcPr>
          <w:p>
            <w:pPr>
              <w:jc w:val="right"/>
              <w:ind w:right="66"/>
              <w:spacing w:after="0" w:line="142" w:lineRule="exact"/>
              <w:rPr>
                <w:sz w:val="20"/>
                <w:szCs w:val="20"/>
                <w:color w:val="auto"/>
              </w:rPr>
            </w:pPr>
            <w:r>
              <w:rPr>
                <w:rFonts w:ascii="Arial" w:cs="Arial" w:eastAsia="Arial" w:hAnsi="Arial"/>
                <w:sz w:val="14"/>
                <w:szCs w:val="14"/>
                <w:b w:val="1"/>
                <w:bCs w:val="1"/>
                <w:color w:val="auto"/>
              </w:rPr>
              <w:t>2007</w:t>
            </w:r>
          </w:p>
        </w:tc>
        <w:tc>
          <w:tcPr>
            <w:tcW w:w="9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Purchasing/Distribution Center</w:t>
            </w:r>
          </w:p>
        </w:tc>
        <w:tc>
          <w:tcPr>
            <w:tcW w:w="8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0.70%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breaks out our more significant operating expenses for the periods indicated (in millions of dollars):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0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34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2007</w:t>
            </w: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29.8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Advertising, net</w:t>
            </w: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4.6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Facilities operations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Credit card fees</w:t>
            </w: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Bad debts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44.2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gridSpan w:val="2"/>
            <w:vMerge w:val="restart"/>
          </w:tcPr>
          <w:p>
            <w:pPr>
              <w:ind w:left="420"/>
              <w:spacing w:after="0"/>
              <w:rPr>
                <w:sz w:val="20"/>
                <w:szCs w:val="20"/>
                <w:color w:val="auto"/>
              </w:rPr>
            </w:pPr>
            <w:r>
              <w:rPr>
                <w:rFonts w:ascii="Arial" w:cs="Arial" w:eastAsia="Arial" w:hAnsi="Arial"/>
                <w:sz w:val="18"/>
                <w:szCs w:val="18"/>
                <w:color w:val="auto"/>
              </w:rPr>
              <w:t>Percentage of net sales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Personnel costs continue to represent the majority of our operating expenses, with sales personnel representing the largest portion of these costs. The year-over-year increase in personnel costs resulted primarily from additional staffing at our Texas sales office that we opened in February 2006. The increase in net advertising expense in the first quarter of 2007 was attributable in large part to the approximately $1.9 million of vendor consideration discussed above which previously would have offset net advertising expense. Lower bad debt expense and professional fees partly offset increased personnel costs and net advertising expense.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Year-Over-Year Comparisons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Three Months Ended March 31, 2007 Compared to Three Months Ended March 31, 2006</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net sales and gross profit by business segment are shown in the following table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7"/>
          </w:tcPr>
          <w:p>
            <w:pPr>
              <w:jc w:val="right"/>
              <w:ind w:right="102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9"/>
              </w:rPr>
              <w:t>% of Net</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 of Net</w:t>
            </w:r>
          </w:p>
        </w:tc>
        <w:tc>
          <w:tcPr>
            <w:tcW w:w="580" w:type="dxa"/>
            <w:vAlign w:val="bottom"/>
          </w:tcPr>
          <w:p>
            <w:pPr>
              <w:spacing w:after="0"/>
              <w:rPr>
                <w:sz w:val="11"/>
                <w:szCs w:val="11"/>
                <w:color w:val="auto"/>
              </w:rPr>
            </w:pPr>
          </w:p>
        </w:tc>
        <w:tc>
          <w:tcPr>
            <w:tcW w:w="46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520" w:type="dxa"/>
            <w:vAlign w:val="bottom"/>
          </w:tcPr>
          <w:p>
            <w:pPr>
              <w:spacing w:after="0"/>
              <w:rPr>
                <w:sz w:val="15"/>
                <w:szCs w:val="15"/>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Sales</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540" w:type="dxa"/>
            <w:vAlign w:val="bottom"/>
          </w:tcPr>
          <w:p>
            <w:pPr>
              <w:spacing w:after="0"/>
              <w:rPr>
                <w:sz w:val="15"/>
                <w:szCs w:val="15"/>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Sales</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SMB</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234.0</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58.8%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219.1</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57.6%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Large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110.3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108.4</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Arial" w:cs="Arial" w:eastAsia="Arial" w:hAnsi="Arial"/>
                <w:sz w:val="18"/>
                <w:szCs w:val="18"/>
                <w:color w:val="auto"/>
              </w:rPr>
              <w:t>Public Sector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5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398.2</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380.5</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SMB</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31.6</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560" w:type="dxa"/>
            <w:vAlign w:val="bottom"/>
          </w:tcPr>
          <w:p>
            <w:pPr>
              <w:ind w:left="440"/>
              <w:spacing w:after="0"/>
              <w:rPr>
                <w:sz w:val="20"/>
                <w:szCs w:val="20"/>
                <w:color w:val="auto"/>
              </w:rPr>
            </w:pPr>
            <w:r>
              <w:rPr>
                <w:rFonts w:ascii="Arial" w:cs="Arial" w:eastAsia="Arial" w:hAnsi="Arial"/>
                <w:sz w:val="18"/>
                <w:szCs w:val="18"/>
                <w:color w:val="auto"/>
              </w:rPr>
              <w:t>Large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11.9</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11.4</w:t>
            </w:r>
          </w:p>
        </w:tc>
        <w:tc>
          <w:tcPr>
            <w:tcW w:w="1660" w:type="dxa"/>
            <w:vAlign w:val="bottom"/>
            <w:gridSpan w:val="3"/>
          </w:tcPr>
          <w:p>
            <w:pPr>
              <w:jc w:val="right"/>
              <w:ind w:right="580"/>
              <w:spacing w:after="0"/>
              <w:rPr>
                <w:sz w:val="20"/>
                <w:szCs w:val="20"/>
                <w:color w:val="auto"/>
              </w:rPr>
            </w:pPr>
            <w:r>
              <w:rPr>
                <w:rFonts w:ascii="Arial" w:cs="Arial" w:eastAsia="Arial" w:hAnsi="Arial"/>
                <w:sz w:val="18"/>
                <w:szCs w:val="18"/>
                <w:color w:val="auto"/>
              </w:rPr>
              <w:t>10.5</w:t>
            </w: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Public Sector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w:t>
            </w:r>
          </w:p>
        </w:tc>
        <w:tc>
          <w:tcPr>
            <w:tcW w:w="20" w:type="dxa"/>
            <w:vAlign w:val="bottom"/>
            <w:tcBorders>
              <w:bottom w:val="single" w:sz="8" w:color="auto"/>
            </w:tcBorders>
          </w:tcPr>
          <w:p>
            <w:pPr>
              <w:spacing w:after="0"/>
              <w:rPr>
                <w:sz w:val="19"/>
                <w:szCs w:val="19"/>
                <w:color w:val="auto"/>
              </w:rPr>
            </w:pPr>
          </w:p>
        </w:tc>
        <w:tc>
          <w:tcPr>
            <w:tcW w:w="16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12.2%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for the first quarter of 2007 increased compared to the first quarter of 2006, as explained below:</w:t>
      </w:r>
    </w:p>
    <w:p>
      <w:pPr>
        <w:spacing w:after="0" w:line="90" w:lineRule="exact"/>
        <w:rPr>
          <w:sz w:val="20"/>
          <w:szCs w:val="20"/>
          <w:color w:val="auto"/>
        </w:rPr>
      </w:pPr>
    </w:p>
    <w:p>
      <w:pPr>
        <w:ind w:left="900" w:right="100" w:hanging="446"/>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sales for our SMB segment increased year over year in the first quarter of 2007 due to our growth in corporate outbound sales. Our SMB outbound sales representatives increased corporate sales by 11% year over year in the first quarter of 2007. We believe such growth is attributable to our sales representatives’ efforts to foster loyal customer relationships and add new business accounts, as well as the contributions of our business development managers and technical support specialists, who partner with sales representatives. Decreased consumer sales, however, mitigated overall SMB growth, reflecting our increased focus on more diverse marketing strategies and programs designed to reach our business customers. Sales representatives for our SMB segment totaled 445 at March 31, 2007, a decrease from 452 at March 31, 2006.</w:t>
      </w:r>
    </w:p>
    <w:p>
      <w:pPr>
        <w:spacing w:after="0" w:line="39" w:lineRule="exact"/>
        <w:rPr>
          <w:rFonts w:ascii="Arial" w:cs="Arial" w:eastAsia="Arial" w:hAnsi="Arial"/>
          <w:sz w:val="16"/>
          <w:szCs w:val="16"/>
          <w:color w:val="auto"/>
        </w:rPr>
      </w:pPr>
    </w:p>
    <w:p>
      <w:pPr>
        <w:ind w:left="900" w:right="1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Large Account segment increased modestly year over year. We experienced pent-up demand in the first quarter of 2006 due to the Amherst transaction and certain project roll-outs with a number of key accounts in that quarter. Sales representatives for our Large Account segment totaled 79 at March 31, 2007, a decrease from 90 at March 31, 2006.</w:t>
      </w:r>
    </w:p>
    <w:p>
      <w:pPr>
        <w:spacing w:after="0" w:line="59" w:lineRule="exact"/>
        <w:rPr>
          <w:rFonts w:ascii="Arial" w:cs="Arial" w:eastAsia="Arial" w:hAnsi="Arial"/>
          <w:sz w:val="18"/>
          <w:szCs w:val="18"/>
          <w:color w:val="auto"/>
        </w:rPr>
      </w:pPr>
    </w:p>
    <w:p>
      <w:pPr>
        <w:ind w:left="900" w:right="140" w:hanging="446"/>
        <w:spacing w:after="0" w:line="256"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for our Public Sector segment in the first quarter of 2007 increased 1.7% from the first quarter of 2006 as management focused on higher-margin sales opportunities during the first quarter of 2007. Sales growth in the Public Sector was also limited by an increase in net agency sales, which result in lower sales levels but high gross margins. Sales representatives for our Public Sector segment totaled 116 at March 31, 2007, an increase from 108 at March 31, 2006.</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first quarter of 2007 increased compared to the first quarter of 2006 in both dollars and as a percentage of sales, in all three segments,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explained below:</w:t>
      </w:r>
    </w:p>
    <w:p>
      <w:pPr>
        <w:spacing w:after="0" w:line="51" w:lineRule="exact"/>
        <w:rPr>
          <w:sz w:val="20"/>
          <w:szCs w:val="20"/>
          <w:color w:val="auto"/>
        </w:rPr>
      </w:pPr>
    </w:p>
    <w:p>
      <w:pPr>
        <w:ind w:left="900" w:right="80" w:hanging="446"/>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Gross profit for our SMB segment increased in the first quarter of 2007 compared to the first quarter of 2006 due to increases in both sales and gross profit margins. Gross profit margins benefited from the increased vendor consideration recorded as a reduction to cost of sales, as discussed earlier. Lower invoice product margins in the first quarter of 2007 partly offset the additional vendor consideration.</w:t>
      </w:r>
    </w:p>
    <w:p>
      <w:pPr>
        <w:spacing w:after="0" w:line="25"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for our Large Account segment in the first quarter of 2007 increased compared to the first quarter of 2006 due to increases in both sales and gross profit margins. Gross margins increased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60"/>
        <w:spacing w:after="0" w:line="268" w:lineRule="auto"/>
        <w:rPr>
          <w:sz w:val="20"/>
          <w:szCs w:val="20"/>
          <w:color w:val="auto"/>
        </w:rPr>
      </w:pPr>
      <w:r>
        <w:rPr>
          <w:rFonts w:ascii="Arial" w:cs="Arial" w:eastAsia="Arial" w:hAnsi="Arial"/>
          <w:sz w:val="18"/>
          <w:szCs w:val="18"/>
          <w:color w:val="auto"/>
        </w:rPr>
        <w:t>over year compared to the first quarter of 2006 due to higher customer invoice margins, increase in higher margin service billings, and increased vendor consideration, offset partly by lower net software agency sales in the first quarter of 2007.</w:t>
      </w:r>
    </w:p>
    <w:p>
      <w:pPr>
        <w:spacing w:after="0" w:line="64" w:lineRule="exact"/>
        <w:rPr>
          <w:sz w:val="20"/>
          <w:szCs w:val="20"/>
          <w:color w:val="auto"/>
        </w:rPr>
      </w:pPr>
    </w:p>
    <w:p>
      <w:pPr>
        <w:ind w:left="900" w:right="4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for our Public Sector segment in the first quarter of 2007 increased compared to the first quarter of 2006 due to higher net agency sales, increased focus on achieving higher customer invoice margins, and increased vendor consideration recorded as an offset to cost of sales, as discussed earlier.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in the first quarter of 2007 increased in dollars and as a percentage of sales compared to the first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SG&amp;A expenses attributable to our operating segments are summarized below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8"/>
          </w:tcPr>
          <w:p>
            <w:pPr>
              <w:jc w:val="right"/>
              <w:ind w:right="116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Borders>
              <w:bottom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40" w:type="dxa"/>
            <w:vAlign w:val="bottom"/>
            <w:gridSpan w:val="2"/>
          </w:tcPr>
          <w:p>
            <w:pPr>
              <w:jc w:val="right"/>
              <w:ind w:right="700"/>
              <w:spacing w:after="0" w:line="129" w:lineRule="exact"/>
              <w:rPr>
                <w:sz w:val="20"/>
                <w:szCs w:val="20"/>
                <w:color w:val="auto"/>
              </w:rPr>
            </w:pPr>
            <w:r>
              <w:rPr>
                <w:rFonts w:ascii="Arial" w:cs="Arial" w:eastAsia="Arial" w:hAnsi="Arial"/>
                <w:sz w:val="14"/>
                <w:szCs w:val="14"/>
                <w:b w:val="1"/>
                <w:bCs w:val="1"/>
                <w:color w:val="auto"/>
                <w:w w:val="92"/>
              </w:rPr>
              <w:t>% of Net</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2"/>
          </w:tcPr>
          <w:p>
            <w:pPr>
              <w:jc w:val="right"/>
              <w:ind w:right="680"/>
              <w:spacing w:after="0" w:line="129" w:lineRule="exact"/>
              <w:rPr>
                <w:sz w:val="20"/>
                <w:szCs w:val="20"/>
                <w:color w:val="auto"/>
              </w:rPr>
            </w:pPr>
            <w:r>
              <w:rPr>
                <w:rFonts w:ascii="Arial" w:cs="Arial" w:eastAsia="Arial" w:hAnsi="Arial"/>
                <w:sz w:val="14"/>
                <w:szCs w:val="14"/>
                <w:b w:val="1"/>
                <w:bCs w:val="1"/>
                <w:color w:val="auto"/>
                <w:w w:val="89"/>
              </w:rPr>
              <w:t>% of Net</w:t>
            </w:r>
          </w:p>
        </w:tc>
        <w:tc>
          <w:tcPr>
            <w:tcW w:w="4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Amount</w:t>
            </w:r>
          </w:p>
        </w:tc>
        <w:tc>
          <w:tcPr>
            <w:tcW w:w="60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700" w:type="dxa"/>
            <w:vAlign w:val="bottom"/>
          </w:tcPr>
          <w:p>
            <w:pPr>
              <w:spacing w:after="0"/>
              <w:rPr>
                <w:sz w:val="15"/>
                <w:szCs w:val="15"/>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6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SMB</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28.9</w:t>
            </w:r>
          </w:p>
        </w:tc>
        <w:tc>
          <w:tcPr>
            <w:tcW w:w="18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26.6</w:t>
            </w:r>
          </w:p>
        </w:tc>
        <w:tc>
          <w:tcPr>
            <w:tcW w:w="17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Large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Public Sector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gridSpan w:val="3"/>
            <w:vMerge w:val="restart"/>
          </w:tcPr>
          <w:p>
            <w:pPr>
              <w:jc w:val="right"/>
              <w:ind w:right="520"/>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3"/>
            <w:vMerge w:val="restart"/>
          </w:tcPr>
          <w:p>
            <w:pPr>
              <w:jc w:val="right"/>
              <w:ind w:right="520"/>
              <w:spacing w:after="0"/>
              <w:rPr>
                <w:sz w:val="20"/>
                <w:szCs w:val="20"/>
                <w:color w:val="auto"/>
              </w:rPr>
            </w:pPr>
            <w:r>
              <w:rPr>
                <w:rFonts w:ascii="Arial" w:cs="Arial" w:eastAsia="Arial" w:hAnsi="Arial"/>
                <w:sz w:val="18"/>
                <w:szCs w:val="18"/>
                <w:color w:val="auto"/>
              </w:rPr>
              <w:t>11.0%</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line="20" w:lineRule="exact"/>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w w:val="96"/>
              </w:rPr>
              <w:t>44.2</w:t>
            </w:r>
          </w:p>
        </w:tc>
        <w:tc>
          <w:tcPr>
            <w:tcW w:w="184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42.0</w:t>
            </w:r>
          </w:p>
        </w:tc>
        <w:tc>
          <w:tcPr>
            <w:tcW w:w="1720" w:type="dxa"/>
            <w:vAlign w:val="bottom"/>
            <w:gridSpan w:val="3"/>
            <w:vMerge w:val="continue"/>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00" w:right="280" w:hanging="446"/>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our SMB segment in the first quarter of 2007 increased in dollars and were higher as a percentage of net sales year over year. This increase was due primarily to the increase in net advertising expense resulting from the recording of substantially all vendor allowances as a reduction to cost of sales, as discussed earlier. Incremental 2007 personnel and facilities expenses associated with our call center in Texas were partially offset by lower bad debt expense and professional fees.</w:t>
      </w:r>
    </w:p>
    <w:p>
      <w:pPr>
        <w:spacing w:after="0" w:line="31" w:lineRule="exact"/>
        <w:rPr>
          <w:rFonts w:ascii="Arial" w:cs="Arial" w:eastAsia="Arial" w:hAnsi="Arial"/>
          <w:sz w:val="16"/>
          <w:szCs w:val="16"/>
          <w:color w:val="auto"/>
        </w:rPr>
      </w:pPr>
    </w:p>
    <w:p>
      <w:pPr>
        <w:ind w:left="900" w:right="26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expenses for our Large Account segment in the first quarter of 2007 were comparable to the first quarter of 2006 and decreased year over year as a percentage of net sales, due to the increase in sales. Decreased personnel and facility expenses in the first quarter of 2007 were generally offset by increased other operating expenses compared to the first quarter of 2006.</w:t>
      </w:r>
    </w:p>
    <w:p>
      <w:pPr>
        <w:spacing w:after="0" w:line="59" w:lineRule="exact"/>
        <w:rPr>
          <w:rFonts w:ascii="Arial" w:cs="Arial" w:eastAsia="Arial" w:hAnsi="Arial"/>
          <w:sz w:val="18"/>
          <w:szCs w:val="18"/>
          <w:color w:val="auto"/>
        </w:rPr>
      </w:pPr>
    </w:p>
    <w:p>
      <w:pPr>
        <w:jc w:val="both"/>
        <w:ind w:left="90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expenses for our Public Sector segment in the first quarter of 2007 were comparable in both dollars and as a percentage of net sales to the first quarter of 2006. Increased net advertising expense in the first quarter of 2007, resulting from additional vendor consideration recorded as a reduction to cost of sales, was offset by lower bad debt expense and decreased professional fees compared to the first quarter of 2006.</w:t>
      </w:r>
    </w:p>
    <w:p>
      <w:pPr>
        <w:spacing w:after="0" w:line="10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did not record any special charges in the first quarter of 2007. In the first quarter of 2006, we recorded a charge of $371 related to the temporary retention of certain facilities subsequent to our Amherst transaction. We also recorded in the first quarter of 2006 a charge of $520 related to management restructuring costs, classified as workforce reductions in the table below. A roll forward of liabilities related to special charges is shown below (in thousands of dollars).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Workforce</w:t>
            </w:r>
          </w:p>
        </w:tc>
      </w:tr>
      <w:tr>
        <w:trPr>
          <w:trHeight w:val="161"/>
        </w:trPr>
        <w:tc>
          <w:tcPr>
            <w:tcW w:w="88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1"/>
              </w:rPr>
              <w:t>Reductions</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185</w:t>
            </w:r>
          </w:p>
        </w:tc>
        <w:tc>
          <w:tcPr>
            <w:tcW w:w="60" w:type="dxa"/>
            <w:vAlign w:val="bottom"/>
            <w:shd w:val="clear" w:color="auto" w:fill="CCEEFF"/>
          </w:tcPr>
          <w:p>
            <w:pPr>
              <w:spacing w:after="0"/>
              <w:rPr>
                <w:sz w:val="18"/>
                <w:szCs w:val="18"/>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Charges</w:t>
            </w:r>
          </w:p>
        </w:tc>
        <w:tc>
          <w:tcPr>
            <w:tcW w:w="2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Liabilities at March 31, 2007</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Liabilities are included in accrued expenses and other liabilities on the balance sheet and no amount is due as of March 31, 2007.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for the first quarter of 2007 increased by $2.1 million to $5.7 million compared to $3.6 million in the first quarter of 2006. Income</w:t>
      </w:r>
      <w:r>
        <w:rPr>
          <w:rFonts w:ascii="Arial" w:cs="Arial" w:eastAsia="Arial" w:hAnsi="Arial"/>
          <w:sz w:val="18"/>
          <w:szCs w:val="18"/>
          <w:i w:val="1"/>
          <w:iCs w:val="1"/>
          <w:color w:val="auto"/>
        </w:rPr>
        <w:t xml:space="preserve"> </w:t>
      </w:r>
      <w:r>
        <w:rPr>
          <w:rFonts w:ascii="Arial" w:cs="Arial" w:eastAsia="Arial" w:hAnsi="Arial"/>
          <w:sz w:val="18"/>
          <w:szCs w:val="18"/>
          <w:color w:val="auto"/>
        </w:rPr>
        <w:t>from operations as a percentage of net sales increased to 1.4% for the first quarter of 2007 compared to 0.9% for the first quarter of 2006. Our operating income increased year over year in both dollars and as a percentage of sales in the first quarter of 2007 primarily due to improvement in operating expenses and special charges.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for the first quarter of 2007 decreased because we did not have any borrowings against our bank line of credit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2007, whereas our borrowings outstanding averaged $22.5 million during the first quarter of 2006.</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effective tax rate was 40.8% for the first quarter of 2007 and 42.0% for the first quarter of 2006. Our tax rate for the first quarter of 2007 was favorably impacted by the consolidated filing of certain state income tax returns, which we initiated in the third quarter of 2006.</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for the first quarter of 2007 increased to $3.4 million compared to $1.7 million for the first quarter of 2006, principally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income from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primary sources of liquidity have historically been internally generated funds from operations and borrowings under our bank line of credit. We have used those funds to meet our capital requirements, which consist primarily of working capital for operational needs, capital expenditures for computer equipment and software used in our business.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believe that funds generated from operations, together with available credit under our bank line of credit and inventory trade credit agreements, will be sufficient to finance our working capital, capital expenditure, and other requirements for at least the next twelve months. We expect to meet our cash requirements for the next twelve months through a combination of cash on hand, cash generated from operations and, if necessary, borrowings on our bank line of credit, as follows:</w:t>
      </w:r>
    </w:p>
    <w:p>
      <w:pPr>
        <w:spacing w:after="0" w:line="6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Cash on Hand</w:t>
      </w:r>
      <w:r>
        <w:rPr>
          <w:rFonts w:ascii="Arial" w:cs="Arial" w:eastAsia="Arial" w:hAnsi="Arial"/>
          <w:sz w:val="18"/>
          <w:szCs w:val="18"/>
          <w:color w:val="auto"/>
        </w:rPr>
        <w:t>. At March 31, 2007, we had approximately $24.7 million in unrestricted accounts.</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Cash Generated from Operations</w:t>
      </w:r>
      <w:r>
        <w:rPr>
          <w:rFonts w:ascii="Arial" w:cs="Arial" w:eastAsia="Arial" w:hAnsi="Arial"/>
          <w:sz w:val="18"/>
          <w:szCs w:val="18"/>
          <w:color w:val="auto"/>
        </w:rPr>
        <w:t>. We expect to generate cash flows from operations in excess of operating cash needs by generating earnings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balancing net changes in inventories and receivables with compensating changes in payables to generate a positive cash flow. Historically, we have consistently generated positive cash flows from operations.</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As of March 31, 2007, our $50.0 million bank line of credit was available for borrowing. This line of credit can be increased, at our</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$70.0 million for approved acquisitions or other uses authorized by the bank. Borrowings are, however, limited by certain minimum collateral and earnings requirements, as described more fully below.</w:t>
      </w:r>
    </w:p>
    <w:p>
      <w:pPr>
        <w:spacing w:after="0" w:line="14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Our ability to continue funding our planned growth, both internally and externally, is dependent upon our ability to generate sufficient cash flow from operations or to obtain additional funds through equity or debt financing, or from other sources of financing, as may be required. While at this time we do not anticipate needing any additional sources of financing to fund our operations, if demand for information technology products declines, our cash flows from operations may be substantially affected. See also related risks listed below under Item 1A, “Risk Factors.”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Sources and Uses of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over the periods indicated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880" w:type="dxa"/>
            <w:vAlign w:val="bottom"/>
            <w:tcBorders>
              <w:bottom w:val="single" w:sz="8" w:color="auto"/>
            </w:tcBorders>
            <w:vMerge w:val="continue"/>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2007</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7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8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42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Cash provided by operating activities </w:t>
      </w:r>
      <w:r>
        <w:rPr>
          <w:rFonts w:ascii="Arial" w:cs="Arial" w:eastAsia="Arial" w:hAnsi="Arial"/>
          <w:sz w:val="16"/>
          <w:szCs w:val="16"/>
          <w:color w:val="auto"/>
        </w:rPr>
        <w:t>increased in the first quarter of 2007 compared to the first quarter of 2006. Cash flow from operations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2007 resulted primarily from net income before depreciation and amortization, decreases in accounts receivable and inventory, offset partially by a decrease in accounts payable. Inventory decreased by $2.0 million from December 31, 2006 due to improved inventory management. Inventory turns improved to 21 turns for the first quarter of 2007 from 20 turns for the first quarter of 2006. Accounts receivable decreased by $23.9 million from December 31, 2006 levels despite year-over-year increased sales in 2007 due to improved collection efforts. Days sales outstanding, or DSOs, improved to 42 days for the first quarter of 2007, compared to 45 days for the prior year period. Cash flow from operations for the first quarter of 2006 resulted primarily from net income before depreciation, decreases in inventory and accounts receivable, offset partly by a decrease in accounts payable.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2007, we had $89.1 million in outstanding accounts payable. Such accounts are generally paid within 30 days of incurrence, or earlier when favorable cash discounts are offered. This balance will be financed by cash flows from operations or short-term borrowings under the line of credit. This balance includes $18.6 million payable to two financial institutions under inventory trade credit agreements we use to finance our purchase of certain inventory, secured by the inventory so financed. We believe we will be able to meet our obligations under our accounts payable with cash flows from operations and our existing line of credit.</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Cash used for investing activities </w:t>
      </w:r>
      <w:r>
        <w:rPr>
          <w:rFonts w:ascii="Arial" w:cs="Arial" w:eastAsia="Arial" w:hAnsi="Arial"/>
          <w:sz w:val="18"/>
          <w:szCs w:val="18"/>
          <w:color w:val="auto"/>
        </w:rPr>
        <w:t>in the three months ended March 31, 2007 and 2006 include our capital expenditures in the periods presented,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computer equipment and capitalization of internally-developed software. We expect total capital expenditures in 2007 to be between $8.0 million and $10.0 million.</w:t>
      </w:r>
    </w:p>
    <w:p>
      <w:pPr>
        <w:spacing w:after="0" w:line="14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i w:val="1"/>
          <w:iCs w:val="1"/>
          <w:color w:val="auto"/>
        </w:rPr>
        <w:t xml:space="preserve">Cash provided by (used for) financing activities </w:t>
      </w:r>
      <w:r>
        <w:rPr>
          <w:rFonts w:ascii="Arial" w:cs="Arial" w:eastAsia="Arial" w:hAnsi="Arial"/>
          <w:sz w:val="18"/>
          <w:szCs w:val="18"/>
          <w:color w:val="auto"/>
        </w:rPr>
        <w:t>in the three months ended March 31, 2007 benefited from proceeds of $2.5 million from the issuance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options under employee stock plans. Cash used for financing activities in the three months ended March 31, 2006 related primarily to our $4.8 million paydown of borrowings on our bank line of credit.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Instruments, Contractual Agreements, and Related Covenants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Below is a summary of certain provisions of our credit facilities and other contractual obligations. It is qualified in its entirety by the terms of the actual agreements, which are on file with the Securities and Exchange Commission. For more information about the restrictive covenants in our debt instruments and inventory financing agreements, see “Factors Affecting Sources of Liquidity.” For more information about our obligations, commitments, and contingencies, see our condensed consolidated financial statements and the accompanying notes included in this quarterly report.</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Bank Line of Credit</w:t>
      </w:r>
      <w:r>
        <w:rPr>
          <w:rFonts w:ascii="Arial" w:cs="Arial" w:eastAsia="Arial" w:hAnsi="Arial"/>
          <w:sz w:val="18"/>
          <w:szCs w:val="18"/>
          <w:color w:val="auto"/>
        </w:rPr>
        <w:t>. Our bank line of credit provides us with a borrowing capacity of up to $50.0 million at the prime rate (8.25% at March 31, 2007).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have the option to increase the facility by an additional $20.0 million, based on sufficient levels of trade receivables to meet borrowing base requirements, and depending on meeting minimum EBITDA (earnings before interest expense, taxes, depreciation, and amortization) and equity requirements, described below under “Factors Affecting Sources of Liquidity.”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facility also gives us the option of obtaining Eurodollar Rate Loans in multiples of $1.0 million for durations of one, two, three, four, or six months. Substantially all of our assets are collateralized as security for this facility, and all of our subsidiaries are guarantors under the line of credit. The entire $50 million facility was available for borrowing at March 31, 2007.</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This facility, which matures in June 2008, operates under an automatic cash management program whereby disbursements in excess of available cash are added as borrowings at the time disbursement checks clear the bank, and available cash receipts are first applied against any outstanding borrowings and then invested in short-term qualified cash investments. Accordingly, borrowings under the line are classified as current.</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Inventory Trade Credit Agreement</w:t>
      </w:r>
      <w:r>
        <w:rPr>
          <w:rFonts w:ascii="Arial" w:cs="Arial" w:eastAsia="Arial" w:hAnsi="Arial"/>
          <w:sz w:val="16"/>
          <w:szCs w:val="16"/>
          <w:color w:val="auto"/>
        </w:rPr>
        <w:t>s. We have additional security agreements with two financial institutions to facilitate the purchase of inventory from</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suppliers under certain terms and conditions. These agreements allow a collateralized first position in certain branded products inventory financed by these financial institutions. Although the agreements provide for up to 100% financing on the purchase price, up to an aggregate of $45.0 million, any outstanding financing must be fully secured by available inventory. We do not pay any interest or discount fees on such inventory financing; such costs are borne by the suppliers as an incentive for us to purchase their products. Amounts outstanding under such facilities, equal to $18.6 million as of March 31, 2007, are recorded in accounts payable, and the inventory financed is classified as inventory on the consolidated balance sheet.</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We do not have any other off-balance sheet arrangements that have, or are reasonably likely to have, a current or future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effect on our financial condition, changes in financial condition, revenues or expenses, results of operations, liquidity, capital expenditures, or capital resources. The disclosures relating to our contractual obligations in our Annual Report on Form 10-K for the year ended December 31, 2006 have not materially changed since we filed that report.</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Sports Marketing Commitments</w:t>
      </w:r>
      <w:r>
        <w:rPr>
          <w:rFonts w:ascii="Arial" w:cs="Arial" w:eastAsia="Arial" w:hAnsi="Arial"/>
          <w:sz w:val="16"/>
          <w:szCs w:val="16"/>
          <w:color w:val="auto"/>
        </w:rPr>
        <w:t>. We have entered into multi-year sponsorship agreements with the Boston Red Sox and the New England Patriots that</w:t>
      </w:r>
      <w:r>
        <w:rPr>
          <w:rFonts w:ascii="Arial" w:cs="Arial" w:eastAsia="Arial" w:hAnsi="Arial"/>
          <w:sz w:val="16"/>
          <w:szCs w:val="16"/>
          <w:i w:val="1"/>
          <w:iCs w:val="1"/>
          <w:color w:val="auto"/>
        </w:rPr>
        <w:t xml:space="preserve"> </w:t>
      </w:r>
      <w:r>
        <w:rPr>
          <w:rFonts w:ascii="Arial" w:cs="Arial" w:eastAsia="Arial" w:hAnsi="Arial"/>
          <w:sz w:val="16"/>
          <w:szCs w:val="16"/>
          <w:color w:val="auto"/>
        </w:rPr>
        <w:t>extend to 2012 and 2013, respectively. These agreements, which grant us various marketing rights and seating arrangements, require payments aggregating $1.9 million in 2007 and annual payments aggregating from $0.3 million to $1.1 million per year beginning in 2008.</w:t>
      </w:r>
    </w:p>
    <w:p>
      <w:pPr>
        <w:spacing w:after="0" w:line="10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We have a 15-year lease for our corporate headquarters with an affiliated company related through common ownership. We also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three-year lease for certain computer equipment with an unrelated party. We are required to make lease payments, under these agreements, aggregating from $1.0 million to $1.5 million per year. In addition to the rent payable under the facility lease, we are required to pay real estate taxes, insurance, and common area maintenance charges.</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also lease facilities from our principal stockholders and facilities and equipment from third parties under non-cancelable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Internally Generated Funds. </w:t>
      </w:r>
      <w:r>
        <w:rPr>
          <w:rFonts w:ascii="Arial" w:cs="Arial" w:eastAsia="Arial" w:hAnsi="Arial"/>
          <w:sz w:val="18"/>
          <w:szCs w:val="18"/>
          <w:color w:val="auto"/>
        </w:rPr>
        <w:t>The key factors affecting our internally generated funds are our ability to minimize costs and fully achieve our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efficiencies, timely collection of our customer receivables, and management of our inventory levels.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Bank Line of Credit. </w:t>
      </w:r>
      <w:r>
        <w:rPr>
          <w:rFonts w:ascii="Arial" w:cs="Arial" w:eastAsia="Arial" w:hAnsi="Arial"/>
          <w:sz w:val="18"/>
          <w:szCs w:val="18"/>
          <w:color w:val="auto"/>
        </w:rPr>
        <w:t>Our credit facility contains certain financial ratios and operational covenants and other restrictions (including restrictions on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debt, guarantees, stock repurchases, dividends and other distributions, investments, and liens) with which we and all of our subsidiaries must comply. Any failure to comply with these covenants would not only prevent us from borrowing additional funds under this line of credit, but would also constitute a default. This credit facility contains two financial tests:</w:t>
      </w:r>
    </w:p>
    <w:p>
      <w:pPr>
        <w:spacing w:after="0" w:line="62" w:lineRule="exact"/>
        <w:rPr>
          <w:sz w:val="20"/>
          <w:szCs w:val="20"/>
          <w:color w:val="auto"/>
        </w:rPr>
      </w:pPr>
    </w:p>
    <w:p>
      <w:pPr>
        <w:ind w:left="900" w:right="52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funded debt ratio (defined as the average outstanding advances under the line for the quarter, divided by the consolidated EBITDA for the trailing four quarters) must not be more than 2.0 to 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Our actual funded debt ratio at March 31, 2007 was 0.0 to 1.0, as no borrowings were outstanding against our credit facility during the first quarter of 2007.</w:t>
      </w:r>
    </w:p>
    <w:p>
      <w:pPr>
        <w:spacing w:after="0" w:line="64" w:lineRule="exact"/>
        <w:rPr>
          <w:sz w:val="20"/>
          <w:szCs w:val="20"/>
          <w:color w:val="auto"/>
        </w:rPr>
      </w:pPr>
    </w:p>
    <w:p>
      <w:pPr>
        <w:ind w:left="900" w:right="8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Consolidated Net Worth must be at least $150.0 million, plus 50% of consolidated net income for each quarter, beginning with the quarter ended March 31, 2006 (loss quarters not counted). Such amount was calculated at March 31, 2007 as $158.6 million. Our actual consolidated stockholders’ equity at March 31, 2007 was $203.3 million.</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borrowing base under this facility is set at 80% of qualified commercial receivables, plus 50% of qualified government receivables, less $5 million of the formula availability which must be held in reserves. As of March 31, 2007, the entire $50.0 million facility was available for borrowings.</w:t>
      </w:r>
    </w:p>
    <w:p>
      <w:pPr>
        <w:spacing w:after="0" w:line="8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Inventory Trade Credit Agreements. </w:t>
      </w:r>
      <w:r>
        <w:rPr>
          <w:rFonts w:ascii="Arial" w:cs="Arial" w:eastAsia="Arial" w:hAnsi="Arial"/>
          <w:sz w:val="16"/>
          <w:szCs w:val="16"/>
          <w:color w:val="auto"/>
        </w:rPr>
        <w:t>These agreements contain similar financial ratios and operational covenants and restrictions as those contained in our</w:t>
      </w:r>
      <w:r>
        <w:rPr>
          <w:rFonts w:ascii="Arial" w:cs="Arial" w:eastAsia="Arial" w:hAnsi="Arial"/>
          <w:sz w:val="16"/>
          <w:szCs w:val="16"/>
          <w:i w:val="1"/>
          <w:iCs w:val="1"/>
          <w:color w:val="auto"/>
        </w:rPr>
        <w:t xml:space="preserve"> </w:t>
      </w:r>
      <w:r>
        <w:rPr>
          <w:rFonts w:ascii="Arial" w:cs="Arial" w:eastAsia="Arial" w:hAnsi="Arial"/>
          <w:sz w:val="16"/>
          <w:szCs w:val="16"/>
          <w:color w:val="auto"/>
        </w:rPr>
        <w:t>bank line of credit described above. Such agreements also contain cross-default provisions whereby a default under the bank agreement would also constitute a default under these agreements. Financing under these agreements is limited to the purchase of specific branded products from authorized suppliers, and amounts outstanding must be fully collateralized by inventories of those products on hand.</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Capital Markets. </w:t>
      </w:r>
      <w:r>
        <w:rPr>
          <w:rFonts w:ascii="Arial" w:cs="Arial" w:eastAsia="Arial" w:hAnsi="Arial"/>
          <w:sz w:val="16"/>
          <w:szCs w:val="16"/>
          <w:color w:val="auto"/>
        </w:rPr>
        <w:t>Our ability to raise additional funds in the capital market depends upon, among other things, general economic conditions, the condition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information technology industry, our financial performance and stock price, and the state of the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FINANCIAL ACCOUNTING STANDARDS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Effective January 1, 2007, we adopted FIN 48, “Accounting for Uncertainty in Income Taxes—an interpretation of FASB Statement No. 109, Accounting for Income Taxes.” FIN 48 requires that the financial statement effects of a tax position taken or expected to be taken in a tax return to be recognized in the financial statements when it is more likely than not, based on the technical merits, that the position will be sustained upon examination. The cumulative effect of applying FIN 48 was $346 and was recorded as an adjustment reducing the January 1, 2007 balance of retained earnings. See Note 7 “Income Taxes.”</w:t>
      </w:r>
    </w:p>
    <w:p>
      <w:pPr>
        <w:spacing w:after="0" w:line="11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Effective January 1, 2007, we adopted the additional disclosure provisions of EITF Issue No. 06-03, “How Taxes Collected from Customers and Remitted to Governmental Authorities Should Be Presented in the Income Statement.” EITF No. 06-03 permits the presentation of these taxes on either a gross basis (included in revenues and costs) or a net basis (excluded from revenues). We classify sales taxes on a net basis in our income statements. Adoption of EITF No. 06-03 did not have an effect on our financial statements.</w:t>
      </w:r>
    </w:p>
    <w:p>
      <w:pPr>
        <w:spacing w:after="0" w:line="143"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 which permits companies to voluntarily choose, at specified election dates, to measure specified financial instruments and other items at fair value on a contract-by-contract basis. Subsequent changes in fair value will be required to be reported in earnings each reporting period. SFAS No. 159 is effective for fiscal years beginning after November 15, 2007 and interim periods within those fiscal years. We do not expect SFAS 159 to have a material impact on our results of operation or financial position.</w:t>
      </w:r>
    </w:p>
    <w:p>
      <w:pPr>
        <w:spacing w:after="0" w:line="9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critical accounting policies have not materially changed from those discussed in our Annual Report on Form 10-K for the year ended December 31, 2006, except as to FIN 48 as described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historically offset any inflation in operating costs by a combination of increased productivity and price increases, where appropriate. We do not expect inflation to have a significant impact on our business in the future.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3—QUANTITATIVE AND QUALITATIVE DISCLOSURES ABOUT MARKET RISK</w:t>
      </w:r>
    </w:p>
    <w:p>
      <w:pPr>
        <w:spacing w:after="0" w:line="16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invest cash balances in excess of operating requirements in short-term securities, generally with maturities of 90 days or less. In addition, our unsecured credit agreement provides for borrowings which bear interest at variable rates based on the prime rate and Euro dollar rates. We had no borrowings outstanding pursuant to our credit agreement as of March 31, 2007. We believe that the effect, if any, of reasonably possible near-term changes in interest rates on our financial position, results of operations, and cash flows should not be material. Our credit agreement exposes earnings to changes in short-term interest rates since interest rates on the underlying obligations are variable. However, we did not make use of our bank line of credit during the first quarter of 2007, and as noted above, had no borrowings outstanding at March 31, 2007. Accordingly, a change in earnings resulting from a hypothetical 10% increase or decrease in interest rates is not material.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PC CONNECTION, INC. AND SUBSIDIARIES</w:t>
      </w:r>
    </w:p>
    <w:p>
      <w:pPr>
        <w:spacing w:after="0" w:line="9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I—FINANCIAL INFORMATION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4—CONTROLS AND PROCEDURES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2007.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reasonable assurance of achieving their objectives as described above. Based on the evaluation of our disclosure controls and procedures, our Chief Executive Officer and Chief Financial Officer concluded that, as of the end of the period covered by this report, our disclosure controls and procedures were effective at the reasonable assurance level.</w:t>
      </w:r>
    </w:p>
    <w:p>
      <w:pPr>
        <w:spacing w:after="0" w:line="124"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March 31, 2007 that has materially affected, or is reasonably likely to materially affect, our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Statements contained or incorporated by reference in this Quarterly Report on Form 10-Q that are not based on historical fact are “forward-looking statements” within the meaning of the Private Securities Litigation Reform Act of 1995, Section 27A of the Securities Act of 1933, as amended, and Section 21E of the Exchange Act. These forward-looking statements regarding future events and our future results are based on current expectations, estimates, forecasts, and projections and the beliefs and assumptions of our management including, without limitation, our expectations with regard to the industry’s rapid technological change and exposure to inventory obsolescence, availability and allocations of goods, reliance on vendor support and relationships, competitive risks, pricing risks, and the overall level of economic activity and the level of business investment in information technology products. Forward-looking statements may be identified by the use of forward-looking terminology such as “may,” “could,” “will,” “expect,” “estimate,” “anticipate,” “continue,” or similar terms, variations of such terms or the negative of those terms.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We cannot assure investors that our assumptions and expectations will prove to have been correct. Important factors could cause our actual results to differ materially from those indicated or implied by forward-looking statements. Such factors that could cause or contribute to such differences include those factors discussed below. We undertake no intention or obligation to update or revise any forward-looking statements, whether as a result of new information, future events, or otherwise. If any of the following risks actually occur, our business, financial condition, or results of operations would likely suffer.</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The following discussion includes one revised risk factor (“We acquire products for resale from a limited number of vendors. The loss of any one of these vendors could have a material adverse effect on our business”) that reflects developments subsequent to the discussion of risk factors included in our most recent Annual Report on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variability in sales, and there is no assurance that we will be able to maintain profitable operations.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Several factors have caused our sales and results of operations to fluctuate and we expect these fluctuations to continue on a quarterly basis. Causes of these fluctuations include:</w:t>
      </w:r>
    </w:p>
    <w:p>
      <w:pPr>
        <w:spacing w:after="0" w:line="5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overall level of economic activity;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condition of the personal computer industry in general;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level of business investment in information technology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shifts in customer demand for hardware and software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levels of competition;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shipments of new products or upgrades;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response rates;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postage, paper, shipping, and printing costs and in merchandise returns;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weather conditions that affect response, distribution, or shipping;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product offerings;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vendor distribution of products.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results also may vary based on our ability to hire and retain sales representatives and other essential personnel, as well as our success in integrating acquisitions into our business, and their relative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base our operating expenditures on sales forecasts. If our revenues do not meet anticipated levels in the future, we may not be able to reduce our staffing levels and operating expenses in a timely manner to avoid significant losses from operations.</w:t>
      </w:r>
    </w:p>
    <w:p>
      <w:pPr>
        <w:spacing w:after="0" w:line="207"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b w:val="1"/>
          <w:bCs w:val="1"/>
          <w:color w:val="auto"/>
        </w:rPr>
        <w:t>Despite our August 2004 award of an authorization to sell to the federal government under a new General Services Administration, or GSA, schedule, our sales to federal government entities may not regain prior years’ sales levels, which would negatively impact our business.</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November 2003 we were advised that the GSA canceled its contract with our subsidiary, GovConnection, following a review of its contract management system and procedures and the possibility of the sale of unqualified items or underpayment of required fees. The matter was referred to the Department of Justice, or DOJ, for review. We cooperated in that review, and in 2006, we concluded a settlement with the DOJ of this matter. While we were awarded authorization in August 2004 to resume selling to the federal government under a new GSA schedule, we experienced significant declines in our federal government sales from 2003 levels. Accordingly, our revenues may continue to be adversely impacted as we attempt to regain this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inventory obsolescence due to the rapid technological changes occurring in the personal computer industry.</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market for personal computer products is characterized by rapid technological change and the frequent introduction of new products and product enhancements. Our success depends in large part on our ability to identify and market products that meet the needs of customers in that marketplace. In order to satisfy customer demand and to obtain favorable purchasing discounts, we have and may continue to carry increased inventory levels of certain products. By so doing, we are subject to the increased risk of inventory obsolescence. Also, in order to implement our business strategy, we intend to continue, among other things, placing larger than typical inventory stocking orders and increasing our participation in first-to-market purchase opportunities. We may also participate in end-of-life-cycle purchase opportunities and market products on a private-label basis, which would increase the risk of inventory obsolescence. In addition, we sometimes acquire special purchase products without return privileges. There can be no assurance that we will be able to avoid losses related to obsolete inventory. In addition, manufacturers are limiting return rights and are taking steps to reduce their inventory exposure by supporting “configure-to-order” programs authorizing distributors and resellers to assemble computer hardware under the manufacturers’ brands. These trends reduce the costs to manufacturers and shift the burden of inventory risk to resellers like us, which could negatively impact our business.</w:t>
      </w:r>
    </w:p>
    <w:p>
      <w:pPr>
        <w:spacing w:after="0" w:line="19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acquire products for resale from a limited number of vendors. The loss of any one of these vendors could have a material adverse effect on our business.</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acquire products for resale both directly from manufacturers and indirectly through distributors and other sources. The five vendors supplying the greatest amount of goods to us constituted 71% of our total product purchases in each of the three months ended March 31, 2007 and 2006, respectively. Among these five vendors, purchases from Ingram represented 25% and 27% of our total product purchases in the three months ended March 31, 2007 and 2006, respectively. Purchases from Tech Data comprised 17% and 19% of our total product purchases in the three months ended March 31, 2007 and 2006, respectively. Purchases from HP represented 15% of our total product purchases in each of the three months ended March 31, 2007 and 2006, respectively. No other vendor supplied more than 10% of our total product purchases in the three months ended March 31, 2007 and 2006, respectively. If we were unable to acquire products from Ingram, HP, or Tech Data, we could experience a short-term disruption in the availability of products, and such disruption could have a material adverse effect on our results of operations and cash flows.</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Substantially all of our contracts and arrangements with our vendors that supply significant quantities of products are terminable by such vendors or us without notice or upon short notice. Most of our product vendors provide us with trade credit, of which the net amount outstanding at March 31, 2007 was $89.1 million. Termination, interruption, or contraction of relationships with our vendors, including a reduction in the level of trade credit provided to us, could have a material adverse effect on our financial position.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Some product manufacturers either do not permit us to sell the full line of their products or limit the number of product units available to direct marketers such as PC Connection, Inc. An element of our business strategy is to continue increasing our participation in first-to-market purchase opportunities. The availability of certain desired products, especially in the direct marketing channel, has been constrained in the past. We could experience a material adverse effect to our business if we are unable to source first-to-market purchase or similar opportunities, or if we face the reemergence of significant availability constraints.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a reduction in the incentive programs offered to us by our vendors.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Some product manufacturers and distributors provide us with incentives such as supplier reimbursements, payment discounts, price protection, rebates, and other similar arrangements. The increasingly competitive computer hardware market has already resulted in the following:</w:t>
      </w:r>
    </w:p>
    <w:p>
      <w:pPr>
        <w:spacing w:after="0" w:line="4"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 or elimination of some of these incentive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more restrictive price protection and other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advertising allowances and incentives, in some cases.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product suppliers provide us with advertising allowances, and in exchange, we feature their products in our catalogs and other marketing vehicles. These vendor allowances, to the extent that they represent specific reimbursements of incremental and identifiable costs, are offset against SG&amp;A expenses. Advertising allowances that cannot be associated with a specific program funded by an individual vendor or that exceed the fair value of advertising expense associated with that program are classified as offsets to cost of sales or inventory. In the past, we have experienced a decrease in the level of vendor consideration available to us from certain manufacturers. The level of such consideration we receive from some manufacturers may decline in the future. Such a decline could decrease our gross margin and have a material adverse effect on our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competitive risks.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direct marketing industry and the computer products retail business, in particular, are highly competitive. We compete with consumer electronics and computer retail stores, including superstores. We also compete with other direct marketers of hardware and software and computer related products, including CDW Corporation, Insight Enterprises, Inc., and Dell Inc., who are much larger than we are. Certain hardware and software vendors, such as HP, Lenovo, and Apple, who provide products to us, are also selling their products directly to end users through their own catalogs and over the Internet. We compete not only for customers, but also for advertising support from personal computer product manufacturers. Some of our competitors have larger catalog circulations and customer bases and greater financial, marketing, and other resources than we do. In addition, some of our competitors offer a wider range of products and services than we do and may be able to respond more quickly to new or changing opportunities, technologies, and customer requirements. Many current and potential competitors also have greater name recognition, engage in more extensive promotional activities, and adopt pricing policies that are more aggressive than ours. We expect competition to increase as retailers and direct marketers who have not traditionally sold computers and related products enter the industry.</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product resellers and direct marketers are combining operations or acquiring or merging with other resellers and direct marketers to increase efficiency. Moreover, current and potential competitors have established or may establish cooperative relationships among themselves or with third parties to enhance their products and services. Accordingly, it is possible that new competitors or alliances among competitors may emerge and acquire significant market share.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cannot assure you that we can continue to compete effectively against our current or future competitors. If we encounter new competition or fail to compete effectively against our competitors, our business may be harmed.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and will continue to face significant price competition.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Generally, pricing is very aggressive in the personal computer industry, and we expect pricing pressures to continue. An increase in price competition could result in a reduction of our profit margins. There can be no assurance that we will be able to offset the effects of price reductions with an increase in the number of customers, higher sales, cost reductions, or otherwise. Also, our sales of personal computer hardware products are generally producing lower profit margins than those associated with software products. Such pricing pressures could result in an erosion of our market share, reduced sales, and reduced operating margins, any of which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methods of distributing personal computers and related products are changing, and such changes may negatively impact us and our business.</w:t>
      </w:r>
    </w:p>
    <w:p>
      <w:pPr>
        <w:spacing w:after="0" w:line="11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manner in which personal computers and related products are distributed and sold is changing, and new methods of distribution and sale, such as online shopping services, have emerged. Hardware and software manufacturers have sold, and may intensify their efforts to sell, their products directly to end users. From time to time, certain manufacturers have instituted programs for the direct sales of large order quantities of hardware and software to certain major corporate accounts. These types of programs may continue to be developed and used by various manufacturers. Some of our vendors, including Apple, HP, and Lenovo, currently sell some of their products directly to end users and have stated their intentions to increase the level of such direct sales. In addition, manufacturers may attempt to increase the volume of software products distributed electronically to end users. An increase in the volume of products sold through or used by consumers of any of these competitive programs or distributed electronically to end users could have a material adverse effect on our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which would interfere with our ability to process orders.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depend on the accuracy and proper use of our management information systems, including our telephone system. Many of our key functions depend on the quality and effective utilization of the information generated by our management information systems, including:</w:t>
      </w:r>
    </w:p>
    <w:p>
      <w:pPr>
        <w:spacing w:after="0" w:line="5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manage inventory and accounts receivable collection;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purchase, sell, and ship products efficiently and on a timely basis;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operations.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management information systems require continual upgrades to most effectively manage our operations and customer database. Although we maintain some redundant systems, with full data backup, a substantial interruption in management information systems or in telephone communication systems, including those resulting from natural disasters as well as power loss, telecommunications failure, and similar events, would substantially hinder our ability to process customer orders and thus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the continued development of electronic commerce and Internet infrastructure development.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had an increasing level of sales made over the Internet in part because of the growing use and acceptance of the Internet by end users. Sales of computer products over the Internet represent a significant and increasing portion of overall computer product sales. Growth of our Internet sales is dependent on potential customers using the Internet in addition to traditional means of commerce to purchase products. We cannot accurately predict the rate at which they will do so.</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success in growing our Internet business will depend in large part upon the development of an increasingly sophisticated infrastructure for providing Internet access and services. If the number of Internet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users or their use of Internet resources continues to grow rapidly, such growth may overwhelm the existing Internet infrastructure. Our ability to increase the speed with which we provide services to customers and to increase the scope of such services ultimately is limited by, and reliant upon, the sophistication, speed, reliability, and cost-effectiveness of the networks operated by third parties, and these networks may not continue to be developed or be available at prices consistent with our required business model.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heavily on third-party shippers to deliver our products to customers.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Many of our customers elect to have their purchases shipped by an interstate common carrier, such as DHL Worldwide Express, United Parcel Service, or FedEx Corporation. A strike or other interruption in service by these shippers could adversely affect our ability to market or deliver products to customers on a timely basis.</w:t>
      </w:r>
    </w:p>
    <w:p>
      <w:pPr>
        <w:spacing w:after="0" w:line="215"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may experience potential increases in shipping, paper, and postage costs, which may adversely affect our business if we are not able to pass such increases on to our customers.</w:t>
      </w:r>
    </w:p>
    <w:p>
      <w:pPr>
        <w:spacing w:after="0" w:line="4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Shipping costs are a significant expense in the operation of our business. Increases in postal or shipping rates and paper costs could significantly impact the cost of producing and mailing our catalogs and shipping customer orders. Postage prices and shipping rates increase periodically, and we have no control over future increases. We have a long-term contract with DHL, our primary freight carrier. We believe that we have negotiated favorable shipping rates with DHL. We generally invoice customers for shipping and handling charges. There can be no assurance that we will be able to pass on to our customers the full cost, including any future increases in the cost, of commercial delivery services such as DHL.</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also incur substantial paper and postage costs related to our marketing activities, including producing and mailing our catalogs. Paper prices historically have been cyclical, and we have experienced substantial increases in the past. Significant increases in postal or shipping rates and paper costs could adversely impact our business, financial condition, and results of operations, particularly if we cannot pass on such increases to our customers or offset such increases by reducing other costs.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concerns with respect to list development and maintenance may materially adversely affect our business.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mail catalogs and send electronic messages to names in our proprietary customer database and to potential customers whose names we obtain from rented or exchanged mailing lists. World-wide public concern regarding personal privacy has subjected the rental and use of customer mailing lists and other customer information to increased scrutiny. Any domestic or foreign legislation enacted limiting or prohibiting these practices could negatively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many uncertainties relating to the collection of state sales and use tax.</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collect and remit sales and use taxes in states in which we have either voluntarily registered or have a physical presence. Various states have sought to impose on direct marketers the burden of collecting state sales and use taxes on the sales of products shipped to their residents. In 1992, the United States Supreme Court affirmed its position that it is unconstitutional for a state to impose sales or use tax collection obligations on an out-of-state mail-order company whose only contacts with the state are limited to the distribution of catalogs and other advertising materials through the mail and the subsequent delivery of purchased goods by United States mail or by interstate common carrier. However, legislation that would expand the ability of states to impose sales and use tax collection obligations on direct marketers has been introduced in Congress on many occasions. Additionally, certain states have adopted rules that require companies and their affiliates to register in those states as a condition of doing business within those states.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Moreover, due to our presence on various forms of electronic media and other operational factors, our contacts with many states may exceed the limited contacts involved in the Supreme Court case. We cannot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predict the level of contacts that is sufficient to permit a state to impose on us a sales or use tax collection obligation. Two of our competitors have elected to collect sales and use taxes in all states. If the Supreme Court changes its position, or if legislation is passed to overturn the Supreme Court’s decision, or if a court were to determine that our contacts with a state exceed the constitutionally permitted contacts, the imposition of a sales or use tax collection obligation on us in states to which we ship products would result in additional administrative expenses to us, could result in tax liability for past sales as well as price increases to our customers, and could reduce demand for our product.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key personnel.</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future performance will depend to a significant extent upon the efforts and abilities of our senior executives. The competition for qualified management personnel in the computer products industry is very intense, and the loss of service of one or more of these persons could have an adverse effect on our business. Our success and plans for future growth will also depend on our ability to hire, train, and retain skilled personnel in all areas of our business, including sales account managers and technical support personnel. There can be no assurance that we will be able to attract, train, and retain sufficient qualified personnel to achieve our business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controlled by two principal stockholders.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Patricia Gallup and David Hall, our two principal stockholders, beneficially own or control, in the aggregate, approximately 64% of the outstanding shares of our common stock. Because of their beneficial stock ownership, these stockholders can continue to elect the members of the Board of Directors and decide all matters requiring stockholder approval at a meeting or by a written consent in lieu of a meeting. Similarly, such stockholders can control decisions to adopt, amend, or repeal our charter and our bylaws, or take other actions requiring the vote or consent of our stockholders and prevent a takeover of us by one or more third parties, or sell or otherwise transfer their stock to a third party, which could deprive our stockholders of a control premium that might otherwise be realized by them in connection with an acquisition of our Company. Such control may result in decisions that are not in the best interest of our public stockholders. In connection with our initial public offering, the principal stockholders placed substantially all shares of common stock beneficially owned by them into a voting trust, pursuant to which they are required to agree as to the manner of voting such shares in order for the shares to be voted. Such provisions could discourage bids for our common stock at a premium as well as have a negative impact on the market price of our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2—Unregistered Sales of Equity Securities and Use of Proceeds</w:t>
      </w:r>
    </w:p>
    <w:p>
      <w:pPr>
        <w:spacing w:after="0" w:line="96" w:lineRule="exact"/>
        <w:rPr>
          <w:sz w:val="20"/>
          <w:szCs w:val="20"/>
          <w:color w:val="auto"/>
        </w:rPr>
      </w:pPr>
    </w:p>
    <w:p>
      <w:pPr>
        <w:ind w:right="38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table provides information about our purchases during the quarter ended March 31, 2007 of equity securities that we have registered pursuant to Section 12 of the Exchange Act: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46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Maximum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Dollar 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 of</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8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Paid per Share</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84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55"/>
        </w:trPr>
        <w:tc>
          <w:tcPr>
            <w:tcW w:w="370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Purchased</w:t>
            </w:r>
          </w:p>
        </w:tc>
        <w:tc>
          <w:tcPr>
            <w:tcW w:w="860" w:type="dxa"/>
            <w:vAlign w:val="bottom"/>
          </w:tcPr>
          <w:p>
            <w:pPr>
              <w:spacing w:after="0"/>
              <w:rPr>
                <w:sz w:val="13"/>
                <w:szCs w:val="13"/>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(or Unit)</w:t>
            </w:r>
          </w:p>
        </w:tc>
        <w:tc>
          <w:tcPr>
            <w:tcW w:w="860" w:type="dxa"/>
            <w:vAlign w:val="bottom"/>
          </w:tcPr>
          <w:p>
            <w:pPr>
              <w:spacing w:after="0"/>
              <w:rPr>
                <w:sz w:val="13"/>
                <w:szCs w:val="13"/>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or Programs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9"/>
              </w:rPr>
              <w:t>Program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01/01/07–01/31/07</w:t>
            </w:r>
          </w:p>
        </w:tc>
        <w:tc>
          <w:tcPr>
            <w:tcW w:w="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02/01/07–02/28/07</w:t>
            </w:r>
          </w:p>
        </w:tc>
        <w:tc>
          <w:tcPr>
            <w:tcW w:w="860" w:type="dxa"/>
            <w:vAlign w:val="bottom"/>
          </w:tcPr>
          <w:p>
            <w:pPr>
              <w:spacing w:after="0"/>
              <w:rPr>
                <w:sz w:val="18"/>
                <w:szCs w:val="18"/>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03/01/07–03/31/07</w:t>
            </w:r>
          </w:p>
        </w:tc>
        <w:tc>
          <w:tcPr>
            <w:tcW w:w="860" w:type="dxa"/>
            <w:vAlign w:val="bottom"/>
            <w:shd w:val="clear" w:color="auto" w:fill="CCEEFF"/>
          </w:tcPr>
          <w:p>
            <w:pPr>
              <w:spacing w:after="0"/>
              <w:rPr>
                <w:sz w:val="18"/>
                <w:szCs w:val="18"/>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1060" w:type="dxa"/>
            <w:vAlign w:val="bottom"/>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tcPr>
          <w:p>
            <w:pPr>
              <w:ind w:left="460"/>
              <w:spacing w:after="0"/>
              <w:rPr>
                <w:sz w:val="20"/>
                <w:szCs w:val="20"/>
                <w:color w:val="auto"/>
              </w:rPr>
            </w:pPr>
            <w:r>
              <w:rPr>
                <w:rFonts w:ascii="Arial" w:cs="Arial" w:eastAsia="Arial" w:hAnsi="Arial"/>
                <w:sz w:val="18"/>
                <w:szCs w:val="18"/>
                <w:color w:val="auto"/>
                <w:w w:val="84"/>
              </w:rPr>
              <w:t>12,714,000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1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Board of Directors approved the repurchase by us of shares of our common stock having a value of up to $15.0 million in the aggregate pursuant to a repurchase program announced on March 28, 2001.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5—Other Information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May 12, 2007, the following promotions and increases in executive officer compensation became effective: Timothy McGrath was promoted to Executive Vice President, Enterprise Group, and his annual base salary was increased from $400,000 to $440,000. Jack Ferguson was promoted to Executive Vice President, Treasurer, and Chief Financial Officer, and his annual base salary was increased from $280,000 to $310,000. As executive vice presidents, Mr. McGrath and Mr. Ferguson will participate in the Executive Bonus Plan at correspondingly higher rates as described below. The annual base salary of David Beffa-Negrini, Senior Vice President, Corporate Marketing and Creative Services, was increased from $200,000 to $220,000.</w:t>
      </w:r>
    </w:p>
    <w:p>
      <w:pPr>
        <w:spacing w:after="0" w:line="11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On April 20, 2007, the Board of Directors of PC Connection, Inc. approved an Executive Bonus Plan for 2007. This plan replaces in its entirety the Executive Bonus Plan previously adopted on May 12, 2006. The Executive Bonus Plan rewards executive management for achieving specified operating expense reduction and net income targets and meeting individual performance goals. The Chief Executive Officer and Executive Vice Presidents are each eligible to earn 50% of base salary upon achieving 90% of specified targets, up to 170% of base salary for exceeding such targets. The other executive officers are each eligible to earn 25% of base salary upon achieving 90% of specified targets, up to 85% of base salary for exceeding such targets. The Board may distribute any earned bonus under the plan with cash, stock options, or restricted stock, or a combination of the foregoing, to meet its goals for short and long-term incentives.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780" w:type="dxa"/>
            <w:vAlign w:val="bottom"/>
          </w:tcPr>
          <w:p>
            <w:pPr>
              <w:spacing w:after="0"/>
              <w:rPr>
                <w:sz w:val="14"/>
                <w:szCs w:val="14"/>
                <w:color w:val="auto"/>
              </w:rPr>
            </w:pPr>
          </w:p>
        </w:tc>
        <w:tc>
          <w:tcPr>
            <w:tcW w:w="101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spacing w:after="0"/>
              <w:rPr>
                <w:sz w:val="14"/>
                <w:szCs w:val="14"/>
                <w:color w:val="auto"/>
              </w:rPr>
            </w:pPr>
          </w:p>
        </w:tc>
        <w:tc>
          <w:tcPr>
            <w:tcW w:w="10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00" w:type="dxa"/>
            <w:vAlign w:val="bottom"/>
          </w:tcPr>
          <w:p>
            <w:pPr>
              <w:jc w:val="center"/>
              <w:spacing w:after="0"/>
              <w:rPr>
                <w:sz w:val="20"/>
                <w:szCs w:val="20"/>
                <w:color w:val="auto"/>
              </w:rPr>
            </w:pPr>
            <w:r>
              <w:rPr>
                <w:rFonts w:ascii="Arial" w:cs="Arial" w:eastAsia="Arial" w:hAnsi="Arial"/>
                <w:sz w:val="18"/>
                <w:szCs w:val="18"/>
                <w:color w:val="auto"/>
              </w:rPr>
              <w:t>15  *</w:t>
            </w:r>
          </w:p>
        </w:tc>
        <w:tc>
          <w:tcPr>
            <w:tcW w:w="780" w:type="dxa"/>
            <w:vAlign w:val="bottom"/>
          </w:tcPr>
          <w:p>
            <w:pPr>
              <w:spacing w:after="0"/>
              <w:rPr>
                <w:sz w:val="18"/>
                <w:szCs w:val="18"/>
                <w:color w:val="auto"/>
              </w:rPr>
            </w:pPr>
          </w:p>
        </w:tc>
        <w:tc>
          <w:tcPr>
            <w:tcW w:w="10140" w:type="dxa"/>
            <w:vAlign w:val="bottom"/>
          </w:tcPr>
          <w:p>
            <w:pPr>
              <w:spacing w:after="0" w:line="202" w:lineRule="exact"/>
              <w:rPr>
                <w:sz w:val="20"/>
                <w:szCs w:val="20"/>
                <w:color w:val="auto"/>
              </w:rPr>
            </w:pPr>
            <w:r>
              <w:rPr>
                <w:rFonts w:ascii="Arial" w:cs="Arial" w:eastAsia="Arial" w:hAnsi="Arial"/>
                <w:sz w:val="18"/>
                <w:szCs w:val="18"/>
                <w:color w:val="auto"/>
              </w:rPr>
              <w:t>Letter on unaudited interim financial information.</w:t>
            </w:r>
          </w:p>
        </w:tc>
        <w:tc>
          <w:tcPr>
            <w:tcW w:w="0" w:type="dxa"/>
            <w:vAlign w:val="bottom"/>
          </w:tcPr>
          <w:p>
            <w:pPr>
              <w:spacing w:after="0"/>
              <w:rPr>
                <w:sz w:val="1"/>
                <w:szCs w:val="1"/>
                <w:color w:val="auto"/>
              </w:rPr>
            </w:pPr>
          </w:p>
        </w:tc>
      </w:tr>
      <w:tr>
        <w:trPr>
          <w:trHeight w:val="316"/>
        </w:trPr>
        <w:tc>
          <w:tcPr>
            <w:tcW w:w="500" w:type="dxa"/>
            <w:vAlign w:val="bottom"/>
          </w:tcPr>
          <w:p>
            <w:pPr>
              <w:jc w:val="center"/>
              <w:spacing w:after="0"/>
              <w:rPr>
                <w:sz w:val="20"/>
                <w:szCs w:val="20"/>
                <w:color w:val="auto"/>
              </w:rPr>
            </w:pPr>
            <w:r>
              <w:rPr>
                <w:rFonts w:ascii="Arial" w:cs="Arial" w:eastAsia="Arial" w:hAnsi="Arial"/>
                <w:sz w:val="18"/>
                <w:szCs w:val="18"/>
                <w:color w:val="auto"/>
                <w:w w:val="90"/>
              </w:rPr>
              <w:t>31.1*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8"/>
              </w:rPr>
              <w:t>Certification of the Company’s President and Chief Executive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0"/>
              </w:rPr>
              <w:t>31.2*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8"/>
              </w:rPr>
              <w:t>Certification of the Company’s Senior Vice President, Treasurer, and Chief Financial Officer pursuant to Section 302 of the Sarbanes-Oxley Act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0"/>
              </w:rPr>
              <w:t>32.1*</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89"/>
              </w:rPr>
              <w:t>Certification of the Company’s President and Chief Executive Officer pursuant to 18 U.S.C. Section 1350, as adopted pursuant to Section 906</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90"/>
              </w:rPr>
              <w:t>32.2*</w:t>
            </w:r>
          </w:p>
        </w:tc>
        <w:tc>
          <w:tcPr>
            <w:tcW w:w="7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Certification of the Company’s Senior Vice President, Treasurer, and Chief Financial Officer pursuant to 18 U.S.C. Section 1350, as adopted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PC CONNECTION, INC. AND SUBSIDIARIES</w:t>
      </w:r>
    </w:p>
    <w:p>
      <w:pPr>
        <w:spacing w:after="0" w:line="231" w:lineRule="exact"/>
        <w:rPr>
          <w:sz w:val="20"/>
          <w:szCs w:val="20"/>
          <w:color w:val="auto"/>
        </w:rPr>
      </w:pPr>
    </w:p>
    <w:p>
      <w:pPr>
        <w:spacing w:after="0"/>
        <w:tabs>
          <w:tab w:leader="none" w:pos="6060" w:val="left"/>
          <w:tab w:leader="none" w:pos="8040" w:val="left"/>
        </w:tabs>
        <w:rPr>
          <w:sz w:val="20"/>
          <w:szCs w:val="20"/>
          <w:color w:val="auto"/>
        </w:rPr>
      </w:pPr>
      <w:r>
        <w:rPr>
          <w:rFonts w:ascii="Arial" w:cs="Arial" w:eastAsia="Arial" w:hAnsi="Arial"/>
          <w:sz w:val="18"/>
          <w:szCs w:val="18"/>
          <w:color w:val="auto"/>
        </w:rPr>
        <w:t>Date: May 15,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w:t>
      </w:r>
      <w:r>
        <w:rPr>
          <w:rFonts w:ascii="Arial" w:cs="Arial" w:eastAsia="Arial" w:hAnsi="Arial"/>
          <w:sz w:val="13"/>
          <w:szCs w:val="13"/>
          <w:color w:val="auto"/>
        </w:rPr>
        <w:t>ATRICIA</w:t>
      </w:r>
      <w:r>
        <w:rPr>
          <w:rFonts w:ascii="Arial" w:cs="Arial" w:eastAsia="Arial" w:hAnsi="Arial"/>
          <w:sz w:val="16"/>
          <w:szCs w:val="16"/>
          <w:color w:val="auto"/>
        </w:rPr>
        <w:t xml:space="preserve"> G</w:t>
      </w:r>
      <w:r>
        <w:rPr>
          <w:rFonts w:ascii="Arial" w:cs="Arial" w:eastAsia="Arial" w:hAnsi="Arial"/>
          <w:sz w:val="13"/>
          <w:szCs w:val="13"/>
          <w:color w:val="auto"/>
        </w:rPr>
        <w:t>ALLUP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Patricia Gallup</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Chairman and Chief Executive Officer</w:t>
      </w:r>
    </w:p>
    <w:p>
      <w:pPr>
        <w:spacing w:after="0" w:line="195" w:lineRule="exact"/>
        <w:rPr>
          <w:sz w:val="20"/>
          <w:szCs w:val="20"/>
          <w:color w:val="auto"/>
        </w:rPr>
      </w:pPr>
    </w:p>
    <w:p>
      <w:pPr>
        <w:spacing w:after="0"/>
        <w:tabs>
          <w:tab w:leader="none" w:pos="6060" w:val="left"/>
          <w:tab w:leader="none" w:pos="8100" w:val="left"/>
        </w:tabs>
        <w:rPr>
          <w:sz w:val="20"/>
          <w:szCs w:val="20"/>
          <w:color w:val="auto"/>
        </w:rPr>
      </w:pPr>
      <w:r>
        <w:rPr>
          <w:rFonts w:ascii="Arial" w:cs="Arial" w:eastAsia="Arial" w:hAnsi="Arial"/>
          <w:sz w:val="18"/>
          <w:szCs w:val="18"/>
          <w:color w:val="auto"/>
        </w:rPr>
        <w:t>Date: May 15,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w:t>
      </w:r>
      <w:r>
        <w:rPr>
          <w:rFonts w:ascii="Arial" w:cs="Arial" w:eastAsia="Arial" w:hAnsi="Arial"/>
          <w:sz w:val="13"/>
          <w:szCs w:val="13"/>
          <w:color w:val="auto"/>
        </w:rPr>
        <w:t>ACK</w:t>
      </w:r>
      <w:r>
        <w:rPr>
          <w:rFonts w:ascii="Arial" w:cs="Arial" w:eastAsia="Arial" w:hAnsi="Arial"/>
          <w:sz w:val="16"/>
          <w:szCs w:val="16"/>
          <w:color w:val="auto"/>
        </w:rPr>
        <w:t xml:space="preserve"> F</w:t>
      </w:r>
      <w:r>
        <w:rPr>
          <w:rFonts w:ascii="Arial" w:cs="Arial" w:eastAsia="Arial" w:hAnsi="Arial"/>
          <w:sz w:val="13"/>
          <w:szCs w:val="13"/>
          <w:color w:val="auto"/>
        </w:rPr>
        <w:t>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Jack Ferguson</w:t>
      </w:r>
    </w:p>
    <w:p>
      <w:pPr>
        <w:jc w:val="center"/>
        <w:ind w:left="6520"/>
        <w:spacing w:after="0" w:line="223" w:lineRule="auto"/>
        <w:rPr>
          <w:sz w:val="20"/>
          <w:szCs w:val="20"/>
          <w:color w:val="auto"/>
        </w:rPr>
      </w:pPr>
      <w:r>
        <w:rPr>
          <w:rFonts w:ascii="Arial" w:cs="Arial" w:eastAsia="Arial" w:hAnsi="Arial"/>
          <w:sz w:val="14"/>
          <w:szCs w:val="14"/>
          <w:b w:val="1"/>
          <w:bCs w:val="1"/>
          <w:color w:val="auto"/>
        </w:rPr>
        <w:t>Senior Vice President, Treasurer, and</w:t>
      </w:r>
    </w:p>
    <w:p>
      <w:pPr>
        <w:jc w:val="center"/>
        <w:ind w:left="6520"/>
        <w:spacing w:after="0"/>
        <w:rPr>
          <w:sz w:val="20"/>
          <w:szCs w:val="20"/>
          <w:color w:val="auto"/>
        </w:rPr>
      </w:pPr>
      <w:r>
        <w:rPr>
          <w:rFonts w:ascii="Arial" w:cs="Arial" w:eastAsia="Arial" w:hAnsi="Arial"/>
          <w:sz w:val="14"/>
          <w:szCs w:val="14"/>
          <w:b w:val="1"/>
          <w:bCs w:val="1"/>
          <w:color w:val="auto"/>
        </w:rPr>
        <w:t>Chief Financial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May 15,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PC Connection,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730 Milford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Merrimack, NH 03054</w:t>
      </w:r>
    </w:p>
    <w:p>
      <w:pPr>
        <w:spacing w:after="0" w:line="2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reviewed, in accordance with the standards of the Public Company Accounting Oversight Board (United States), the unaudited interim financial information of PC Connection, Inc. and subsidiaries for the three-month periods ended March 31, 2007 and 2006, as indicated in our report dated May 15, 2007, because we did not perform an audit, we expressed no opinion on that information.</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aware that our report referred to above, which is included in your Quarterly Report on Form 10-Q for the quarter ended March 31, 2007, is incorporated by reference in Registration Statement Nos. 333-40172, 333-50845, 333-50847, 333-66450, 333-69981, 333-83943, 333-91584, 333-106652, and 333-130389 on Form S-8.</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Patricia Gallup, certify that:</w:t>
      </w:r>
    </w:p>
    <w:p>
      <w:pPr>
        <w:spacing w:after="0" w:line="9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3"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5"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15,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Ferguson, certify that:</w:t>
      </w:r>
    </w:p>
    <w:p>
      <w:pPr>
        <w:spacing w:after="0" w:line="9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PC Connection,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3"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900" w:right="100" w:hanging="446"/>
        <w:spacing w:after="0" w:line="281"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5"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5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00" w:right="60" w:hanging="446"/>
        <w:spacing w:after="0" w:line="261"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Date:  May 15, 2007</w:t>
            </w:r>
          </w:p>
        </w:tc>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5160" w:type="dxa"/>
            <w:vAlign w:val="bottom"/>
          </w:tcPr>
          <w:p>
            <w:pPr>
              <w:spacing w:after="0"/>
              <w:rPr>
                <w:sz w:val="17"/>
                <w:szCs w:val="17"/>
                <w:color w:val="auto"/>
              </w:rPr>
            </w:pP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516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Senior Vice President, Treasurer, and Chief Financial Officer</w:t>
            </w: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left="460" w:right="120" w:firstLine="438"/>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March 31, 2007 as filed with the Securities and Exchange Commission on the date hereof (the “Report”), the undersigned, Patricia Gallup, President and Chief Executive Officer of the Company, hereby certifies, pursuant to 18 U.S.C. Section 1350, that:</w:t>
      </w:r>
    </w:p>
    <w:p>
      <w:pPr>
        <w:spacing w:after="0" w:line="59" w:lineRule="exact"/>
        <w:rPr>
          <w:sz w:val="20"/>
          <w:szCs w:val="20"/>
          <w:color w:val="auto"/>
        </w:rPr>
      </w:pPr>
    </w:p>
    <w:p>
      <w:pPr>
        <w:ind w:left="1580" w:hanging="239"/>
        <w:spacing w:after="0"/>
        <w:tabs>
          <w:tab w:leader="none" w:pos="1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58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May 15, 2007</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Patricia Gallup</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Patricia Gallup</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1" w:lineRule="exact"/>
        <w:rPr>
          <w:sz w:val="20"/>
          <w:szCs w:val="20"/>
          <w:color w:val="auto"/>
        </w:rPr>
      </w:pPr>
    </w:p>
    <w:p>
      <w:pPr>
        <w:jc w:val="both"/>
        <w:ind w:left="460" w:right="200" w:firstLine="438"/>
        <w:spacing w:after="0" w:line="259" w:lineRule="auto"/>
        <w:rPr>
          <w:sz w:val="20"/>
          <w:szCs w:val="20"/>
          <w:color w:val="auto"/>
        </w:rPr>
      </w:pPr>
      <w:r>
        <w:rPr>
          <w:rFonts w:ascii="Arial" w:cs="Arial" w:eastAsia="Arial" w:hAnsi="Arial"/>
          <w:sz w:val="18"/>
          <w:szCs w:val="18"/>
          <w:color w:val="auto"/>
        </w:rPr>
        <w:t>In connection with the Quarterly Report on Form 10-Q of PC Connection, Inc. (the “Company”) for the period ended March 31, 2007 as filed with the Securities and Exchange Commission on the date hereof (the “Report”), the undersigned, Jack Ferguson, Senior Vice President, Treasurer, and Chief Financial Officer of the Company, hereby certifies, pursuant to 18 U.S.C. Section 1350, that:</w:t>
      </w:r>
    </w:p>
    <w:p>
      <w:pPr>
        <w:spacing w:after="0" w:line="59" w:lineRule="exact"/>
        <w:rPr>
          <w:sz w:val="20"/>
          <w:szCs w:val="20"/>
          <w:color w:val="auto"/>
        </w:rPr>
      </w:pPr>
    </w:p>
    <w:p>
      <w:pPr>
        <w:ind w:left="1580" w:hanging="239"/>
        <w:spacing w:after="0"/>
        <w:tabs>
          <w:tab w:leader="none" w:pos="1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20" w:right="460" w:firstLine="421"/>
        <w:spacing w:after="0" w:line="268" w:lineRule="auto"/>
        <w:tabs>
          <w:tab w:leader="none" w:pos="15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Date: May 15, 2007</w:t>
            </w:r>
          </w:p>
        </w:tc>
        <w:tc>
          <w:tcPr>
            <w:tcW w:w="6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Ferguson</w:t>
            </w:r>
          </w:p>
        </w:tc>
      </w:tr>
      <w:tr>
        <w:trPr>
          <w:trHeight w:val="202"/>
        </w:trPr>
        <w:tc>
          <w:tcPr>
            <w:tcW w:w="5160" w:type="dxa"/>
            <w:vAlign w:val="bottom"/>
          </w:tcPr>
          <w:p>
            <w:pPr>
              <w:spacing w:after="0"/>
              <w:rPr>
                <w:sz w:val="17"/>
                <w:szCs w:val="17"/>
                <w:color w:val="auto"/>
              </w:rPr>
            </w:pPr>
          </w:p>
        </w:tc>
        <w:tc>
          <w:tcPr>
            <w:tcW w:w="6260" w:type="dxa"/>
            <w:vAlign w:val="bottom"/>
          </w:tcPr>
          <w:p>
            <w:pPr>
              <w:ind w:left="100"/>
              <w:spacing w:after="0" w:line="202" w:lineRule="exact"/>
              <w:rPr>
                <w:sz w:val="20"/>
                <w:szCs w:val="20"/>
                <w:color w:val="auto"/>
              </w:rPr>
            </w:pPr>
            <w:r>
              <w:rPr>
                <w:rFonts w:ascii="Arial" w:cs="Arial" w:eastAsia="Arial" w:hAnsi="Arial"/>
                <w:sz w:val="18"/>
                <w:szCs w:val="18"/>
                <w:color w:val="auto"/>
              </w:rPr>
              <w:t>Jack Ferguson</w:t>
            </w:r>
          </w:p>
        </w:tc>
      </w:tr>
      <w:tr>
        <w:trPr>
          <w:trHeight w:val="222"/>
        </w:trPr>
        <w:tc>
          <w:tcPr>
            <w:tcW w:w="5160" w:type="dxa"/>
            <w:vAlign w:val="bottom"/>
          </w:tcPr>
          <w:p>
            <w:pPr>
              <w:spacing w:after="0"/>
              <w:rPr>
                <w:sz w:val="19"/>
                <w:szCs w:val="19"/>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Senior Vice President, Treasurer, 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lowerLetter"/>
      <w:start w:val="5"/>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2019-12-12T00:34:07Z</dcterms:created>
  <dcterms:modified xsi:type="dcterms:W3CDTF">2019-12-12T00:34:07Z</dcterms:modified>
</cp:coreProperties>
</file>