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116205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4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144145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7" w:lineRule="exact"/>
        <w:rPr>
          <w:sz w:val="24"/>
          <w:szCs w:val="24"/>
          <w:color w:val="auto"/>
        </w:rPr>
      </w:pPr>
    </w:p>
    <w:p>
      <w:pPr>
        <w:ind w:left="580" w:right="20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September 30, 2006</w:t>
      </w:r>
    </w:p>
    <w:p>
      <w:pPr>
        <w:spacing w:after="0" w:line="9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580" w:right="20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80"/>
          </w:cols>
          <w:pgMar w:left="240" w:top="230" w:right="379" w:bottom="1440" w:gutter="0" w:footer="0" w:header="0"/>
        </w:sectPr>
      </w:pPr>
    </w:p>
    <w:p>
      <w:pPr>
        <w:spacing w:after="0" w:line="41" w:lineRule="exact"/>
        <w:rPr>
          <w:sz w:val="24"/>
          <w:szCs w:val="24"/>
          <w:color w:val="auto"/>
        </w:rPr>
      </w:pPr>
    </w:p>
    <w:p>
      <w:pPr>
        <w:jc w:val="cente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35" w:lineRule="exact"/>
        <w:rPr>
          <w:sz w:val="24"/>
          <w:szCs w:val="24"/>
          <w:color w:val="auto"/>
        </w:rPr>
      </w:pPr>
    </w:p>
    <w:p>
      <w:pPr>
        <w:sectPr>
          <w:pgSz w:w="11900" w:h="16838" w:orient="portrait"/>
          <w:cols w:equalWidth="0" w:num="2">
            <w:col w:w="2840" w:space="620"/>
            <w:col w:w="7820"/>
          </w:cols>
          <w:pgMar w:left="240" w:top="230" w:right="379" w:bottom="1440" w:gutter="0" w:footer="0" w:header="0"/>
          <w:type w:val="continuous"/>
        </w:sectPr>
      </w:pPr>
    </w:p>
    <w:p>
      <w:pPr>
        <w:jc w:val="center"/>
        <w:ind w:right="-159"/>
        <w:spacing w:after="0"/>
        <w:rPr>
          <w:sz w:val="20"/>
          <w:szCs w:val="20"/>
          <w:color w:val="auto"/>
        </w:rPr>
      </w:pPr>
      <w:r>
        <w:rPr>
          <w:rFonts w:ascii="Arial" w:cs="Arial" w:eastAsia="Arial" w:hAnsi="Arial"/>
          <w:sz w:val="15"/>
          <w:szCs w:val="15"/>
          <w:b w:val="1"/>
          <w:bCs w:val="1"/>
          <w:color w:val="auto"/>
        </w:rPr>
        <w:t>Commission file number 0-23827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156845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type w:val="continuous"/>
        </w:sectPr>
      </w:pPr>
    </w:p>
    <w:p>
      <w:pPr>
        <w:spacing w:after="0" w:line="32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PC CONNECTION, INC.</w:t>
      </w:r>
    </w:p>
    <w:p>
      <w:pPr>
        <w:spacing w:after="0" w:line="49"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111760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tbl>
      <w:tblPr>
        <w:tblLayout w:type="fixed"/>
        <w:tblInd w:w="1420" w:type="dxa"/>
        <w:tblCellMar>
          <w:top w:w="0" w:type="dxa"/>
          <w:left w:w="0" w:type="dxa"/>
          <w:bottom w:w="0" w:type="dxa"/>
          <w:right w:w="0" w:type="dxa"/>
        </w:tblCellMar>
      </w:tblPr>
      <w:tr>
        <w:trPr>
          <w:trHeight w:val="218"/>
        </w:trPr>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4"/>
              </w:rPr>
              <w:t>DELAWARE</w:t>
            </w:r>
          </w:p>
        </w:tc>
        <w:tc>
          <w:tcPr>
            <w:tcW w:w="5040" w:type="dxa"/>
            <w:vAlign w:val="bottom"/>
          </w:tcPr>
          <w:p>
            <w:pPr>
              <w:jc w:val="right"/>
              <w:ind w:right="24"/>
              <w:spacing w:after="0"/>
              <w:rPr>
                <w:sz w:val="20"/>
                <w:szCs w:val="20"/>
                <w:color w:val="auto"/>
              </w:rPr>
            </w:pPr>
            <w:r>
              <w:rPr>
                <w:rFonts w:ascii="Arial" w:cs="Arial" w:eastAsia="Arial" w:hAnsi="Arial"/>
                <w:sz w:val="18"/>
                <w:szCs w:val="18"/>
                <w:b w:val="1"/>
                <w:bCs w:val="1"/>
                <w:color w:val="auto"/>
              </w:rPr>
              <w:t>02-0513618</w:t>
            </w:r>
          </w:p>
        </w:tc>
      </w:tr>
      <w:tr>
        <w:trPr>
          <w:trHeight w:val="149"/>
        </w:trPr>
        <w:tc>
          <w:tcPr>
            <w:tcW w:w="2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040" w:type="dxa"/>
            <w:vAlign w:val="bottom"/>
          </w:tcPr>
          <w:p>
            <w:pPr>
              <w:jc w:val="center"/>
              <w:ind w:left="392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2800" w:type="dxa"/>
            <w:vAlign w:val="bottom"/>
          </w:tcPr>
          <w:p>
            <w:pPr>
              <w:jc w:val="center"/>
              <w:spacing w:after="0"/>
              <w:rPr>
                <w:sz w:val="20"/>
                <w:szCs w:val="20"/>
                <w:color w:val="auto"/>
              </w:rPr>
            </w:pPr>
            <w:r>
              <w:rPr>
                <w:rFonts w:ascii="Arial" w:cs="Arial" w:eastAsia="Arial" w:hAnsi="Arial"/>
                <w:sz w:val="14"/>
                <w:szCs w:val="14"/>
                <w:b w:val="1"/>
                <w:bCs w:val="1"/>
                <w:color w:val="auto"/>
                <w:w w:val="89"/>
              </w:rPr>
              <w:t>incorporation or organization)</w:t>
            </w:r>
          </w:p>
        </w:tc>
        <w:tc>
          <w:tcPr>
            <w:tcW w:w="5040" w:type="dxa"/>
            <w:vAlign w:val="bottom"/>
          </w:tcPr>
          <w:p>
            <w:pPr>
              <w:jc w:val="center"/>
              <w:ind w:left="3924"/>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7"/>
              </w:rPr>
              <w:t>730 MILFORD ROAD,</w:t>
            </w:r>
          </w:p>
        </w:tc>
        <w:tc>
          <w:tcPr>
            <w:tcW w:w="5040" w:type="dxa"/>
            <w:vAlign w:val="bottom"/>
          </w:tcPr>
          <w:p>
            <w:pPr>
              <w:spacing w:after="0"/>
              <w:rPr>
                <w:sz w:val="24"/>
                <w:szCs w:val="24"/>
                <w:color w:val="auto"/>
              </w:rPr>
            </w:pPr>
          </w:p>
        </w:tc>
      </w:tr>
      <w:tr>
        <w:trPr>
          <w:trHeight w:val="231"/>
        </w:trPr>
        <w:tc>
          <w:tcPr>
            <w:tcW w:w="2800" w:type="dxa"/>
            <w:vAlign w:val="bottom"/>
          </w:tcPr>
          <w:p>
            <w:pPr>
              <w:jc w:val="center"/>
              <w:spacing w:after="0"/>
              <w:rPr>
                <w:sz w:val="20"/>
                <w:szCs w:val="20"/>
                <w:color w:val="auto"/>
              </w:rPr>
            </w:pPr>
            <w:r>
              <w:rPr>
                <w:rFonts w:ascii="Arial" w:cs="Arial" w:eastAsia="Arial" w:hAnsi="Arial"/>
                <w:sz w:val="18"/>
                <w:szCs w:val="18"/>
                <w:b w:val="1"/>
                <w:bCs w:val="1"/>
                <w:color w:val="auto"/>
              </w:rPr>
              <w:t>MERRIMACK, NEW HAMPSHIRE</w:t>
            </w:r>
          </w:p>
        </w:tc>
        <w:tc>
          <w:tcPr>
            <w:tcW w:w="5040" w:type="dxa"/>
            <w:vAlign w:val="bottom"/>
          </w:tcPr>
          <w:p>
            <w:pPr>
              <w:jc w:val="right"/>
              <w:ind w:right="224"/>
              <w:spacing w:after="0"/>
              <w:rPr>
                <w:sz w:val="20"/>
                <w:szCs w:val="20"/>
                <w:color w:val="auto"/>
              </w:rPr>
            </w:pPr>
            <w:r>
              <w:rPr>
                <w:rFonts w:ascii="Arial" w:cs="Arial" w:eastAsia="Arial" w:hAnsi="Arial"/>
                <w:sz w:val="18"/>
                <w:szCs w:val="18"/>
                <w:b w:val="1"/>
                <w:bCs w:val="1"/>
                <w:color w:val="auto"/>
              </w:rPr>
              <w:t>03054</w:t>
            </w:r>
          </w:p>
        </w:tc>
      </w:tr>
      <w:tr>
        <w:trPr>
          <w:trHeight w:val="174"/>
        </w:trPr>
        <w:tc>
          <w:tcPr>
            <w:tcW w:w="2800" w:type="dxa"/>
            <w:vAlign w:val="bottom"/>
          </w:tcPr>
          <w:p>
            <w:pPr>
              <w:jc w:val="center"/>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040" w:type="dxa"/>
            <w:vAlign w:val="bottom"/>
          </w:tcPr>
          <w:p>
            <w:pPr>
              <w:jc w:val="center"/>
              <w:ind w:left="3924"/>
              <w:spacing w:after="0"/>
              <w:rPr>
                <w:sz w:val="20"/>
                <w:szCs w:val="20"/>
                <w:color w:val="auto"/>
              </w:rPr>
            </w:pPr>
            <w:r>
              <w:rPr>
                <w:rFonts w:ascii="Arial" w:cs="Arial" w:eastAsia="Arial" w:hAnsi="Arial"/>
                <w:sz w:val="14"/>
                <w:szCs w:val="14"/>
                <w:b w:val="1"/>
                <w:bCs w:val="1"/>
                <w:color w:val="auto"/>
                <w:w w:val="92"/>
              </w:rPr>
              <w:t>(Zip Code)</w:t>
            </w:r>
          </w:p>
        </w:tc>
      </w:tr>
      <w:tr>
        <w:trPr>
          <w:trHeight w:val="352"/>
        </w:trPr>
        <w:tc>
          <w:tcPr>
            <w:tcW w:w="2800" w:type="dxa"/>
            <w:vAlign w:val="bottom"/>
          </w:tcPr>
          <w:p>
            <w:pPr>
              <w:spacing w:after="0"/>
              <w:rPr>
                <w:sz w:val="24"/>
                <w:szCs w:val="24"/>
                <w:color w:val="auto"/>
              </w:rPr>
            </w:pPr>
          </w:p>
        </w:tc>
        <w:tc>
          <w:tcPr>
            <w:tcW w:w="5040" w:type="dxa"/>
            <w:vAlign w:val="bottom"/>
          </w:tcPr>
          <w:p>
            <w:pPr>
              <w:jc w:val="right"/>
              <w:ind w:right="2924"/>
              <w:spacing w:after="0"/>
              <w:rPr>
                <w:sz w:val="20"/>
                <w:szCs w:val="20"/>
                <w:color w:val="auto"/>
              </w:rPr>
            </w:pPr>
            <w:r>
              <w:rPr>
                <w:rFonts w:ascii="Arial" w:cs="Arial" w:eastAsia="Arial" w:hAnsi="Arial"/>
                <w:sz w:val="18"/>
                <w:szCs w:val="18"/>
                <w:b w:val="1"/>
                <w:bCs w:val="1"/>
                <w:color w:val="auto"/>
              </w:rPr>
              <w:t>(603) 683-2000</w:t>
            </w:r>
          </w:p>
        </w:tc>
      </w:tr>
      <w:tr>
        <w:trPr>
          <w:trHeight w:val="174"/>
        </w:trPr>
        <w:tc>
          <w:tcPr>
            <w:tcW w:w="2800" w:type="dxa"/>
            <w:vAlign w:val="bottom"/>
          </w:tcPr>
          <w:p>
            <w:pPr>
              <w:spacing w:after="0"/>
              <w:rPr>
                <w:sz w:val="15"/>
                <w:szCs w:val="15"/>
                <w:color w:val="auto"/>
              </w:rPr>
            </w:pPr>
          </w:p>
        </w:tc>
        <w:tc>
          <w:tcPr>
            <w:tcW w:w="5040" w:type="dxa"/>
            <w:vAlign w:val="bottom"/>
          </w:tcPr>
          <w:p>
            <w:pPr>
              <w:jc w:val="center"/>
              <w:ind w:right="1964"/>
              <w:spacing w:after="0"/>
              <w:rPr>
                <w:sz w:val="20"/>
                <w:szCs w:val="20"/>
                <w:color w:val="auto"/>
              </w:rPr>
            </w:pPr>
            <w:r>
              <w:rPr>
                <w:rFonts w:ascii="Arial" w:cs="Arial" w:eastAsia="Arial" w:hAnsi="Arial"/>
                <w:sz w:val="14"/>
                <w:szCs w:val="14"/>
                <w:b w:val="1"/>
                <w:bCs w:val="1"/>
                <w:color w:val="auto"/>
                <w:w w:val="85"/>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111760</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23" w:lineRule="exact"/>
        <w:rPr>
          <w:sz w:val="24"/>
          <w:szCs w:val="24"/>
          <w:color w:val="auto"/>
        </w:rPr>
      </w:pPr>
    </w:p>
    <w:p>
      <w:pPr>
        <w:ind w:right="100" w:firstLine="456"/>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7" w:lineRule="exact"/>
        <w:rPr>
          <w:sz w:val="24"/>
          <w:szCs w:val="24"/>
          <w:color w:val="auto"/>
        </w:rPr>
      </w:pPr>
    </w:p>
    <w:p>
      <w:pPr>
        <w:jc w:val="center"/>
        <w:ind w:right="-139"/>
        <w:spacing w:after="0" w:line="207" w:lineRule="exact"/>
        <w:tabs>
          <w:tab w:leader="none" w:pos="16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8" w:lineRule="exact"/>
        <w:rPr>
          <w:sz w:val="24"/>
          <w:szCs w:val="24"/>
          <w:color w:val="auto"/>
        </w:rPr>
      </w:pPr>
    </w:p>
    <w:p>
      <w:pPr>
        <w:ind w:left="460" w:right="2080" w:firstLine="1752"/>
        <w:spacing w:after="0" w:line="276"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whether the registrant is a shell company (as defined in Rule 12b-2 of the Exchange Act).</w:t>
      </w:r>
    </w:p>
    <w:p>
      <w:pPr>
        <w:spacing w:after="0" w:line="42" w:lineRule="exact"/>
        <w:rPr>
          <w:sz w:val="24"/>
          <w:szCs w:val="24"/>
          <w:color w:val="auto"/>
        </w:rPr>
      </w:pPr>
    </w:p>
    <w:p>
      <w:pPr>
        <w:ind w:left="5080"/>
        <w:spacing w:after="0" w:line="207" w:lineRule="exact"/>
        <w:tabs>
          <w:tab w:leader="none" w:pos="582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highlight w:val="black"/>
        </w:rPr>
        <w:t>☑</w:t>
      </w:r>
    </w:p>
    <w:p>
      <w:pPr>
        <w:spacing w:after="0" w:line="20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number of shares outstanding of the issuer’s Common Stock as of November 3, 2006 was 25,937,611.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PC CONNECTION,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180" w:type="dxa"/>
            <w:vAlign w:val="bottom"/>
            <w:gridSpan w:val="10"/>
            <w:vMerge w:val="restart"/>
          </w:tcPr>
          <w:p>
            <w:pPr>
              <w:jc w:val="center"/>
              <w:ind w:right="1940"/>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180" w:type="dxa"/>
            <w:vAlign w:val="bottom"/>
            <w:gridSpan w:val="10"/>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00" w:type="dxa"/>
            <w:vAlign w:val="bottom"/>
            <w:gridSpan w:val="13"/>
          </w:tcPr>
          <w:p>
            <w:pPr>
              <w:spacing w:after="0"/>
              <w:rPr>
                <w:sz w:val="20"/>
                <w:szCs w:val="20"/>
                <w:color w:val="auto"/>
              </w:rPr>
            </w:pPr>
            <w:r>
              <w:rPr>
                <w:rFonts w:ascii="Arial" w:cs="Arial" w:eastAsia="Arial" w:hAnsi="Arial"/>
                <w:sz w:val="18"/>
                <w:szCs w:val="18"/>
                <w:color w:val="auto"/>
              </w:rPr>
              <w:t>Unaudited Condensed Consolidated Financial Statements: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Report of Independent Registered Public Accounting Firm</w:t>
              </w:r>
            </w:hyperlink>
          </w:p>
        </w:tc>
        <w:tc>
          <w:tcPr>
            <w:tcW w:w="578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Sheets—September 30, 2006 and December 31, 2005</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Income—Three and nine months ended September 30, 2006 and 2005</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4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 of Changes in Stockholders’ Equity—Nine months ended September 30, 2006</w:t>
              </w:r>
            </w:hyperlink>
          </w:p>
        </w:tc>
        <w:tc>
          <w:tcPr>
            <w:tcW w:w="18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gridSpan w:val="1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Flows—Nine months ended September 30, 2006 and 2005</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00" w:type="dxa"/>
            <w:vAlign w:val="bottom"/>
            <w:tcBorders>
              <w:top w:val="single" w:sz="8" w:color="0000EE"/>
            </w:tcBorders>
            <w:gridSpan w:val="1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Consolidated Financial Statements</w:t>
              </w:r>
            </w:hyperlink>
          </w:p>
        </w:tc>
        <w:tc>
          <w:tcPr>
            <w:tcW w:w="260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Management’s Discussion and Analysis of Financial Condition and Results of Operations</w:t>
              </w:r>
            </w:hyperlink>
          </w:p>
        </w:tc>
        <w:tc>
          <w:tcPr>
            <w:tcW w:w="360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Quantitative and Qualitative Disclosures About Market Risk</w:t>
              </w:r>
            </w:hyperlink>
          </w:p>
        </w:tc>
        <w:tc>
          <w:tcPr>
            <w:tcW w:w="564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900" w:type="dxa"/>
            <w:vAlign w:val="bottom"/>
            <w:gridSpan w:val="1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43"/>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8180" w:type="dxa"/>
            <w:vAlign w:val="bottom"/>
            <w:gridSpan w:val="10"/>
          </w:tcPr>
          <w:p>
            <w:pPr>
              <w:jc w:val="center"/>
              <w:ind w:right="1940"/>
              <w:spacing w:after="0"/>
              <w:rPr>
                <w:sz w:val="20"/>
                <w:szCs w:val="20"/>
                <w:color w:val="auto"/>
              </w:rPr>
            </w:pPr>
            <w:r>
              <w:rPr>
                <w:rFonts w:ascii="Arial" w:cs="Arial" w:eastAsia="Arial" w:hAnsi="Arial"/>
                <w:sz w:val="18"/>
                <w:szCs w:val="18"/>
                <w:b w:val="1"/>
                <w:bCs w:val="1"/>
                <w:color w:val="auto"/>
              </w:rPr>
              <w:t>PART II  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2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35">
              <w:r>
                <w:rPr>
                  <w:rFonts w:ascii="Arial" w:cs="Arial" w:eastAsia="Arial" w:hAnsi="Arial"/>
                  <w:sz w:val="18"/>
                  <w:szCs w:val="18"/>
                  <w:color w:val="0000EE"/>
                  <w:w w:val="85"/>
                </w:rPr>
                <w:t>Risk Factors</w:t>
              </w:r>
            </w:hyperlink>
          </w:p>
        </w:tc>
        <w:tc>
          <w:tcPr>
            <w:tcW w:w="902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41">
              <w:r>
                <w:rPr>
                  <w:rFonts w:ascii="Arial" w:cs="Arial" w:eastAsia="Arial" w:hAnsi="Arial"/>
                  <w:sz w:val="18"/>
                  <w:szCs w:val="18"/>
                  <w:color w:val="0000EE"/>
                  <w:w w:val="86"/>
                </w:rPr>
                <w:t>Unregistered Sales of Equity Securities and Use of Proceeds</w:t>
              </w:r>
            </w:hyperlink>
          </w:p>
        </w:tc>
        <w:tc>
          <w:tcPr>
            <w:tcW w:w="566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900" w:type="dxa"/>
            <w:vAlign w:val="bottom"/>
            <w:gridSpan w:val="1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Exhibits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1140" w:type="dxa"/>
            <w:vAlign w:val="bottom"/>
            <w:tcBorders>
              <w:bottom w:val="single" w:sz="8" w:color="0000EE"/>
            </w:tcBorders>
          </w:tcPr>
          <w:p>
            <w:pPr>
              <w:spacing w:after="0"/>
              <w:rPr>
                <w:rFonts w:ascii="Arial" w:cs="Arial" w:eastAsia="Arial" w:hAnsi="Arial"/>
                <w:sz w:val="18"/>
                <w:szCs w:val="18"/>
                <w:b w:val="1"/>
                <w:bCs w:val="1"/>
                <w:color w:val="0000EE"/>
                <w:w w:val="94"/>
              </w:rPr>
            </w:pPr>
            <w:hyperlink w:anchor="page43">
              <w:r>
                <w:rPr>
                  <w:rFonts w:ascii="Arial" w:cs="Arial" w:eastAsia="Arial" w:hAnsi="Arial"/>
                  <w:sz w:val="18"/>
                  <w:szCs w:val="18"/>
                  <w:b w:val="1"/>
                  <w:bCs w:val="1"/>
                  <w:color w:val="0000EE"/>
                  <w:w w:val="94"/>
                </w:rPr>
                <w:t>SIGNATURES</w:t>
              </w:r>
            </w:hyperlink>
          </w:p>
        </w:tc>
        <w:tc>
          <w:tcPr>
            <w:tcW w:w="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PC Connection, Inc.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Merrimack, New Hampshire</w:t>
      </w:r>
    </w:p>
    <w:p>
      <w:pPr>
        <w:spacing w:after="0" w:line="16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reviewed the accompanying condensed consolidated balance sheet of PC Connection, Inc. and subsidiaries (the “Company”) as of September 30, 2006, and the related condensed consolidated statements of income for the three-month and nine-month periods ended September 30, 2006 and 2005, and the condensed consolidated statement of changes in stockholders’ equity for the nine-month period ended September 30, 2006, and the condensed consolidated statements of cash flows for the nine-month periods ended September 30, 2006 and 2005. These interim financial statements are the responsibility of the Company’s management.</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of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Based on our reviews, we are not aware of any material modifications that should be made to such condensed consolidated interim financial statements for them to be in conformity with accounting principles generally accepted in the United States of America.</w:t>
      </w:r>
    </w:p>
    <w:p>
      <w:pPr>
        <w:spacing w:after="0" w:line="132"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balance sheet of PC Connection, Inc. and subsidiaries as of December 31, 2005, and the related consolidated statements of income, stockholders’ equity, and cash flows for the year then ended (not presented herein); and in our report dated March 30, 2006, we expressed an unqualified opinion on those consolidated financial statements. In our opinion, the information set forth in the accompanying condensed consolidated balance sheet as of December 31, 2005 is fairly stated, in all material respects, in relation to the consolidated balance sheet from which it has been derived.</w:t>
      </w:r>
    </w:p>
    <w:p>
      <w:pPr>
        <w:spacing w:after="0" w:line="116"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 xml:space="preserve">As discussed in Note 1 to the condensed consolidated interim financial statements, effective January 1, 2006 the Company changed its method of accounting for stock-based compensation to conform to Statement of Financial Accounting Standards No. 123(R), </w:t>
      </w:r>
      <w:r>
        <w:rPr>
          <w:rFonts w:ascii="Arial" w:cs="Arial" w:eastAsia="Arial" w:hAnsi="Arial"/>
          <w:sz w:val="16"/>
          <w:szCs w:val="16"/>
          <w:i w:val="1"/>
          <w:iCs w:val="1"/>
          <w:color w:val="auto"/>
        </w:rPr>
        <w:t>Share-Based Payment.</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13, 2006</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75"/>
        </w:trPr>
        <w:tc>
          <w:tcPr>
            <w:tcW w:w="20" w:type="dxa"/>
            <w:vAlign w:val="bottom"/>
          </w:tcPr>
          <w:p>
            <w:pPr>
              <w:spacing w:after="0"/>
              <w:rPr>
                <w:sz w:val="15"/>
                <w:szCs w:val="15"/>
                <w:color w:val="auto"/>
              </w:rPr>
            </w:pPr>
          </w:p>
        </w:tc>
        <w:tc>
          <w:tcPr>
            <w:tcW w:w="75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i w:val="1"/>
                <w:iCs w:val="1"/>
                <w:color w:val="auto"/>
                <w:w w:val="94"/>
              </w:rPr>
              <w:t>(unaudited)</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3840"/>
              <w:spacing w:after="0"/>
              <w:rPr>
                <w:sz w:val="20"/>
                <w:szCs w:val="20"/>
                <w:color w:val="auto"/>
              </w:rPr>
            </w:pPr>
            <w:r>
              <w:rPr>
                <w:rFonts w:ascii="Arial" w:cs="Arial" w:eastAsia="Arial" w:hAnsi="Arial"/>
                <w:sz w:val="18"/>
                <w:szCs w:val="18"/>
                <w:b w:val="1"/>
                <w:bCs w:val="1"/>
                <w:color w:val="auto"/>
              </w:rPr>
              <w:t>ASSETS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Current Assets: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620" w:type="dxa"/>
            <w:vAlign w:val="bottom"/>
            <w:gridSpan w:val="2"/>
            <w:shd w:val="clear" w:color="auto" w:fill="CCEEFF"/>
          </w:tcPr>
          <w:p>
            <w:pPr>
              <w:ind w:left="14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11,819</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159,016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162,525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Inventories—merchandise</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68,429</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75,374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3,878</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3,769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receivable</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3,832</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current assets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247,961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257,399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19,541</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56,867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56,820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Other intangibles, net</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4,630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5,427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40" w:type="dxa"/>
            <w:vAlign w:val="bottom"/>
          </w:tcPr>
          <w:p>
            <w:pPr>
              <w:ind w:left="1280"/>
              <w:spacing w:after="0"/>
              <w:rPr>
                <w:sz w:val="20"/>
                <w:szCs w:val="20"/>
                <w:color w:val="auto"/>
              </w:rPr>
            </w:pPr>
            <w:r>
              <w:rPr>
                <w:rFonts w:ascii="Arial" w:cs="Arial" w:eastAsia="Arial" w:hAnsi="Arial"/>
                <w:sz w:val="18"/>
                <w:szCs w:val="18"/>
                <w:b w:val="1"/>
                <w:bCs w:val="1"/>
                <w:color w:val="auto"/>
              </w:rPr>
              <w:t>Total assets</w:t>
            </w:r>
          </w:p>
        </w:tc>
        <w:tc>
          <w:tcPr>
            <w:tcW w:w="1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329,322</w:t>
            </w:r>
          </w:p>
        </w:tc>
        <w:tc>
          <w:tcPr>
            <w:tcW w:w="380" w:type="dxa"/>
            <w:vAlign w:val="bottom"/>
          </w:tcPr>
          <w:p>
            <w:pPr>
              <w:spacing w:after="0"/>
              <w:rPr>
                <w:sz w:val="19"/>
                <w:szCs w:val="19"/>
                <w:color w:val="auto"/>
              </w:rPr>
            </w:pP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337,705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40" w:type="dxa"/>
            <w:vAlign w:val="bottom"/>
            <w:shd w:val="clear" w:color="auto" w:fill="CCEEFF"/>
          </w:tcPr>
          <w:p>
            <w:pPr>
              <w:ind w:left="2260"/>
              <w:spacing w:after="0"/>
              <w:rPr>
                <w:sz w:val="20"/>
                <w:szCs w:val="20"/>
                <w:color w:val="auto"/>
              </w:rPr>
            </w:pPr>
            <w:r>
              <w:rPr>
                <w:rFonts w:ascii="Arial" w:cs="Arial" w:eastAsia="Arial" w:hAnsi="Arial"/>
                <w:sz w:val="18"/>
                <w:szCs w:val="18"/>
                <w:b w:val="1"/>
                <w:bCs w:val="1"/>
                <w:color w:val="auto"/>
              </w:rPr>
              <w:t>LIABILITIES AND STOCKHOLDERS’ EQUITY</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Current Liabilities: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maturities of capital lease obligations: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860"/>
              <w:spacing w:after="0"/>
              <w:rPr>
                <w:sz w:val="20"/>
                <w:szCs w:val="20"/>
                <w:color w:val="auto"/>
              </w:rPr>
            </w:pPr>
            <w:r>
              <w:rPr>
                <w:rFonts w:ascii="Arial" w:cs="Arial" w:eastAsia="Arial" w:hAnsi="Arial"/>
                <w:sz w:val="18"/>
                <w:szCs w:val="18"/>
                <w:color w:val="auto"/>
              </w:rPr>
              <w:t>To affiliate</w:t>
            </w:r>
          </w:p>
        </w:tc>
        <w:tc>
          <w:tcPr>
            <w:tcW w:w="1620" w:type="dxa"/>
            <w:vAlign w:val="bottom"/>
            <w:gridSpan w:val="2"/>
          </w:tcPr>
          <w:p>
            <w:pPr>
              <w:ind w:left="146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452</w:t>
            </w:r>
          </w:p>
        </w:tc>
        <w:tc>
          <w:tcPr>
            <w:tcW w:w="380" w:type="dxa"/>
            <w:vAlign w:val="bottom"/>
          </w:tcPr>
          <w:p>
            <w:pPr>
              <w:spacing w:after="0"/>
              <w:rPr>
                <w:sz w:val="18"/>
                <w:szCs w:val="18"/>
                <w:color w:val="auto"/>
              </w:rPr>
            </w:pP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416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 third party</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Note payable—bank</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7,096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19,975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99,690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114,413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1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26,823</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current liabilities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134,488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156,506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Capital lease obligation, less current maturities: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 affiliate</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4,957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To third party</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5,750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540" w:type="dxa"/>
            <w:vAlign w:val="bottom"/>
          </w:tcPr>
          <w:p>
            <w:pPr>
              <w:ind w:left="1280"/>
              <w:spacing w:after="0"/>
              <w:rPr>
                <w:sz w:val="20"/>
                <w:szCs w:val="20"/>
                <w:color w:val="auto"/>
              </w:rPr>
            </w:pPr>
            <w:r>
              <w:rPr>
                <w:rFonts w:ascii="Arial" w:cs="Arial" w:eastAsia="Arial" w:hAnsi="Arial"/>
                <w:sz w:val="18"/>
                <w:szCs w:val="18"/>
                <w:b w:val="1"/>
                <w:bCs w:val="1"/>
                <w:color w:val="auto"/>
              </w:rPr>
              <w:t>Total liabilities</w:t>
            </w:r>
          </w:p>
        </w:tc>
        <w:tc>
          <w:tcPr>
            <w:tcW w:w="1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145,268</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166,306</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261</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81,329</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77,884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104,750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95,545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(2,286)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(2,286)</w:t>
            </w:r>
          </w:p>
        </w:tc>
      </w:tr>
      <w:tr>
        <w:trPr>
          <w:trHeight w:val="230"/>
        </w:trPr>
        <w:tc>
          <w:tcPr>
            <w:tcW w:w="20" w:type="dxa"/>
            <w:vAlign w:val="bottom"/>
          </w:tcPr>
          <w:p>
            <w:pPr>
              <w:spacing w:after="0"/>
              <w:rPr>
                <w:sz w:val="20"/>
                <w:szCs w:val="20"/>
                <w:color w:val="auto"/>
              </w:rPr>
            </w:pPr>
          </w:p>
        </w:tc>
        <w:tc>
          <w:tcPr>
            <w:tcW w:w="7540" w:type="dxa"/>
            <w:vAlign w:val="bottom"/>
          </w:tcPr>
          <w:p>
            <w:pPr>
              <w:ind w:left="1280"/>
              <w:spacing w:after="0"/>
              <w:rPr>
                <w:sz w:val="20"/>
                <w:szCs w:val="20"/>
                <w:color w:val="auto"/>
              </w:rPr>
            </w:pPr>
            <w:r>
              <w:rPr>
                <w:rFonts w:ascii="Arial" w:cs="Arial" w:eastAsia="Arial" w:hAnsi="Arial"/>
                <w:sz w:val="18"/>
                <w:szCs w:val="18"/>
                <w:b w:val="1"/>
                <w:bCs w:val="1"/>
                <w:color w:val="auto"/>
              </w:rPr>
              <w:t>Total stockholders’ equity</w:t>
            </w:r>
          </w:p>
        </w:tc>
        <w:tc>
          <w:tcPr>
            <w:tcW w:w="1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184,054</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171,399</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liabilities and stockholders’ equity</w:t>
            </w:r>
          </w:p>
        </w:tc>
        <w:tc>
          <w:tcPr>
            <w:tcW w:w="1620" w:type="dxa"/>
            <w:vAlign w:val="bottom"/>
            <w:gridSpan w:val="2"/>
            <w:shd w:val="clear" w:color="auto" w:fill="CCEEFF"/>
          </w:tcPr>
          <w:p>
            <w:pPr>
              <w:ind w:left="14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329,322</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337,705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9"/>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3" w:lineRule="exact"/>
              <w:rPr>
                <w:sz w:val="20"/>
                <w:szCs w:val="20"/>
                <w:color w:val="auto"/>
              </w:rPr>
            </w:pPr>
            <w:r>
              <w:rPr>
                <w:rFonts w:ascii="Arial" w:cs="Arial" w:eastAsia="Arial" w:hAnsi="Arial"/>
                <w:sz w:val="14"/>
                <w:szCs w:val="14"/>
                <w:b w:val="1"/>
                <w:bCs w:val="1"/>
                <w:color w:val="auto"/>
              </w:rPr>
              <w:t>2006</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3" w:lineRule="exact"/>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6"/>
              <w:spacing w:after="0" w:line="143"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3"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415,213</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371,124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1,203,785</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1,045,685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Cost of sales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364,070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329,044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1,055,481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925,907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Gross profit</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51,143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42,080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148,304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43,291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37,531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129,780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110,326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Income from operations</w:t>
            </w:r>
          </w:p>
        </w:tc>
        <w:tc>
          <w:tcPr>
            <w:tcW w:w="1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vMerge w:val="continue"/>
          </w:tcPr>
          <w:p>
            <w:pPr>
              <w:spacing w:after="0"/>
              <w:rPr>
                <w:sz w:val="19"/>
                <w:szCs w:val="19"/>
                <w:color w:val="auto"/>
              </w:rPr>
            </w:pP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6,802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3,696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16,133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(394)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(1,475)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net</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Income before taxes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6,446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3,432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Income tax provision</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(2,058)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(1,508)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(5,487)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income</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4,388</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9,205</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1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260" w:type="dxa"/>
            <w:vAlign w:val="bottom"/>
            <w:gridSpan w:val="2"/>
            <w:vMerge w:val="continue"/>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25,446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25,224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25,330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vMerge w:val="continue"/>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25,667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25,271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25,459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25,275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Basic</w:t>
            </w:r>
          </w:p>
        </w:tc>
        <w:tc>
          <w:tcPr>
            <w:tcW w:w="20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.08</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amounts in thousands</w:t>
      </w:r>
      <w:r>
        <w:rPr>
          <w:rFonts w:ascii="Arial" w:cs="Arial" w:eastAsia="Arial" w:hAnsi="Arial"/>
          <w:sz w:val="18"/>
          <w:szCs w:val="18"/>
          <w:b w:val="1"/>
          <w:bCs w:val="1"/>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340" w:type="dxa"/>
            <w:vAlign w:val="bottom"/>
            <w:gridSpan w:val="4"/>
          </w:tcPr>
          <w:p>
            <w:pPr>
              <w:ind w:left="200"/>
              <w:spacing w:after="0"/>
              <w:rPr>
                <w:sz w:val="20"/>
                <w:szCs w:val="20"/>
                <w:color w:val="auto"/>
              </w:rPr>
            </w:pPr>
            <w:r>
              <w:rPr>
                <w:rFonts w:ascii="Arial" w:cs="Arial" w:eastAsia="Arial" w:hAnsi="Arial"/>
                <w:sz w:val="14"/>
                <w:szCs w:val="14"/>
                <w:b w:val="1"/>
                <w:bCs w:val="1"/>
                <w:color w:val="auto"/>
              </w:rPr>
              <w:t>Common Shares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15"/>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4"/>
                <w:szCs w:val="14"/>
                <w:b w:val="1"/>
                <w:bCs w:val="1"/>
                <w:color w:val="auto"/>
                <w:w w:val="87"/>
              </w:rPr>
              <w:t>Retained</w:t>
            </w:r>
          </w:p>
        </w:tc>
        <w:tc>
          <w:tcPr>
            <w:tcW w:w="220" w:type="dxa"/>
            <w:vAlign w:val="bottom"/>
          </w:tcPr>
          <w:p>
            <w:pPr>
              <w:spacing w:after="0"/>
              <w:rPr>
                <w:sz w:val="14"/>
                <w:szCs w:val="14"/>
                <w:color w:val="auto"/>
              </w:rPr>
            </w:pPr>
          </w:p>
        </w:tc>
        <w:tc>
          <w:tcPr>
            <w:tcW w:w="1580" w:type="dxa"/>
            <w:vAlign w:val="bottom"/>
            <w:gridSpan w:val="6"/>
          </w:tcPr>
          <w:p>
            <w:pPr>
              <w:jc w:val="right"/>
              <w:ind w:right="338"/>
              <w:spacing w:after="0"/>
              <w:rPr>
                <w:sz w:val="20"/>
                <w:szCs w:val="20"/>
                <w:color w:val="auto"/>
              </w:rPr>
            </w:pPr>
            <w:r>
              <w:rPr>
                <w:rFonts w:ascii="Arial" w:cs="Arial" w:eastAsia="Arial" w:hAnsi="Arial"/>
                <w:sz w:val="14"/>
                <w:szCs w:val="14"/>
                <w:b w:val="1"/>
                <w:bCs w:val="1"/>
                <w:color w:val="auto"/>
              </w:rPr>
              <w:t>Treasury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1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Shares</w:t>
            </w: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2"/>
                <w:szCs w:val="12"/>
                <w:color w:val="auto"/>
              </w:rPr>
            </w:pPr>
          </w:p>
        </w:tc>
        <w:tc>
          <w:tcPr>
            <w:tcW w:w="10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Paid-In Capital</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6"/>
              </w:rPr>
              <w:t>Earnings</w:t>
            </w:r>
          </w:p>
        </w:tc>
        <w:tc>
          <w:tcPr>
            <w:tcW w:w="220" w:type="dxa"/>
            <w:vAlign w:val="bottom"/>
          </w:tcPr>
          <w:p>
            <w:pPr>
              <w:spacing w:after="0"/>
              <w:rPr>
                <w:sz w:val="12"/>
                <w:szCs w:val="12"/>
                <w:color w:val="auto"/>
              </w:rPr>
            </w:pPr>
          </w:p>
        </w:tc>
        <w:tc>
          <w:tcPr>
            <w:tcW w:w="46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5"/>
              </w:rPr>
              <w:t>Shares</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3"/>
              </w:rPr>
              <w:t>Amount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Balance—December 31, 2005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25,622</w:t>
            </w:r>
          </w:p>
        </w:tc>
        <w:tc>
          <w:tcPr>
            <w:tcW w:w="4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256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77,884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95,545</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(2,286)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171,399</w:t>
            </w:r>
          </w:p>
        </w:tc>
        <w:tc>
          <w:tcPr>
            <w:tcW w:w="2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9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277</w:t>
            </w:r>
          </w:p>
        </w:tc>
        <w:tc>
          <w:tcPr>
            <w:tcW w:w="2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 including income tax benefits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2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Issuance of stock under Employee Stock Purchase Plan</w:t>
            </w: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9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9,205</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9,205</w:t>
            </w:r>
          </w:p>
        </w:tc>
        <w:tc>
          <w:tcPr>
            <w:tcW w:w="20" w:type="dxa"/>
            <w:vAlign w:val="bottom"/>
          </w:tcPr>
          <w:p>
            <w:pPr>
              <w:spacing w:after="0"/>
              <w:rPr>
                <w:sz w:val="18"/>
                <w:szCs w:val="18"/>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b w:val="1"/>
                <w:bCs w:val="1"/>
                <w:color w:val="auto"/>
              </w:rPr>
              <w:t>Balance—September 30, 2006</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26,057</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w w:val="86"/>
              </w:rPr>
              <w:t>261</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81,329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104,750</w:t>
            </w: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center"/>
              <w:ind w:left="58"/>
              <w:spacing w:after="0"/>
              <w:rPr>
                <w:sz w:val="20"/>
                <w:szCs w:val="20"/>
                <w:color w:val="auto"/>
              </w:rPr>
            </w:pPr>
            <w:r>
              <w:rPr>
                <w:rFonts w:ascii="Arial" w:cs="Arial" w:eastAsia="Arial" w:hAnsi="Arial"/>
                <w:sz w:val="18"/>
                <w:szCs w:val="18"/>
                <w:b w:val="1"/>
                <w:bCs w:val="1"/>
                <w:color w:val="auto"/>
                <w:w w:val="76"/>
              </w:rPr>
              <w:t>(362)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(2,286</w:t>
            </w:r>
          </w:p>
        </w:tc>
        <w:tc>
          <w:tcPr>
            <w:tcW w:w="180" w:type="dxa"/>
            <w:vAlign w:val="bottom"/>
          </w:tcPr>
          <w:p>
            <w:pPr>
              <w:jc w:val="right"/>
              <w:ind w:right="38"/>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184,054</w:t>
            </w:r>
          </w:p>
        </w:tc>
        <w:tc>
          <w:tcPr>
            <w:tcW w:w="2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w:t>
      </w:r>
    </w:p>
    <w:p>
      <w:pPr>
        <w:spacing w:after="0" w:line="201"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Nine Months Ended</w:t>
      </w:r>
    </w:p>
    <w:p>
      <w:pPr>
        <w:spacing w:after="0" w:line="1"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3"/>
              <w:spacing w:after="0" w:line="143" w:lineRule="exact"/>
              <w:rPr>
                <w:sz w:val="20"/>
                <w:szCs w:val="20"/>
                <w:color w:val="auto"/>
              </w:rPr>
            </w:pPr>
            <w:r>
              <w:rPr>
                <w:rFonts w:ascii="Arial" w:cs="Arial" w:eastAsia="Arial" w:hAnsi="Arial"/>
                <w:sz w:val="14"/>
                <w:szCs w:val="14"/>
                <w:b w:val="1"/>
                <w:bCs w:val="1"/>
                <w:color w:val="auto"/>
              </w:rPr>
              <w:t>2006</w:t>
            </w: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3"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9,205</w:t>
            </w:r>
          </w:p>
        </w:tc>
        <w:tc>
          <w:tcPr>
            <w:tcW w:w="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4,436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5,227</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5,340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2,094</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1,536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disposal of fixed 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Stock compensation expense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277</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excess tax benefit from exercise of stock options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Changes in assets and liabilities: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(30,679)</w:t>
            </w: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6,945</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11,446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1,142</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(187)</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(14,723)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Income tax benefits from exercise of stock options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231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expenses and other liabilities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5,533</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18,980</w:t>
            </w:r>
          </w:p>
        </w:tc>
        <w:tc>
          <w:tcPr>
            <w:tcW w:w="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10,588</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83"/>
        </w:trPr>
        <w:tc>
          <w:tcPr>
            <w:tcW w:w="20" w:type="dxa"/>
            <w:vAlign w:val="bottom"/>
          </w:tcPr>
          <w:p>
            <w:pPr>
              <w:spacing w:after="0"/>
              <w:rPr>
                <w:sz w:val="24"/>
                <w:szCs w:val="24"/>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80" w:type="dxa"/>
            <w:vAlign w:val="bottom"/>
          </w:tcPr>
          <w:p>
            <w:pPr>
              <w:spacing w:after="0"/>
              <w:rPr>
                <w:sz w:val="24"/>
                <w:szCs w:val="24"/>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(6,401)</w:t>
            </w:r>
          </w:p>
        </w:tc>
        <w:tc>
          <w:tcPr>
            <w:tcW w:w="1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(5,060)</w:t>
            </w:r>
          </w:p>
        </w:tc>
      </w:tr>
      <w:tr>
        <w:trPr>
          <w:trHeight w:val="217"/>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property and equipment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Payment of acquisition earn-out obligation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(6,921)</w:t>
            </w: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for investing activities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(6,381)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(11,968)</w:t>
            </w:r>
          </w:p>
        </w:tc>
      </w:tr>
      <w:tr>
        <w:trPr>
          <w:trHeight w:val="221"/>
        </w:trPr>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70"/>
        </w:trPr>
        <w:tc>
          <w:tcPr>
            <w:tcW w:w="20" w:type="dxa"/>
            <w:vAlign w:val="bottom"/>
          </w:tcPr>
          <w:p>
            <w:pPr>
              <w:spacing w:after="0"/>
              <w:rPr>
                <w:sz w:val="6"/>
                <w:szCs w:val="6"/>
                <w:color w:val="auto"/>
              </w:rPr>
            </w:pPr>
          </w:p>
        </w:tc>
        <w:tc>
          <w:tcPr>
            <w:tcW w:w="9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short-term borrowings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317,280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180,800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Repayment of short-term borrowings</w:t>
            </w:r>
          </w:p>
        </w:tc>
        <w:tc>
          <w:tcPr>
            <w:tcW w:w="8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88"/>
              </w:rPr>
              <w:t>(330,159)</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(178,044)</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capital lease obligations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(614)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2,822</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excess tax benefit from exercise of stock options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Issuance of stock under Employee Stock Purchase Plan</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for) provided by financing activities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(10,550)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Increase in cash and cash equivalents</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2,049</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9,770</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Cash and cash equivalents, end of period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11,819</w:t>
            </w:r>
          </w:p>
        </w:tc>
        <w:tc>
          <w:tcPr>
            <w:tcW w:w="7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1—Basis of Presentation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of PC Connection, Inc. and its subsidiaries (the “Company,” “we,” “us,” or “our”) have been prepared in accordance with accounting principles generally accepted in the United States of America. Such principles were applied on a basis consistent with those of the financial statements contained in our Annual Report on Form 10-K for the year ended December 31, 2005 filed with the Securities and Exchange Commission (the “SEC”). The accompanying condensed consolidated financial statements should be read in conjunction with the financial statements contained in our Annual Report on Form 10-K. In the opinion of management, the accompanying unaudited condensed consolidated financial statements contain all adjustments (consisting only of normal recurring adjustments) necessary for a fair presentation of the results of operations for the interim periods reported and of the Company’s financial condition as of the date of the interim balance sheet. The operating results for the three and nine months ended September 30, 2006 may not be indicative of the results expected for any succeeding quarter or the entire year ending December 31, 2006.</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Revenue on product sales is recognized at the point in time when persuasive evidence of an arrangement exists, the price is fixed and final, delivery has occurred, and there is a reasonable assurance of collection of the sales proceeds. We generally obtain oral or written purchase authorizations from our customers for a specified amount of product at a specified price. Because we either (i) have a general practice of covering customer losses while products are in-transit despite title transferring at the point of shipment or (ii) have FOB–destination specifically set out in our arrangements with federal agencies and certain commercial customers, delivery is deemed to have occurred at the point in time when the product is received by the customer.</w:t>
      </w:r>
    </w:p>
    <w:p>
      <w:pPr>
        <w:spacing w:after="0" w:line="1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provide our customers with a limited thirty-day right of return generally limited to defective merchandise. Revenue is recognized at delivery and a reserve for sales returns is recorded. We have demonstrated the ability to make reasonable and reliable estimates of product returns in accordance with Statement of Financial Accounting Standards (“SFAS”) No. 48, “Revenue Recognition When Right of Return Exists,” based on significant historical experience.</w:t>
      </w:r>
    </w:p>
    <w:p>
      <w:pPr>
        <w:spacing w:after="0" w:line="10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All amounts billed to a customer in a sale transaction related to shipping and handling, if any, represent revenues earned for the goods provided, and these amounts have been classified as “net sales.” Costs related to such shipping and handling billings are classified as “cost of sales.”</w:t>
      </w:r>
    </w:p>
    <w:p>
      <w:pPr>
        <w:spacing w:after="0" w:line="85"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Revenue for third party service contracts is recorded on a net sales recognition basis because we do not assume the risks and rewards of ownership in these transactions. For such contracts, we evaluate whether the sales of such services should be recorded as gross sales or net sales as required under the guidelines described in Staff Accounting Bulletin No. 104, “Revenue Recognition” and Emerging Issues Task Force (“EITF”) Issue No. 99-19, “Reporting Revenue Gross as a Principal versus Net as an Agent.” Under gross sales recognition, we are the primary obligor, and the entire selling price is recorded in sales with our cost to the third party service provider recorded as a cost of sales. Under net sales recognition, we are not the primary obligor, and the cost to the third party service provider is recorded as a reduction to sales, with no cost of goods sold, thus leaving the entire gross profit as the reported net sale for the transaction.</w:t>
      </w:r>
    </w:p>
    <w:p>
      <w:pPr>
        <w:spacing w:after="0" w:line="10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Similarly, we recognize revenue from agency sales transactions on a net sales basis. In agency sales transactions, we facilitate product sales by manufacturers directly to our customers and receive agency fees for such transactions. We do not take title to the products in these transactions; title is passed directly from the supplier to our customer.</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459"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 and Certain Other Costs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Cost of sales includes the invoice cost of the product, packaging, inbound and outbound freight, and provisions for inventory obsolescence, adjusted for discounts, rebates, and other vendor consideration adjustments, including those pursuant to EITF Issue No. 02-16, “Accounting by a Customer (Including a Reseller) for Certain Consideration Received from a Vendor” (“EITF 02-16”). Direct operating expenses relating to our purchasing function and receiving, inspection, internal transfer, warehousing, packing and shipping, and other expenses of our distribution center are included in selling, general and administrative expenses. Total direct operating expenses relating to these functions included in selling, general and administrative expenses for the periods reported are shown below:</w:t>
      </w:r>
    </w:p>
    <w:p>
      <w:pPr>
        <w:spacing w:after="0" w:line="18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Three Months Ended</w:t>
            </w:r>
          </w:p>
        </w:tc>
        <w:tc>
          <w:tcPr>
            <w:tcW w:w="1320" w:type="dxa"/>
            <w:vAlign w:val="bottom"/>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Nine Months Ended</w:t>
            </w: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2006</w:t>
            </w:r>
          </w:p>
        </w:tc>
        <w:tc>
          <w:tcPr>
            <w:tcW w:w="26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174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8,166</w:t>
            </w: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September 30, 2005</w:t>
            </w:r>
          </w:p>
        </w:tc>
        <w:tc>
          <w:tcPr>
            <w:tcW w:w="2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2,406</w:t>
            </w: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6,706</w:t>
            </w: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 Costs and Allowances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Costs of producing and distributing catalogs are deferred and charged to expense over the period that each catalog remains the most current selling vehicle (generally one to two months) which approximates the period of probable benefits. Other advertising costs are expensed as incurred.</w:t>
      </w:r>
    </w:p>
    <w:p>
      <w:pPr>
        <w:spacing w:after="0" w:line="8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Vendors have the ability to place advertisements in the catalogs for which we receive advertising allowances. This form of vendor consideration, to the extent that it represents specific reimbursements of such specific, incremental, and identifiable costs, are offset against selling, general and administrative expenses. Advertising allowances that cannot be associated with a specific program funded by an individual vendor or that exceed the fair value of advertising expense associated with that program are classified as offsets to cost of sales or inventory in accordance with EITF 02-16.</w:t>
      </w:r>
    </w:p>
    <w:p>
      <w:pPr>
        <w:spacing w:after="0" w:line="113"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Gross advertising allowances received from vendors were $8,660 and $7,132 for the three months ended September 30, 2006 and 2005, respectively. We classified $6,938 and $4,743 of these allowances as offsets to cost of sales or inventory for the three months ended September 30, 2006 and 2005, respectively. Gross advertising allowances received from vendors were $24,305 and $21,113 for the nine months ended September 30, 2006 and 2005, respectively. We classified $18,771 and $12,057 of these allowances as offsets to cost of sales or inventory for the nine months ended September 30, 2006 and 2005, respectively.</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designated January 1 of each year as the date we perform our annual impairment tests relative to goodwill and indefinite-lived intangible assets.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completed the impairment review on January 1, 2006 and determined that our goodwill and trademarks were not impaired.</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28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2006</w:t>
            </w:r>
          </w:p>
        </w:tc>
        <w:tc>
          <w:tcPr>
            <w:tcW w:w="900" w:type="dxa"/>
            <w:vAlign w:val="bottom"/>
          </w:tcPr>
          <w:p>
            <w:pPr>
              <w:spacing w:after="0"/>
              <w:rPr>
                <w:sz w:val="14"/>
                <w:szCs w:val="14"/>
                <w:color w:val="auto"/>
              </w:rPr>
            </w:pPr>
          </w:p>
        </w:tc>
        <w:tc>
          <w:tcPr>
            <w:tcW w:w="8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2005</w:t>
            </w:r>
          </w:p>
        </w:tc>
      </w:tr>
      <w:tr>
        <w:trPr>
          <w:trHeight w:val="210"/>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440" w:type="dxa"/>
            <w:vAlign w:val="bottom"/>
            <w:gridSpan w:val="2"/>
            <w:shd w:val="clear" w:color="auto" w:fill="CCEEFF"/>
          </w:tcPr>
          <w:p>
            <w:pPr>
              <w:ind w:left="4260"/>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b w:val="1"/>
                <w:bCs w:val="1"/>
                <w:color w:val="auto"/>
              </w:rPr>
              <w:t>56,867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56,820</w:t>
            </w:r>
          </w:p>
        </w:tc>
      </w:tr>
      <w:tr>
        <w:trPr>
          <w:trHeight w:val="228"/>
        </w:trPr>
        <w:tc>
          <w:tcPr>
            <w:tcW w:w="2800" w:type="dxa"/>
            <w:vAlign w:val="bottom"/>
          </w:tcPr>
          <w:p>
            <w:pPr>
              <w:spacing w:after="0"/>
              <w:rPr>
                <w:sz w:val="20"/>
                <w:szCs w:val="20"/>
                <w:color w:val="auto"/>
              </w:rPr>
            </w:pPr>
            <w:r>
              <w:rPr>
                <w:rFonts w:ascii="Arial" w:cs="Arial" w:eastAsia="Arial" w:hAnsi="Arial"/>
                <w:sz w:val="18"/>
                <w:szCs w:val="18"/>
                <w:color w:val="auto"/>
              </w:rPr>
              <w:t>Trademarks</w:t>
            </w:r>
          </w:p>
        </w:tc>
        <w:tc>
          <w:tcPr>
            <w:tcW w:w="4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1,190</w:t>
            </w:r>
          </w:p>
        </w:tc>
        <w:tc>
          <w:tcPr>
            <w:tcW w:w="800" w:type="dxa"/>
            <w:vAlign w:val="bottom"/>
          </w:tcPr>
          <w:p>
            <w:pPr>
              <w:jc w:val="right"/>
              <w:spacing w:after="0"/>
              <w:rPr>
                <w:sz w:val="20"/>
                <w:szCs w:val="20"/>
                <w:color w:val="auto"/>
              </w:rPr>
            </w:pPr>
            <w:r>
              <w:rPr>
                <w:rFonts w:ascii="Arial" w:cs="Arial" w:eastAsia="Arial" w:hAnsi="Arial"/>
                <w:sz w:val="18"/>
                <w:szCs w:val="18"/>
                <w:color w:val="auto"/>
              </w:rPr>
              <w:t>1,190</w:t>
            </w:r>
          </w:p>
        </w:tc>
      </w:tr>
      <w:tr>
        <w:trPr>
          <w:trHeight w:val="350"/>
        </w:trPr>
        <w:tc>
          <w:tcPr>
            <w:tcW w:w="2800" w:type="dxa"/>
            <w:vAlign w:val="bottom"/>
          </w:tcPr>
          <w:p>
            <w:pPr>
              <w:spacing w:after="0"/>
              <w:rPr>
                <w:sz w:val="24"/>
                <w:szCs w:val="24"/>
                <w:color w:val="auto"/>
              </w:rPr>
            </w:pPr>
          </w:p>
        </w:tc>
        <w:tc>
          <w:tcPr>
            <w:tcW w:w="4260" w:type="dxa"/>
            <w:vAlign w:val="bottom"/>
          </w:tcPr>
          <w:p>
            <w:pPr>
              <w:jc w:val="right"/>
              <w:ind w:right="2132"/>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8980" w:type="dxa"/>
            <w:vAlign w:val="bottom"/>
          </w:tcPr>
          <w:p>
            <w:pPr>
              <w:jc w:val="center"/>
              <w:ind w:left="512"/>
              <w:spacing w:after="0"/>
              <w:rPr>
                <w:sz w:val="20"/>
                <w:szCs w:val="20"/>
                <w:color w:val="auto"/>
              </w:rPr>
            </w:pPr>
            <w:r>
              <w:rPr>
                <w:rFonts w:ascii="Arial" w:cs="Arial" w:eastAsia="Arial" w:hAnsi="Arial"/>
                <w:sz w:val="18"/>
                <w:szCs w:val="18"/>
                <w:b w:val="1"/>
                <w:bCs w:val="1"/>
                <w:color w:val="auto"/>
                <w:w w:val="97"/>
              </w:rPr>
              <w:t>PC CONNECTION, INC. AND SUBSIDIARIES</w:t>
            </w:r>
          </w:p>
        </w:tc>
        <w:tc>
          <w:tcPr>
            <w:tcW w:w="600" w:type="dxa"/>
            <w:vAlign w:val="bottom"/>
          </w:tcPr>
          <w:p>
            <w:pPr>
              <w:spacing w:after="0"/>
              <w:rPr>
                <w:sz w:val="19"/>
                <w:szCs w:val="19"/>
                <w:color w:val="auto"/>
              </w:rPr>
            </w:pPr>
          </w:p>
        </w:tc>
      </w:tr>
      <w:tr>
        <w:trPr>
          <w:trHeight w:val="285"/>
        </w:trPr>
        <w:tc>
          <w:tcPr>
            <w:tcW w:w="460" w:type="dxa"/>
            <w:vAlign w:val="bottom"/>
          </w:tcPr>
          <w:p>
            <w:pPr>
              <w:spacing w:after="0"/>
              <w:rPr>
                <w:sz w:val="24"/>
                <w:szCs w:val="24"/>
                <w:color w:val="auto"/>
              </w:rPr>
            </w:pPr>
          </w:p>
        </w:tc>
        <w:tc>
          <w:tcPr>
            <w:tcW w:w="8980" w:type="dxa"/>
            <w:vAlign w:val="bottom"/>
          </w:tcPr>
          <w:p>
            <w:pPr>
              <w:jc w:val="center"/>
              <w:ind w:left="532"/>
              <w:spacing w:after="0"/>
              <w:rPr>
                <w:sz w:val="20"/>
                <w:szCs w:val="20"/>
                <w:color w:val="auto"/>
              </w:rPr>
            </w:pPr>
            <w:r>
              <w:rPr>
                <w:rFonts w:ascii="Arial" w:cs="Arial" w:eastAsia="Arial" w:hAnsi="Arial"/>
                <w:sz w:val="18"/>
                <w:szCs w:val="18"/>
                <w:b w:val="1"/>
                <w:bCs w:val="1"/>
                <w:color w:val="auto"/>
              </w:rPr>
              <w:t>PART I—FINANCIAL INFORMATION</w:t>
            </w:r>
          </w:p>
        </w:tc>
        <w:tc>
          <w:tcPr>
            <w:tcW w:w="600" w:type="dxa"/>
            <w:vAlign w:val="bottom"/>
          </w:tcPr>
          <w:p>
            <w:pPr>
              <w:spacing w:after="0"/>
              <w:rPr>
                <w:sz w:val="24"/>
                <w:szCs w:val="24"/>
                <w:color w:val="auto"/>
              </w:rPr>
            </w:pPr>
          </w:p>
        </w:tc>
      </w:tr>
      <w:tr>
        <w:trPr>
          <w:trHeight w:val="216"/>
        </w:trPr>
        <w:tc>
          <w:tcPr>
            <w:tcW w:w="460" w:type="dxa"/>
            <w:vAlign w:val="bottom"/>
          </w:tcPr>
          <w:p>
            <w:pPr>
              <w:spacing w:after="0"/>
              <w:rPr>
                <w:sz w:val="18"/>
                <w:szCs w:val="18"/>
                <w:color w:val="auto"/>
              </w:rPr>
            </w:pPr>
          </w:p>
        </w:tc>
        <w:tc>
          <w:tcPr>
            <w:tcW w:w="8980" w:type="dxa"/>
            <w:vAlign w:val="bottom"/>
          </w:tcPr>
          <w:p>
            <w:pPr>
              <w:jc w:val="center"/>
              <w:ind w:left="532"/>
              <w:spacing w:after="0"/>
              <w:rPr>
                <w:sz w:val="20"/>
                <w:szCs w:val="20"/>
                <w:color w:val="auto"/>
              </w:rPr>
            </w:pPr>
            <w:r>
              <w:rPr>
                <w:rFonts w:ascii="Arial" w:cs="Arial" w:eastAsia="Arial" w:hAnsi="Arial"/>
                <w:sz w:val="18"/>
                <w:szCs w:val="18"/>
                <w:b w:val="1"/>
                <w:bCs w:val="1"/>
                <w:color w:val="auto"/>
                <w:w w:val="89"/>
              </w:rPr>
              <w:t>Item 1—Financial Statements</w:t>
            </w:r>
          </w:p>
        </w:tc>
        <w:tc>
          <w:tcPr>
            <w:tcW w:w="6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980" w:type="dxa"/>
            <w:vAlign w:val="bottom"/>
          </w:tcPr>
          <w:p>
            <w:pPr>
              <w:jc w:val="center"/>
              <w:ind w:left="512"/>
              <w:spacing w:after="0"/>
              <w:rPr>
                <w:sz w:val="20"/>
                <w:szCs w:val="20"/>
                <w:color w:val="auto"/>
              </w:rPr>
            </w:pPr>
            <w:r>
              <w:rPr>
                <w:rFonts w:ascii="Arial" w:cs="Arial" w:eastAsia="Arial" w:hAnsi="Arial"/>
                <w:sz w:val="18"/>
                <w:szCs w:val="18"/>
                <w:b w:val="1"/>
                <w:bCs w:val="1"/>
                <w:color w:val="auto"/>
                <w:w w:val="96"/>
              </w:rPr>
              <w:t>NOTES TO CONDENSED CONSOLIDATED FINANCIAL STATEMENTS—(Continued)</w:t>
            </w:r>
          </w:p>
        </w:tc>
        <w:tc>
          <w:tcPr>
            <w:tcW w:w="600" w:type="dxa"/>
            <w:vAlign w:val="bottom"/>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8980" w:type="dxa"/>
            <w:vAlign w:val="bottom"/>
          </w:tcPr>
          <w:p>
            <w:pPr>
              <w:jc w:val="center"/>
              <w:ind w:left="512"/>
              <w:spacing w:after="0"/>
              <w:rPr>
                <w:sz w:val="20"/>
                <w:szCs w:val="20"/>
                <w:color w:val="auto"/>
              </w:rPr>
            </w:pPr>
            <w:r>
              <w:rPr>
                <w:rFonts w:ascii="Arial" w:cs="Arial" w:eastAsia="Arial" w:hAnsi="Arial"/>
                <w:sz w:val="18"/>
                <w:szCs w:val="18"/>
                <w:b w:val="1"/>
                <w:bCs w:val="1"/>
                <w:color w:val="auto"/>
                <w:w w:val="89"/>
              </w:rPr>
              <w:t>(Unaudited)</w:t>
            </w:r>
          </w:p>
        </w:tc>
        <w:tc>
          <w:tcPr>
            <w:tcW w:w="600" w:type="dxa"/>
            <w:vAlign w:val="bottom"/>
          </w:tcPr>
          <w:p>
            <w:pPr>
              <w:spacing w:after="0"/>
              <w:rPr>
                <w:sz w:val="19"/>
                <w:szCs w:val="19"/>
                <w:color w:val="auto"/>
              </w:rPr>
            </w:pPr>
          </w:p>
        </w:tc>
      </w:tr>
      <w:tr>
        <w:trPr>
          <w:trHeight w:val="222"/>
        </w:trPr>
        <w:tc>
          <w:tcPr>
            <w:tcW w:w="460" w:type="dxa"/>
            <w:vAlign w:val="bottom"/>
          </w:tcPr>
          <w:p>
            <w:pPr>
              <w:spacing w:after="0"/>
              <w:rPr>
                <w:sz w:val="19"/>
                <w:szCs w:val="19"/>
                <w:color w:val="auto"/>
              </w:rPr>
            </w:pPr>
          </w:p>
        </w:tc>
        <w:tc>
          <w:tcPr>
            <w:tcW w:w="8980" w:type="dxa"/>
            <w:vAlign w:val="bottom"/>
          </w:tcPr>
          <w:p>
            <w:pPr>
              <w:jc w:val="center"/>
              <w:ind w:left="512"/>
              <w:spacing w:after="0"/>
              <w:rPr>
                <w:sz w:val="20"/>
                <w:szCs w:val="20"/>
                <w:color w:val="auto"/>
              </w:rPr>
            </w:pPr>
            <w:r>
              <w:rPr>
                <w:rFonts w:ascii="Arial" w:cs="Arial" w:eastAsia="Arial" w:hAnsi="Arial"/>
                <w:sz w:val="18"/>
                <w:szCs w:val="18"/>
                <w:b w:val="1"/>
                <w:bCs w:val="1"/>
                <w:i w:val="1"/>
                <w:iCs w:val="1"/>
                <w:color w:val="auto"/>
                <w:w w:val="83"/>
              </w:rPr>
              <w:t>(amounts in thousands, except per share data)</w:t>
            </w:r>
          </w:p>
        </w:tc>
        <w:tc>
          <w:tcPr>
            <w:tcW w:w="600" w:type="dxa"/>
            <w:vAlign w:val="bottom"/>
          </w:tcPr>
          <w:p>
            <w:pPr>
              <w:spacing w:after="0"/>
              <w:rPr>
                <w:sz w:val="19"/>
                <w:szCs w:val="19"/>
                <w:color w:val="auto"/>
              </w:rPr>
            </w:pPr>
          </w:p>
        </w:tc>
      </w:tr>
      <w:tr>
        <w:trPr>
          <w:trHeight w:val="365"/>
        </w:trPr>
        <w:tc>
          <w:tcPr>
            <w:tcW w:w="9440" w:type="dxa"/>
            <w:vAlign w:val="bottom"/>
            <w:gridSpan w:val="2"/>
          </w:tcPr>
          <w:p>
            <w:pPr>
              <w:spacing w:after="0"/>
              <w:rPr>
                <w:sz w:val="20"/>
                <w:szCs w:val="20"/>
                <w:color w:val="auto"/>
              </w:rPr>
            </w:pPr>
            <w:r>
              <w:rPr>
                <w:rFonts w:ascii="Arial" w:cs="Arial" w:eastAsia="Arial" w:hAnsi="Arial"/>
                <w:sz w:val="18"/>
                <w:szCs w:val="18"/>
                <w:color w:val="auto"/>
              </w:rPr>
              <w:t>A roll forward of goodwill is as follows:</w:t>
            </w:r>
          </w:p>
        </w:tc>
        <w:tc>
          <w:tcPr>
            <w:tcW w:w="600" w:type="dxa"/>
            <w:vAlign w:val="bottom"/>
          </w:tcPr>
          <w:p>
            <w:pPr>
              <w:spacing w:after="0"/>
              <w:rPr>
                <w:sz w:val="24"/>
                <w:szCs w:val="24"/>
                <w:color w:val="auto"/>
              </w:rPr>
            </w:pPr>
          </w:p>
        </w:tc>
      </w:tr>
      <w:tr>
        <w:trPr>
          <w:trHeight w:val="205"/>
        </w:trPr>
        <w:tc>
          <w:tcPr>
            <w:tcW w:w="460" w:type="dxa"/>
            <w:vAlign w:val="bottom"/>
          </w:tcPr>
          <w:p>
            <w:pPr>
              <w:spacing w:after="0"/>
              <w:rPr>
                <w:sz w:val="17"/>
                <w:szCs w:val="17"/>
                <w:color w:val="auto"/>
              </w:rPr>
            </w:pPr>
          </w:p>
        </w:tc>
        <w:tc>
          <w:tcPr>
            <w:tcW w:w="89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$ 56,820</w:t>
            </w:r>
          </w:p>
        </w:tc>
      </w:tr>
      <w:tr>
        <w:trPr>
          <w:trHeight w:val="223"/>
        </w:trPr>
        <w:tc>
          <w:tcPr>
            <w:tcW w:w="46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Adjustment to property and equipment, net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46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2006</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$ 56,867</w:t>
            </w:r>
          </w:p>
        </w:tc>
      </w:tr>
      <w:tr>
        <w:trPr>
          <w:trHeight w:val="20"/>
        </w:trPr>
        <w:tc>
          <w:tcPr>
            <w:tcW w:w="46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Intangible assets subject to amortization at September 30, 2006 consisted of customer lists of $3,084 and a licensing agreement of $356 (net of accumulated amortization of $2,136 and $119, respectively). Intangible assets subject to amortization at December 31, 2005 consisted of customer lists of $3,815 and a licensing agreement of $422 (net of accumulated amortization of $1,405 and $53, respectively). For the three-month periods ended September 30, 2006 and 2005, we recorded amortization expense of $268 and $88, respectively. For the nine-month periods ended September 30, 2006 and 2005, we recorded amortization expense of $797 and $264, respectively.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amortization expense for each of the five succeeding years and thereafter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8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 Ended December 31,</w:t>
            </w:r>
          </w:p>
        </w:tc>
        <w:tc>
          <w:tcPr>
            <w:tcW w:w="1560" w:type="dxa"/>
            <w:vAlign w:val="bottom"/>
          </w:tcPr>
          <w:p>
            <w:pPr>
              <w:spacing w:after="0"/>
              <w:rPr>
                <w:sz w:val="14"/>
                <w:szCs w:val="14"/>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268(A)</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2007</w:t>
            </w:r>
          </w:p>
        </w:tc>
        <w:tc>
          <w:tcPr>
            <w:tcW w:w="1560" w:type="dxa"/>
            <w:vAlign w:val="bottom"/>
          </w:tcPr>
          <w:p>
            <w:pPr>
              <w:jc w:val="right"/>
              <w:ind w:right="172"/>
              <w:spacing w:after="0"/>
              <w:rPr>
                <w:sz w:val="20"/>
                <w:szCs w:val="20"/>
                <w:color w:val="auto"/>
              </w:rPr>
            </w:pPr>
            <w:r>
              <w:rPr>
                <w:rFonts w:ascii="Arial" w:cs="Arial" w:eastAsia="Arial" w:hAnsi="Arial"/>
                <w:sz w:val="18"/>
                <w:szCs w:val="18"/>
                <w:color w:val="auto"/>
              </w:rPr>
              <w:t>1,071</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5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1,071</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2009</w:t>
            </w:r>
          </w:p>
        </w:tc>
        <w:tc>
          <w:tcPr>
            <w:tcW w:w="1560" w:type="dxa"/>
            <w:vAlign w:val="bottom"/>
          </w:tcPr>
          <w:p>
            <w:pPr>
              <w:jc w:val="right"/>
              <w:ind w:right="172"/>
              <w:spacing w:after="0"/>
              <w:rPr>
                <w:sz w:val="20"/>
                <w:szCs w:val="20"/>
                <w:color w:val="auto"/>
              </w:rPr>
            </w:pPr>
            <w:r>
              <w:rPr>
                <w:rFonts w:ascii="Arial" w:cs="Arial" w:eastAsia="Arial" w:hAnsi="Arial"/>
                <w:sz w:val="18"/>
                <w:szCs w:val="18"/>
                <w:color w:val="auto"/>
              </w:rPr>
              <w:t>942</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5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88</w:t>
            </w:r>
          </w:p>
        </w:tc>
      </w:tr>
      <w:tr>
        <w:trPr>
          <w:trHeight w:val="222"/>
        </w:trPr>
        <w:tc>
          <w:tcPr>
            <w:tcW w:w="8020" w:type="dxa"/>
            <w:vAlign w:val="bottom"/>
          </w:tcPr>
          <w:p>
            <w:pPr>
              <w:spacing w:after="0"/>
              <w:rPr>
                <w:sz w:val="20"/>
                <w:szCs w:val="20"/>
                <w:color w:val="auto"/>
              </w:rPr>
            </w:pPr>
            <w:r>
              <w:rPr>
                <w:rFonts w:ascii="Arial" w:cs="Arial" w:eastAsia="Arial" w:hAnsi="Arial"/>
                <w:sz w:val="18"/>
                <w:szCs w:val="18"/>
                <w:color w:val="auto"/>
              </w:rPr>
              <w:t>2011 and thereafter</w:t>
            </w:r>
          </w:p>
        </w:tc>
        <w:tc>
          <w:tcPr>
            <w:tcW w:w="1560" w:type="dxa"/>
            <w:vAlign w:val="bottom"/>
          </w:tcPr>
          <w:p>
            <w:pPr>
              <w:jc w:val="right"/>
              <w:ind w:right="252"/>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Represents estimated amortization expense for the three months ending December 31, 2006.</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These estimates and assumptions affect the amounts reported in the accompanying condensed consolidated financial statements. Actual results could differ from those estimates.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Effective January 1, 2006, we adopted SFAS 123(R), “Share-Based Payment,” (“SFAS 123(R)”) using the modified prospective transition method. This Statement replaced SFAS No. 123, “Accounting for Stock-Based Compensation,” (“SFAS 123”) and superseded Accounting Principles Board Opinion No. 25, “Accounting for Stock Issued to Employees,” (“APB 25”). SFAS 123(R) requires a company to measure the grant date fair value of equity awards given to employees in exchange for services and to recognize that cost over the period in which such services are performed. In addition, SFAS 123(R) requires that the excess tax benefits related to stock compensation be reported as a cash inflow from financing activities rather than as a reduction of taxes paid in cash from operations.</w:t>
      </w:r>
    </w:p>
    <w:p>
      <w:pPr>
        <w:spacing w:after="0" w:line="14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did not grant any options in the nine months ended September 30, 2006. As required by SFAS 123(R), we recorded compensation cost in the three and nine months ended September 30, 2006 for the unvested portion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5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of outstanding stock options granted prior to January 1, 2006. The total expense recognized in the financial statements in the three-month period ended September 30, 2006 was $75 pre-tax, $62 after-tax, or less than $0.01 per basic and diluted share. The total expense recognized in the financial statements in the nine-month period ended September 30, 2006 was $277 pre-tax, $234 after-tax, or approximately $0.01 per basic and diluted share. See Note 5 for additional information on our stock-based compensation plans and related compensation expense.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Prior to our adoption of SFAS 123(R), we used the intrinsic value method prescribed in APB 25 and also followed the disclosure requirements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SFAS 123, as amended by SFAS No. 148, “Accounting for Stock-Based Compensation—Transition and Disclosure,” (“SFAS 148”) which required certain pro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forma disclosures as if the fair value method had been followed for accounting for such compensation. The following table presents the pro forma effect on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in the prior year periods as if we had applied the fair value method to measure compensation cost prior to our adoption of SFAS 123(R):</w:t>
      </w:r>
    </w:p>
    <w:p>
      <w:pPr>
        <w:spacing w:after="0" w:line="22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September 30, 2005</w:t>
            </w:r>
          </w:p>
        </w:tc>
        <w:tc>
          <w:tcPr>
            <w:tcW w:w="132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w w:val="88"/>
              </w:rPr>
              <w:t>Three Months Ended</w:t>
            </w:r>
          </w:p>
        </w:tc>
        <w:tc>
          <w:tcPr>
            <w:tcW w:w="13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shd w:val="clear" w:color="auto" w:fill="000000"/>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17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Compensation expense, net of taxes, pro forma</w:t>
            </w: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w:t>
            </w: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 pro forma</w:t>
            </w:r>
          </w:p>
        </w:tc>
        <w:tc>
          <w:tcPr>
            <w:tcW w:w="1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Basic net income per share, as reported</w:t>
            </w: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.08</w:t>
            </w: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 pro forma</w:t>
            </w:r>
          </w:p>
        </w:tc>
        <w:tc>
          <w:tcPr>
            <w:tcW w:w="1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Diluted net income per share, as reported</w:t>
            </w: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.08</w:t>
            </w: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 pro forma</w:t>
            </w:r>
          </w:p>
        </w:tc>
        <w:tc>
          <w:tcPr>
            <w:tcW w:w="1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We measured the fair value of options on their grant date using the Black-Scholes-Merton option-pricing model. The application of this model requires certain key input assumptions, including expected volatility and risk-free interest rates. We computed expected volatility using the historical volatility of our common stock for a period equal to the expected term of the options and determined risk-free interest rates using the U.S. Treasury rate as of each grant date having a term approximating the expected life of the option award. We did not grant any options in the nine months ended September 30, 2006. The key weighted-average assumptions we used to apply this pricing model during the three and nine months ended September 30, 2005 were as follows:</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40" w:type="dxa"/>
            <w:vAlign w:val="bottom"/>
            <w:gridSpan w:val="2"/>
          </w:tcPr>
          <w:p>
            <w:pPr>
              <w:spacing w:after="0"/>
              <w:rPr>
                <w:sz w:val="20"/>
                <w:szCs w:val="20"/>
                <w:color w:val="auto"/>
              </w:rPr>
            </w:pPr>
            <w:r>
              <w:rPr>
                <w:rFonts w:ascii="Arial" w:cs="Arial" w:eastAsia="Arial" w:hAnsi="Arial"/>
                <w:sz w:val="14"/>
                <w:szCs w:val="14"/>
                <w:b w:val="1"/>
                <w:bCs w:val="1"/>
                <w:color w:val="auto"/>
              </w:rPr>
              <w:t>September 30, 2005</w:t>
            </w:r>
          </w:p>
        </w:tc>
        <w:tc>
          <w:tcPr>
            <w:tcW w:w="1280" w:type="dxa"/>
            <w:vAlign w:val="bottom"/>
          </w:tcPr>
          <w:p>
            <w:pPr>
              <w:spacing w:after="0"/>
              <w:rPr>
                <w:sz w:val="14"/>
                <w:szCs w:val="14"/>
                <w:color w:val="auto"/>
              </w:rPr>
            </w:pPr>
          </w:p>
        </w:tc>
        <w:tc>
          <w:tcPr>
            <w:tcW w:w="2580" w:type="dxa"/>
            <w:vAlign w:val="bottom"/>
            <w:gridSpan w:val="2"/>
          </w:tcPr>
          <w:p>
            <w:pPr>
              <w:jc w:val="right"/>
              <w:ind w:right="1340"/>
              <w:spacing w:after="0"/>
              <w:rPr>
                <w:sz w:val="20"/>
                <w:szCs w:val="20"/>
                <w:color w:val="auto"/>
              </w:rPr>
            </w:pPr>
            <w:r>
              <w:rPr>
                <w:rFonts w:ascii="Arial" w:cs="Arial" w:eastAsia="Arial" w:hAnsi="Arial"/>
                <w:sz w:val="14"/>
                <w:szCs w:val="14"/>
                <w:b w:val="1"/>
                <w:bCs w:val="1"/>
                <w:color w:val="auto"/>
                <w:w w:val="88"/>
              </w:rPr>
              <w:t>Three Months Ended</w:t>
            </w:r>
          </w:p>
        </w:tc>
        <w:tc>
          <w:tcPr>
            <w:tcW w:w="13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Nine Months Ended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shd w:val="clear" w:color="auto" w:fill="000000"/>
          </w:tcPr>
          <w:p>
            <w:pPr>
              <w:spacing w:after="0"/>
              <w:rPr>
                <w:sz w:val="2"/>
                <w:szCs w:val="2"/>
                <w:color w:val="auto"/>
              </w:rPr>
            </w:pPr>
          </w:p>
        </w:tc>
        <w:tc>
          <w:tcPr>
            <w:tcW w:w="128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3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rates</w:t>
            </w:r>
          </w:p>
        </w:tc>
        <w:tc>
          <w:tcPr>
            <w:tcW w:w="12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4.01%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Volatility</w:t>
            </w:r>
          </w:p>
        </w:tc>
        <w:tc>
          <w:tcPr>
            <w:tcW w:w="3860" w:type="dxa"/>
            <w:vAlign w:val="bottom"/>
            <w:gridSpan w:val="3"/>
          </w:tcPr>
          <w:p>
            <w:pPr>
              <w:jc w:val="right"/>
              <w:ind w:right="1200"/>
              <w:spacing w:after="0"/>
              <w:rPr>
                <w:sz w:val="20"/>
                <w:szCs w:val="20"/>
                <w:color w:val="auto"/>
              </w:rPr>
            </w:pPr>
            <w:r>
              <w:rPr>
                <w:rFonts w:ascii="Arial" w:cs="Arial" w:eastAsia="Arial" w:hAnsi="Arial"/>
                <w:sz w:val="18"/>
                <w:szCs w:val="18"/>
                <w:color w:val="auto"/>
              </w:rPr>
              <w:t>72.33%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 grants</w:t>
            </w:r>
          </w:p>
        </w:tc>
        <w:tc>
          <w:tcPr>
            <w:tcW w:w="12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4 years</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 years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Dividend yield</w:t>
            </w:r>
          </w:p>
        </w:tc>
        <w:tc>
          <w:tcPr>
            <w:tcW w:w="3860" w:type="dxa"/>
            <w:vAlign w:val="bottom"/>
            <w:gridSpan w:val="3"/>
          </w:tcPr>
          <w:p>
            <w:pPr>
              <w:jc w:val="right"/>
              <w:ind w:right="120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2—Earnings Per Share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Basic earnings per common share is computed using the weighted average number of shares outstanding. Diluted earnings per common share is computed using the weighted average number of shares outstanding adjusted for the incremental shares attributed to options outstanding to purchase common stock, if dilutive.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459" w:right="3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4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5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56"/>
        </w:trPr>
        <w:tc>
          <w:tcPr>
            <w:tcW w:w="7360" w:type="dxa"/>
            <w:vAlign w:val="bottom"/>
            <w:tcBorders>
              <w:bottom w:val="single" w:sz="8" w:color="auto"/>
            </w:tcBorders>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78"/>
              <w:spacing w:after="0" w:line="115" w:lineRule="exact"/>
              <w:rPr>
                <w:sz w:val="20"/>
                <w:szCs w:val="20"/>
                <w:color w:val="auto"/>
              </w:rPr>
            </w:pPr>
            <w:r>
              <w:rPr>
                <w:rFonts w:ascii="Arial" w:cs="Arial" w:eastAsia="Arial" w:hAnsi="Arial"/>
                <w:sz w:val="12"/>
                <w:szCs w:val="12"/>
                <w:b w:val="1"/>
                <w:bCs w:val="1"/>
                <w:color w:val="auto"/>
              </w:rPr>
              <w:t>2006</w:t>
            </w:r>
          </w:p>
        </w:tc>
        <w:tc>
          <w:tcPr>
            <w:tcW w:w="44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6"/>
              <w:spacing w:after="0" w:line="115" w:lineRule="exact"/>
              <w:rPr>
                <w:sz w:val="20"/>
                <w:szCs w:val="20"/>
                <w:color w:val="auto"/>
              </w:rPr>
            </w:pPr>
            <w:r>
              <w:rPr>
                <w:rFonts w:ascii="Arial" w:cs="Arial" w:eastAsia="Arial" w:hAnsi="Arial"/>
                <w:sz w:val="12"/>
                <w:szCs w:val="12"/>
                <w:b w:val="1"/>
                <w:bCs w:val="1"/>
                <w:color w:val="auto"/>
              </w:rPr>
              <w:t>2005</w:t>
            </w:r>
          </w:p>
        </w:tc>
        <w:tc>
          <w:tcPr>
            <w:tcW w:w="4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58"/>
              <w:spacing w:after="0" w:line="115" w:lineRule="exact"/>
              <w:rPr>
                <w:sz w:val="20"/>
                <w:szCs w:val="20"/>
                <w:color w:val="auto"/>
              </w:rPr>
            </w:pPr>
            <w:r>
              <w:rPr>
                <w:rFonts w:ascii="Arial" w:cs="Arial" w:eastAsia="Arial" w:hAnsi="Arial"/>
                <w:sz w:val="12"/>
                <w:szCs w:val="12"/>
                <w:b w:val="1"/>
                <w:bCs w:val="1"/>
                <w:color w:val="auto"/>
              </w:rPr>
              <w:t>2006</w:t>
            </w:r>
          </w:p>
        </w:tc>
        <w:tc>
          <w:tcPr>
            <w:tcW w:w="4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76"/>
              <w:spacing w:after="0" w:line="115" w:lineRule="exact"/>
              <w:rPr>
                <w:sz w:val="20"/>
                <w:szCs w:val="20"/>
                <w:color w:val="auto"/>
              </w:rPr>
            </w:pPr>
            <w:r>
              <w:rPr>
                <w:rFonts w:ascii="Arial" w:cs="Arial" w:eastAsia="Arial" w:hAnsi="Arial"/>
                <w:sz w:val="12"/>
                <w:szCs w:val="12"/>
                <w:b w:val="1"/>
                <w:bCs w:val="1"/>
                <w:color w:val="auto"/>
              </w:rPr>
              <w:t>2005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gridSpan w:val="2"/>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4,388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1,924</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9,205</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gridSpan w:val="2"/>
          </w:tcPr>
          <w:p>
            <w:pPr>
              <w:ind w:left="440"/>
              <w:spacing w:after="0"/>
              <w:rPr>
                <w:sz w:val="20"/>
                <w:szCs w:val="20"/>
                <w:color w:val="auto"/>
              </w:rPr>
            </w:pPr>
            <w:r>
              <w:rPr>
                <w:rFonts w:ascii="Arial" w:cs="Arial" w:eastAsia="Arial" w:hAnsi="Arial"/>
                <w:sz w:val="18"/>
                <w:szCs w:val="18"/>
                <w:color w:val="auto"/>
              </w:rPr>
              <w:t>Denominator for basic earnings per share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25,446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25,224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25,330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Dilutive effect of employee stock options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00" w:type="dxa"/>
            <w:vAlign w:val="bottom"/>
            <w:gridSpan w:val="2"/>
          </w:tcPr>
          <w:p>
            <w:pPr>
              <w:ind w:left="440"/>
              <w:spacing w:after="0"/>
              <w:rPr>
                <w:sz w:val="20"/>
                <w:szCs w:val="20"/>
                <w:color w:val="auto"/>
              </w:rPr>
            </w:pPr>
            <w:r>
              <w:rPr>
                <w:rFonts w:ascii="Arial" w:cs="Arial" w:eastAsia="Arial" w:hAnsi="Arial"/>
                <w:sz w:val="18"/>
                <w:szCs w:val="18"/>
                <w:color w:val="auto"/>
              </w:rPr>
              <w:t>Denominator for diluted earnings per share</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25,667</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25,271</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25,459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25,275</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gridSpan w:val="2"/>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.08</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following unexercised stock options were excluded from the computation of diluted earnings per share for the three and nine months ended September 30, 2006 and 2005 because the exercise prices of these options were generally greater than the average market price of common shares during the respective periods: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16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9"/>
              </w:rPr>
              <w:t>Three Months Ended</w:t>
            </w:r>
          </w:p>
        </w:tc>
        <w:tc>
          <w:tcPr>
            <w:tcW w:w="440" w:type="dxa"/>
            <w:vAlign w:val="bottom"/>
          </w:tcPr>
          <w:p>
            <w:pPr>
              <w:spacing w:after="0"/>
              <w:rPr>
                <w:sz w:val="14"/>
                <w:szCs w:val="14"/>
                <w:color w:val="auto"/>
              </w:rPr>
            </w:pPr>
          </w:p>
        </w:tc>
        <w:tc>
          <w:tcPr>
            <w:tcW w:w="15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60" w:type="dxa"/>
            <w:vAlign w:val="bottom"/>
            <w:gridSpan w:val="3"/>
            <w:vMerge w:val="continue"/>
          </w:tcPr>
          <w:p>
            <w:pPr>
              <w:spacing w:after="0"/>
              <w:rPr>
                <w:sz w:val="12"/>
                <w:szCs w:val="12"/>
                <w:color w:val="auto"/>
              </w:rPr>
            </w:pPr>
          </w:p>
        </w:tc>
        <w:tc>
          <w:tcPr>
            <w:tcW w:w="580" w:type="dxa"/>
            <w:vAlign w:val="bottom"/>
          </w:tcPr>
          <w:p>
            <w:pPr>
              <w:jc w:val="right"/>
              <w:ind w:right="86"/>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2"/>
                <w:szCs w:val="12"/>
                <w:color w:val="auto"/>
              </w:rPr>
            </w:pPr>
          </w:p>
        </w:tc>
        <w:tc>
          <w:tcPr>
            <w:tcW w:w="600" w:type="dxa"/>
            <w:vAlign w:val="bottom"/>
          </w:tcPr>
          <w:p>
            <w:pPr>
              <w:jc w:val="right"/>
              <w:ind w:right="82"/>
              <w:spacing w:after="0" w:line="142" w:lineRule="exact"/>
              <w:rPr>
                <w:sz w:val="20"/>
                <w:szCs w:val="20"/>
                <w:color w:val="auto"/>
              </w:rPr>
            </w:pPr>
            <w:r>
              <w:rPr>
                <w:rFonts w:ascii="Arial" w:cs="Arial" w:eastAsia="Arial" w:hAnsi="Arial"/>
                <w:sz w:val="14"/>
                <w:szCs w:val="14"/>
                <w:b w:val="1"/>
                <w:bCs w:val="1"/>
                <w:color w:val="auto"/>
              </w:rPr>
              <w:t>2005</w:t>
            </w:r>
          </w:p>
        </w:tc>
        <w:tc>
          <w:tcPr>
            <w:tcW w:w="980" w:type="dxa"/>
            <w:vAlign w:val="bottom"/>
            <w:gridSpan w:val="2"/>
          </w:tcPr>
          <w:p>
            <w:pPr>
              <w:ind w:left="560"/>
              <w:spacing w:after="0" w:line="142" w:lineRule="exact"/>
              <w:rPr>
                <w:sz w:val="20"/>
                <w:szCs w:val="20"/>
                <w:color w:val="auto"/>
              </w:rPr>
            </w:pPr>
            <w:r>
              <w:rPr>
                <w:rFonts w:ascii="Arial" w:cs="Arial" w:eastAsia="Arial" w:hAnsi="Arial"/>
                <w:sz w:val="14"/>
                <w:szCs w:val="14"/>
                <w:b w:val="1"/>
                <w:bCs w:val="1"/>
                <w:color w:val="auto"/>
              </w:rPr>
              <w:t>2006</w:t>
            </w:r>
          </w:p>
        </w:tc>
        <w:tc>
          <w:tcPr>
            <w:tcW w:w="980" w:type="dxa"/>
            <w:vAlign w:val="bottom"/>
            <w:gridSpan w:val="2"/>
          </w:tcPr>
          <w:p>
            <w:pPr>
              <w:ind w:left="560"/>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Anti-dilutive stock options</w:t>
            </w: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w w:val="84"/>
              </w:rPr>
              <w:t>2,594</w:t>
            </w:r>
          </w:p>
        </w:tc>
        <w:tc>
          <w:tcPr>
            <w:tcW w:w="4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44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w w:val="84"/>
              </w:rPr>
              <w:t>3,549</w:t>
            </w:r>
          </w:p>
        </w:tc>
        <w:tc>
          <w:tcPr>
            <w:tcW w:w="42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4"/>
              </w:rPr>
              <w:t>1,849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3—Recently Issued Accounting Standards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September 2006, the SEC issued Staff Accounting Bulletin No. 108 (“SAB 108”), “Considering the Effects of Prior Year Misstatements When Quantifying Misstatements in Current Year Financial Statements.” SAB 108 establishes an approach that requires quantification of financial statement misstatements based on the effects of the misstatement on the financial statements and related disclosures. SAB 108 is effective for annual financial statements for the year ending December 31, 2006. We do not expect SAB 108 to have a material impact on our results of operation or financial position.</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September 2006, the Financial Accounting Standards Board (“FASB”) issued SFAS No. 157, “Fair Value Measurements” (“SFAS 157”). SFAS 157 defines fair value, establishes a framework for measuring fair value, and expands disclosures about fair value measurements. SFAS 157 is effective for financial statements issued for fiscal years beginning after November 15, 2007, and interim periods within those fiscal years. We are currently evaluating the effect that the adoption of SFAS 157 will have on our results of operation and financial position.</w:t>
      </w:r>
    </w:p>
    <w:p>
      <w:pPr>
        <w:spacing w:after="0" w:line="11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June 2006, the FASB issued FASB Interpretation No. 48, “Accounting for Uncertainty in Income Taxes—an Interpretation of FASB Statement 109” (“FIN 48”), to clarify the accounting for uncertainty in tax positions. This interpretation prescribes a minimum recognition threshold a tax position is required to meet before being recognized in the financial statements. FIN 48 also provides guidance on derecognition,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51"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measurement, classification, interest and penalties, accounting in interim periods, disclosure and transition. FIN 48 is effective for fiscal years beginning after December 15, 2006. We are currently evaluating the effect that the adoption of FIN 48 will have on our results of operations and financial position.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4—Segment and Related Disclosures</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SFAS No. 131, “Disclosures About Segments of an Enterprise and Related Information,” requires that public companies report profits and losses and certain other information on their “reportable operating segments” in their annual and interim financial statements. The internal organization used by our Chief Operating Decision Maker (“CODM”) to assess performance and allocate resources determines the basis for our reportable operating segments. Our CODM is our Chief Executive Officer.</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Our operations are organized under three reportable operating segments—the “SMB” segment, which serves small- and medium-sized businesses, as well as consumers, the “Large Account” segment, which serves medium-to-large corporations, and the “Public Sector” segment, which serves federal, state, and local government entities and educational institutions.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Segment information applicable to our reportable operating segments for the three and nine months ended September 30, 2006 and 2005 is shown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gridSpan w:val="8"/>
          </w:tcPr>
          <w:p>
            <w:pPr>
              <w:jc w:val="right"/>
              <w:ind w:right="840"/>
              <w:spacing w:after="0"/>
              <w:rPr>
                <w:sz w:val="20"/>
                <w:szCs w:val="20"/>
                <w:color w:val="auto"/>
              </w:rPr>
            </w:pPr>
            <w:r>
              <w:rPr>
                <w:rFonts w:ascii="Arial" w:cs="Arial" w:eastAsia="Arial" w:hAnsi="Arial"/>
                <w:sz w:val="14"/>
                <w:szCs w:val="14"/>
                <w:b w:val="1"/>
                <w:bCs w:val="1"/>
                <w:color w:val="auto"/>
              </w:rPr>
              <w:t>Three Months Ended September 30, 2006</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SMB</w:t>
            </w:r>
          </w:p>
        </w:tc>
        <w:tc>
          <w:tcPr>
            <w:tcW w:w="14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Large Account</w:t>
            </w:r>
          </w:p>
        </w:tc>
        <w:tc>
          <w:tcPr>
            <w:tcW w:w="13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Public Sector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77"/>
              </w:rPr>
              <w:t>Segment</w:t>
            </w: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7"/>
              </w:rPr>
              <w:t>Segment</w:t>
            </w: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4"/>
              </w:rPr>
              <w:t>Segment</w:t>
            </w:r>
          </w:p>
        </w:tc>
        <w:tc>
          <w:tcPr>
            <w:tcW w:w="58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Consolidated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221,330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113,690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80,193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415,213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Transfers between segments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80,283</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(80,283)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301,613</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113,690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80,193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(80,283)</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415,213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before allocations</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900" w:type="dxa"/>
            <w:vAlign w:val="bottom"/>
            <w:gridSpan w:val="2"/>
            <w:vMerge w:val="continue"/>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14,860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6,393</w:t>
            </w: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2,586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(17,037)</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Allocations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(12,592)</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(4,238)</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17,037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00" w:type="dxa"/>
            <w:vAlign w:val="bottom"/>
            <w:gridSpan w:val="2"/>
            <w:vMerge w:val="continue"/>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2,268</w:t>
            </w:r>
          </w:p>
        </w:tc>
        <w:tc>
          <w:tcPr>
            <w:tcW w:w="5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6,186</w:t>
            </w:r>
          </w:p>
        </w:tc>
        <w:tc>
          <w:tcPr>
            <w:tcW w:w="5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(1,652)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other—net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(284)</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taxes</w:t>
            </w: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00" w:type="dxa"/>
            <w:vAlign w:val="bottom"/>
            <w:gridSpan w:val="2"/>
            <w:vMerge w:val="continue"/>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1,984</w:t>
            </w:r>
          </w:p>
        </w:tc>
        <w:tc>
          <w:tcPr>
            <w:tcW w:w="5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6,206</w:t>
            </w:r>
          </w:p>
        </w:tc>
        <w:tc>
          <w:tcPr>
            <w:tcW w:w="5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(1,744)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Selected Operating Expenses: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1,383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356</w:t>
            </w: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1,050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9"/>
          </w:tcPr>
          <w:p>
            <w:pPr>
              <w:ind w:left="420"/>
              <w:spacing w:after="0"/>
              <w:rPr>
                <w:sz w:val="20"/>
                <w:szCs w:val="20"/>
                <w:color w:val="auto"/>
              </w:rPr>
            </w:pPr>
            <w:r>
              <w:rPr>
                <w:rFonts w:ascii="Arial" w:cs="Arial" w:eastAsia="Arial" w:hAnsi="Arial"/>
                <w:sz w:val="14"/>
                <w:szCs w:val="14"/>
                <w:b w:val="1"/>
                <w:bCs w:val="1"/>
                <w:color w:val="auto"/>
              </w:rPr>
              <w:t>Three Months Ended September 30, 2005</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9"/>
              </w:rPr>
              <w:t>SMB</w:t>
            </w:r>
          </w:p>
        </w:tc>
        <w:tc>
          <w:tcPr>
            <w:tcW w:w="220" w:type="dxa"/>
            <w:vAlign w:val="bottom"/>
          </w:tcPr>
          <w:p>
            <w:pPr>
              <w:spacing w:after="0"/>
              <w:rPr>
                <w:sz w:val="11"/>
                <w:szCs w:val="11"/>
                <w:color w:val="auto"/>
              </w:rPr>
            </w:pPr>
          </w:p>
        </w:tc>
        <w:tc>
          <w:tcPr>
            <w:tcW w:w="11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Large Account</w:t>
            </w:r>
          </w:p>
        </w:tc>
        <w:tc>
          <w:tcPr>
            <w:tcW w:w="220" w:type="dxa"/>
            <w:vAlign w:val="bottom"/>
          </w:tcPr>
          <w:p>
            <w:pPr>
              <w:spacing w:after="0"/>
              <w:rPr>
                <w:sz w:val="11"/>
                <w:szCs w:val="11"/>
                <w:color w:val="auto"/>
              </w:rPr>
            </w:pPr>
          </w:p>
        </w:tc>
        <w:tc>
          <w:tcPr>
            <w:tcW w:w="12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Public Sector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1"/>
              </w:rPr>
              <w:t>Segment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Segment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4"/>
              </w:rPr>
              <w:t>Segment</w:t>
            </w:r>
          </w:p>
        </w:tc>
        <w:tc>
          <w:tcPr>
            <w:tcW w:w="50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Eliminations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Consolidated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203,493</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80,382</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371,124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Transfers between segments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80,707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(80,707)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284,200</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80,382</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(80,707)</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371,124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before allocations</w:t>
            </w: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40" w:type="dxa"/>
            <w:vAlign w:val="bottom"/>
            <w:gridSpan w:val="2"/>
            <w:vMerge w:val="continue"/>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13,805</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4,346</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2,631</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(17,086)</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Allocations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(12,491)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(4,248)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17,086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40" w:type="dxa"/>
            <w:vAlign w:val="bottom"/>
            <w:gridSpan w:val="2"/>
            <w:vMerge w:val="continue"/>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3,999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(1,617)</w:t>
            </w:r>
          </w:p>
        </w:tc>
        <w:tc>
          <w:tcPr>
            <w:tcW w:w="10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other—net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taxes</w:t>
            </w:r>
          </w:p>
        </w:tc>
        <w:tc>
          <w:tcPr>
            <w:tcW w:w="1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40" w:type="dxa"/>
            <w:vAlign w:val="bottom"/>
            <w:gridSpan w:val="2"/>
            <w:vMerge w:val="continue"/>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1,129</w:t>
            </w:r>
          </w:p>
        </w:tc>
        <w:tc>
          <w:tcPr>
            <w:tcW w:w="280" w:type="dxa"/>
            <w:vAlign w:val="bottom"/>
          </w:tcPr>
          <w:p>
            <w:pPr>
              <w:spacing w:after="0"/>
              <w:rPr>
                <w:sz w:val="19"/>
                <w:szCs w:val="19"/>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4,010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Selected Operating Expenses: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1,544</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185</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9"/>
          </w:tcPr>
          <w:p>
            <w:pPr>
              <w:ind w:left="460"/>
              <w:spacing w:after="0"/>
              <w:rPr>
                <w:sz w:val="20"/>
                <w:szCs w:val="20"/>
                <w:color w:val="auto"/>
              </w:rPr>
            </w:pPr>
            <w:r>
              <w:rPr>
                <w:rFonts w:ascii="Arial" w:cs="Arial" w:eastAsia="Arial" w:hAnsi="Arial"/>
                <w:sz w:val="14"/>
                <w:szCs w:val="14"/>
                <w:b w:val="1"/>
                <w:bCs w:val="1"/>
                <w:color w:val="auto"/>
              </w:rPr>
              <w:t>Nine Months Ended September 30, 2006</w:t>
            </w: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9"/>
              </w:rPr>
              <w:t>SMB</w:t>
            </w:r>
          </w:p>
        </w:tc>
        <w:tc>
          <w:tcPr>
            <w:tcW w:w="220" w:type="dxa"/>
            <w:vAlign w:val="bottom"/>
          </w:tcPr>
          <w:p>
            <w:pPr>
              <w:spacing w:after="0"/>
              <w:rPr>
                <w:sz w:val="11"/>
                <w:szCs w:val="11"/>
                <w:color w:val="auto"/>
              </w:rPr>
            </w:pPr>
          </w:p>
        </w:tc>
        <w:tc>
          <w:tcPr>
            <w:tcW w:w="11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Large Account</w:t>
            </w:r>
          </w:p>
        </w:tc>
        <w:tc>
          <w:tcPr>
            <w:tcW w:w="220" w:type="dxa"/>
            <w:vAlign w:val="bottom"/>
          </w:tcPr>
          <w:p>
            <w:pPr>
              <w:spacing w:after="0"/>
              <w:rPr>
                <w:sz w:val="11"/>
                <w:szCs w:val="11"/>
                <w:color w:val="auto"/>
              </w:rPr>
            </w:pPr>
          </w:p>
        </w:tc>
        <w:tc>
          <w:tcPr>
            <w:tcW w:w="12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Public Sector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1"/>
              </w:rPr>
              <w:t>Segment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Segment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4"/>
              </w:rPr>
              <w:t>Segment</w:t>
            </w:r>
          </w:p>
        </w:tc>
        <w:tc>
          <w:tcPr>
            <w:tcW w:w="50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Eliminations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Consolidated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655,559</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350,385</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197,841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$1,203,785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Transfers between segments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201,177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(201,177)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856,736</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350,385</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197,841</w:t>
            </w:r>
          </w:p>
        </w:tc>
        <w:tc>
          <w:tcPr>
            <w:tcW w:w="5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(201,177)</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1,203,785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before allocations</w:t>
            </w: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40" w:type="dxa"/>
            <w:vAlign w:val="bottom"/>
            <w:gridSpan w:val="2"/>
            <w:vMerge w:val="continue"/>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45,546</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18,167</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5,182</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(52,762)</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16,133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Allocations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(40,124)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(11,997)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52,762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40" w:type="dxa"/>
            <w:vAlign w:val="bottom"/>
            <w:gridSpan w:val="2"/>
            <w:vMerge w:val="continue"/>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5,422</w:t>
            </w:r>
          </w:p>
        </w:tc>
        <w:tc>
          <w:tcPr>
            <w:tcW w:w="280" w:type="dxa"/>
            <w:vAlign w:val="bottom"/>
          </w:tcPr>
          <w:p>
            <w:pPr>
              <w:spacing w:after="0"/>
              <w:rPr>
                <w:sz w:val="19"/>
                <w:szCs w:val="19"/>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17,526</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(6,815)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16,133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other—net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taxes</w:t>
            </w:r>
          </w:p>
        </w:tc>
        <w:tc>
          <w:tcPr>
            <w:tcW w:w="1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40" w:type="dxa"/>
            <w:vAlign w:val="bottom"/>
            <w:gridSpan w:val="2"/>
            <w:vMerge w:val="continue"/>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4,298</w:t>
            </w:r>
          </w:p>
        </w:tc>
        <w:tc>
          <w:tcPr>
            <w:tcW w:w="280" w:type="dxa"/>
            <w:vAlign w:val="bottom"/>
          </w:tcPr>
          <w:p>
            <w:pPr>
              <w:spacing w:after="0"/>
              <w:rPr>
                <w:sz w:val="19"/>
                <w:szCs w:val="19"/>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17,585</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(7,191)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14,692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Selected Operating Expenses: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4,065</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1,067</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94</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i w:val="1"/>
                <w:iCs w:val="1"/>
                <w:color w:val="auto"/>
              </w:rPr>
              <w:t>Balance Sheet Data:</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231,872</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154,582</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76,169</w:t>
            </w:r>
          </w:p>
        </w:tc>
        <w:tc>
          <w:tcPr>
            <w:tcW w:w="5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(133,301)</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329,322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Goodwill</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1,173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48,060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7,634</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56,867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295"/>
              <w:spacing w:after="0"/>
              <w:rPr>
                <w:sz w:val="20"/>
                <w:szCs w:val="20"/>
                <w:color w:val="auto"/>
              </w:rPr>
            </w:pPr>
            <w:r>
              <w:rPr>
                <w:rFonts w:ascii="Arial" w:cs="Arial" w:eastAsia="Arial" w:hAnsi="Arial"/>
                <w:sz w:val="18"/>
                <w:szCs w:val="18"/>
                <w:color w:val="auto"/>
                <w:w w:val="89"/>
              </w:rPr>
              <w:t>12</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9"/>
          </w:tcPr>
          <w:p>
            <w:pPr>
              <w:ind w:left="460"/>
              <w:spacing w:after="0"/>
              <w:rPr>
                <w:sz w:val="20"/>
                <w:szCs w:val="20"/>
                <w:color w:val="auto"/>
              </w:rPr>
            </w:pPr>
            <w:r>
              <w:rPr>
                <w:rFonts w:ascii="Arial" w:cs="Arial" w:eastAsia="Arial" w:hAnsi="Arial"/>
                <w:sz w:val="14"/>
                <w:szCs w:val="14"/>
                <w:b w:val="1"/>
                <w:bCs w:val="1"/>
                <w:color w:val="auto"/>
              </w:rPr>
              <w:t>Nine Months Ended September 30, 2005</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rPr>
              <w:t>SMB</w:t>
            </w:r>
          </w:p>
        </w:tc>
        <w:tc>
          <w:tcPr>
            <w:tcW w:w="220" w:type="dxa"/>
            <w:vAlign w:val="bottom"/>
          </w:tcPr>
          <w:p>
            <w:pPr>
              <w:spacing w:after="0"/>
              <w:rPr>
                <w:sz w:val="11"/>
                <w:szCs w:val="11"/>
                <w:color w:val="auto"/>
              </w:rPr>
            </w:pPr>
          </w:p>
        </w:tc>
        <w:tc>
          <w:tcPr>
            <w:tcW w:w="11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Large Account</w:t>
            </w:r>
          </w:p>
        </w:tc>
        <w:tc>
          <w:tcPr>
            <w:tcW w:w="220" w:type="dxa"/>
            <w:vAlign w:val="bottom"/>
          </w:tcPr>
          <w:p>
            <w:pPr>
              <w:spacing w:after="0"/>
              <w:rPr>
                <w:sz w:val="11"/>
                <w:szCs w:val="11"/>
                <w:color w:val="auto"/>
              </w:rPr>
            </w:pPr>
          </w:p>
        </w:tc>
        <w:tc>
          <w:tcPr>
            <w:tcW w:w="12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Public Sector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77"/>
              </w:rPr>
              <w:t>Segment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Segment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4"/>
              </w:rPr>
              <w:t>Segment</w:t>
            </w:r>
          </w:p>
        </w:tc>
        <w:tc>
          <w:tcPr>
            <w:tcW w:w="50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Consolidated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611,114</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235,205</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199,366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1,045,685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Transfers between segments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183,106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(183,106)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794,220</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235,205</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199,366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(183,106)</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1,045,685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before allocations</w:t>
            </w: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40" w:type="dxa"/>
            <w:vAlign w:val="bottom"/>
            <w:gridSpan w:val="2"/>
            <w:vMerge w:val="continue"/>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39,414</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13,375</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4,008</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(48,198)</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8,599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Allocations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(35,854)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(11,302)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48,198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40" w:type="dxa"/>
            <w:vAlign w:val="bottom"/>
            <w:gridSpan w:val="2"/>
            <w:vMerge w:val="continue"/>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3,560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12,333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(7,294)</w:t>
            </w:r>
          </w:p>
        </w:tc>
        <w:tc>
          <w:tcPr>
            <w:tcW w:w="10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other—net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taxes</w:t>
            </w:r>
          </w:p>
        </w:tc>
        <w:tc>
          <w:tcPr>
            <w:tcW w:w="1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40" w:type="dxa"/>
            <w:vAlign w:val="bottom"/>
            <w:gridSpan w:val="2"/>
            <w:vMerge w:val="continue"/>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2,916</w:t>
            </w:r>
          </w:p>
        </w:tc>
        <w:tc>
          <w:tcPr>
            <w:tcW w:w="280" w:type="dxa"/>
            <w:vAlign w:val="bottom"/>
          </w:tcPr>
          <w:p>
            <w:pPr>
              <w:spacing w:after="0"/>
              <w:rPr>
                <w:sz w:val="19"/>
                <w:szCs w:val="19"/>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12,367</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(7,480)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Selected Operating Expenses: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4,688</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545</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107</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i w:val="1"/>
                <w:iCs w:val="1"/>
                <w:color w:val="auto"/>
              </w:rPr>
              <w:t>Balance Sheet Data:</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192,817</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99,927</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75,305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(63,908)</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Goodwill</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1,173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42,880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7,634</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51,687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General and administrative expenses were charged to the reportable operating segments, based on their estimated usage of the underlying functions. Interest and other expense was charged to the segments, based on the actual costs incurred by each segment, net of interest and other income generated. The amount shown above representing total assets eliminated consists of inter-segment receivables, resulting primarily from inter-segment sales transfers reported above and from inter-segment service charges.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sales by business segment and product mix are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4480" w:type="dxa"/>
            <w:vAlign w:val="bottom"/>
            <w:gridSpan w:val="2"/>
            <w:vMerge w:val="continue"/>
          </w:tcPr>
          <w:p>
            <w:pPr>
              <w:spacing w:after="0"/>
              <w:rPr>
                <w:sz w:val="12"/>
                <w:szCs w:val="12"/>
                <w:color w:val="auto"/>
              </w:rPr>
            </w:pPr>
          </w:p>
        </w:tc>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Segment (excludes transfers between segments)</w:t>
            </w:r>
          </w:p>
        </w:tc>
        <w:tc>
          <w:tcPr>
            <w:tcW w:w="26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SMB</w:t>
            </w:r>
          </w:p>
        </w:tc>
        <w:tc>
          <w:tcPr>
            <w:tcW w:w="29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221,330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203,493</w:t>
            </w:r>
          </w:p>
        </w:tc>
        <w:tc>
          <w:tcPr>
            <w:tcW w:w="260" w:type="dxa"/>
            <w:vAlign w:val="bottom"/>
            <w:gridSpan w:val="2"/>
          </w:tcPr>
          <w:p>
            <w:pPr>
              <w:jc w:val="right"/>
              <w:ind w:right="3"/>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655,559</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611,114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Large Account</w:t>
            </w:r>
          </w:p>
        </w:tc>
        <w:tc>
          <w:tcPr>
            <w:tcW w:w="2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113,690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80,382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350,385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Public Sector</w:t>
            </w: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80,193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87,249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197,841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199,366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2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415,213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371,124</w:t>
            </w:r>
          </w:p>
        </w:tc>
        <w:tc>
          <w:tcPr>
            <w:tcW w:w="2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1,203,785</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1,045,685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Product Mix</w:t>
            </w: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80" w:type="dxa"/>
            <w:vAlign w:val="bottom"/>
            <w:gridSpan w:val="2"/>
            <w:vMerge w:val="continue"/>
          </w:tcPr>
          <w:p>
            <w:pPr>
              <w:spacing w:after="0"/>
              <w:rPr>
                <w:sz w:val="18"/>
                <w:szCs w:val="18"/>
                <w:color w:val="auto"/>
              </w:rPr>
            </w:pP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Notebooks and PDAs</w:t>
            </w:r>
          </w:p>
        </w:tc>
        <w:tc>
          <w:tcPr>
            <w:tcW w:w="29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72,123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71,958</w:t>
            </w:r>
          </w:p>
        </w:tc>
        <w:tc>
          <w:tcPr>
            <w:tcW w:w="2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210,043</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Desktop/Servers</w:t>
            </w: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56,545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51,730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168,933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Storage Devices</w:t>
            </w:r>
          </w:p>
        </w:tc>
        <w:tc>
          <w:tcPr>
            <w:tcW w:w="2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34,508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102,596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Software</w:t>
            </w: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51,692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44,875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151,271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125,686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Net/Com Products</w:t>
            </w:r>
          </w:p>
        </w:tc>
        <w:tc>
          <w:tcPr>
            <w:tcW w:w="2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34,610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97,409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Printers and Printer Supplies</w:t>
            </w: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43,535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40,033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124,253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Video, Imaging, and Sound</w:t>
            </w:r>
          </w:p>
        </w:tc>
        <w:tc>
          <w:tcPr>
            <w:tcW w:w="2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57,250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155,521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Memory and System Enhancements</w:t>
            </w: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19,028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18,152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57,776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53,379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Accessories/Other</w:t>
            </w:r>
          </w:p>
        </w:tc>
        <w:tc>
          <w:tcPr>
            <w:tcW w:w="2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45,922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135,983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vMerge w:val="restart"/>
          </w:tcPr>
          <w:p>
            <w:pPr>
              <w:ind w:left="860"/>
              <w:spacing w:after="0"/>
              <w:rPr>
                <w:sz w:val="20"/>
                <w:szCs w:val="20"/>
                <w:color w:val="auto"/>
              </w:rPr>
            </w:pPr>
            <w:r>
              <w:rPr>
                <w:rFonts w:ascii="Arial" w:cs="Arial" w:eastAsia="Arial" w:hAnsi="Arial"/>
                <w:sz w:val="18"/>
                <w:szCs w:val="18"/>
                <w:color w:val="auto"/>
              </w:rPr>
              <w:t>Total</w:t>
            </w:r>
          </w:p>
        </w:tc>
        <w:tc>
          <w:tcPr>
            <w:tcW w:w="2800" w:type="dxa"/>
            <w:vAlign w:val="bottom"/>
            <w:gridSpan w:val="2"/>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vMerge w:val="continue"/>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415,213</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371,124</w:t>
            </w:r>
          </w:p>
        </w:tc>
        <w:tc>
          <w:tcPr>
            <w:tcW w:w="100" w:type="dxa"/>
            <w:vAlign w:val="bottom"/>
            <w:vMerge w:val="continue"/>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1,203,785</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1,045,685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600" w:type="dxa"/>
            <w:vAlign w:val="bottom"/>
            <w:vMerge w:val="restart"/>
          </w:tcPr>
          <w:p>
            <w:pPr>
              <w:jc w:val="right"/>
              <w:ind w:right="1192"/>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51"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color w:val="auto"/>
        </w:rPr>
        <w:t>Substantially all of our net sales for the nine months ended September 30, 2006 and 2005 were made to customers located in the United States. Shipments to customers located in foreign countries aggregated less than 2% in each of those respective periods. All of our assets at September 30, 2006 and December 31, 2005 were located in the United States. Our primary target customers are small- and medium-sized businesses with 20 to 1,000 employees, federal, state, and local government agencies, educational institutions, and medium-to-large corporate accounts. Except for the federal government, no single customer accounted for more than 3% of total net sales in the three and nine months ended September 30, 2006 and 2005. Net sales to the federal government accounted for $21,666, or 5.2%, of total net sales for the three months ended September 30, 2006, and $22,520, or 6.1%, of total net sales for the three months ended September 30,</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2005. Net sales to the federal government accounted for $47,569, or 4.0%, of total net sales for the nine months ended September 30, 2006, and $48,082, or 4.6%, of total net sales for the nine months ended September 30, 2005.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5—Share Based Compensation</w:t>
      </w:r>
    </w:p>
    <w:p>
      <w:pPr>
        <w:spacing w:after="0" w:line="96"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Effective January 1, 2006, we adopted SFAS 123(R), “Share-Based Payment,” using the modified prospective transition method, and therefore prior periods have not been restated. SFAS 123(R) requires a company to measure the grant date fair value of equity awards given to employees in exchange for services and to recognize that cost over the period in which services are performed. Accordingly, we record compensation cost for all stock options granted or modified after December 31, 2005 and for the unvested stock options awarded prior to adoption.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Incentive and Non-Statutory Stock Option Plans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December 1993, the Board of Directors (the “Board”) adopted and the stockholders approved the 1993 Incentive and Non-Statutory Stock Option Plan (the “1993 Plan”). Under the terms of the 1993 Plan, we were authorized, for a ten-year period, to make awards of restricted stock and to grant incentive and non-statutory options to our employees, consultants, and advisors to purchase shares of our stock. Options vested over varying periods of up to four years and had contractual lives up to ten years. We did not issue any stock options under the 1993 Plan after 1998 and have outstanding grants totaling 32 shares from the 1993 Plan as of September 30, 2006.</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November 1997, the Board adopted and the stockholders approved the 1997 Amended and Restated Stock Incentive Plan (the “1997 Plan”), which became effective on the closing of our initial public offering in 1998. The 1997 Plan, as amended, provides for the grant of incentive stock options, non-statutory stock options, stock appreciation rights, performance shares, and awards of restricted stock and unrestricted stock. A total of 3,600 shares have been reserved for issuance under the 1997 Plan. Our employees, officers, directors, consultants and advisors are eligible to participate in the 1997 Plan. We have issued incentive and non-statutory stock options under the 1997 Plan, generally with a graded vesting period of four years and a contractual life of ten years. We did not issue any equity awards in the nine months ended September 30, 2006.</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1993 and 1997 Plans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5"/>
              </w:rPr>
              <w:t>Weighted</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88"/>
              </w:rPr>
              <w:t>Weighted</w:t>
            </w:r>
          </w:p>
        </w:tc>
        <w:tc>
          <w:tcPr>
            <w:tcW w:w="600" w:type="dxa"/>
            <w:vAlign w:val="bottom"/>
          </w:tcPr>
          <w:p>
            <w:pPr>
              <w:spacing w:after="0"/>
              <w:rPr>
                <w:sz w:val="12"/>
                <w:szCs w:val="12"/>
                <w:color w:val="auto"/>
              </w:rPr>
            </w:pPr>
          </w:p>
        </w:tc>
        <w:tc>
          <w:tcPr>
            <w:tcW w:w="13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Average</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80" w:type="dxa"/>
            <w:vAlign w:val="bottom"/>
            <w:gridSpan w:val="2"/>
          </w:tcPr>
          <w:p>
            <w:pPr>
              <w:jc w:val="center"/>
              <w:ind w:right="600"/>
              <w:spacing w:after="0" w:line="135" w:lineRule="exact"/>
              <w:rPr>
                <w:sz w:val="20"/>
                <w:szCs w:val="20"/>
                <w:color w:val="auto"/>
              </w:rPr>
            </w:pPr>
            <w:r>
              <w:rPr>
                <w:rFonts w:ascii="Arial" w:cs="Arial" w:eastAsia="Arial" w:hAnsi="Arial"/>
                <w:sz w:val="14"/>
                <w:szCs w:val="14"/>
                <w:b w:val="1"/>
                <w:bCs w:val="1"/>
                <w:color w:val="auto"/>
                <w:w w:val="86"/>
              </w:rPr>
              <w:t>Remaining</w:t>
            </w:r>
          </w:p>
        </w:tc>
        <w:tc>
          <w:tcPr>
            <w:tcW w:w="6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8"/>
              </w:rPr>
              <w:t>Option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97"/>
              <w:spacing w:after="0" w:line="149" w:lineRule="exact"/>
              <w:rPr>
                <w:sz w:val="20"/>
                <w:szCs w:val="20"/>
                <w:color w:val="auto"/>
              </w:rPr>
            </w:pPr>
            <w:r>
              <w:rPr>
                <w:rFonts w:ascii="Arial" w:cs="Arial" w:eastAsia="Arial" w:hAnsi="Arial"/>
                <w:sz w:val="14"/>
                <w:szCs w:val="14"/>
                <w:b w:val="1"/>
                <w:bCs w:val="1"/>
                <w:color w:val="auto"/>
                <w:w w:val="94"/>
              </w:rPr>
              <w:t>Average</w:t>
            </w:r>
          </w:p>
        </w:tc>
        <w:tc>
          <w:tcPr>
            <w:tcW w:w="600" w:type="dxa"/>
            <w:vAlign w:val="bottom"/>
          </w:tcPr>
          <w:p>
            <w:pPr>
              <w:spacing w:after="0"/>
              <w:rPr>
                <w:sz w:val="12"/>
                <w:szCs w:val="12"/>
                <w:color w:val="auto"/>
              </w:rPr>
            </w:pPr>
          </w:p>
        </w:tc>
        <w:tc>
          <w:tcPr>
            <w:tcW w:w="13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6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Shares</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Exercise Price</w:t>
            </w:r>
          </w:p>
        </w:tc>
        <w:tc>
          <w:tcPr>
            <w:tcW w:w="6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Term (Years)</w:t>
            </w:r>
          </w:p>
        </w:tc>
        <w:tc>
          <w:tcPr>
            <w:tcW w:w="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2006</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2,542</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Granted</w:t>
            </w: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Forfeited or cancelled</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6.66</w:t>
            </w: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Outstanding, September 30, 2006</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2,037</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9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vMerge w:val="restart"/>
          </w:tcPr>
          <w:p>
            <w:pPr>
              <w:ind w:left="420"/>
              <w:spacing w:after="0"/>
              <w:rPr>
                <w:sz w:val="20"/>
                <w:szCs w:val="20"/>
                <w:color w:val="auto"/>
              </w:rPr>
            </w:pPr>
            <w:r>
              <w:rPr>
                <w:rFonts w:ascii="Arial" w:cs="Arial" w:eastAsia="Arial" w:hAnsi="Arial"/>
                <w:sz w:val="18"/>
                <w:szCs w:val="18"/>
                <w:color w:val="auto"/>
              </w:rPr>
              <w:t>Vested and expected to vest</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900" w:type="dxa"/>
            <w:vAlign w:val="bottom"/>
            <w:vMerge w:val="continue"/>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1,925</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10.70</w:t>
            </w:r>
          </w:p>
        </w:tc>
        <w:tc>
          <w:tcPr>
            <w:tcW w:w="1980" w:type="dxa"/>
            <w:vAlign w:val="bottom"/>
            <w:gridSpan w:val="3"/>
          </w:tcPr>
          <w:p>
            <w:pPr>
              <w:jc w:val="right"/>
              <w:ind w:right="600"/>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5,806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Exercisable, September 30, 2006</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1,617</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9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4.89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Intrinsic value represents the difference between $11.55, the closing price of our stock on September 29, 2006, and the exercise price multiplied by the number of options. Unearned compensation cost related to the unvested portion of outstanding stock options as of September 30, 2006 was $1,501 and is expected to be recognized over a weighted-average period of approximately 1.6 years.</w:t>
      </w:r>
    </w:p>
    <w:p>
      <w:pPr>
        <w:spacing w:after="0" w:line="14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On December 30, 2005, the Board approved the acceleration of the vesting of the following outstanding options: (1) all unvested options from grants of 20 shares or more held by our officers and any officers of our subsidiaries that would otherwise vest in 2006, (2) all “market condition” options (those options for which vesting depends upon reaching certain stock prices), held by officers, and (3) all unvested options from grants of less than 20 shares, held by directors, officers, and other employees. Accordingly, as of the date of adoption of SFAS 123(R), all outstanding options were fully vested except options to purchase 470 shares of common stock. No options will therefore vest in 2006, and remaining unvested options will continue to vest, commencing in 2007, in accordance with their terms.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Share Based Compensation Prior to Adoption of SFAS 123(R)</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Prior to our adoption of SFAS 123(R), we used the intrinsic value method prescribed by APB 25 and also followed the disclosure requirements of SFAS 123, as amended by SFAS 148, which required certain pro forma disclosures as if the fair value method had been followed for accounting for such compensation. We used the Black-Scholes-Merton option valuation model to assess the grant date fair value of each award. In general, our option grants vest with a four-year graded vesting and have a ten year contractual term. We elected to value each grant as a single award and to recognize related cost on a straight-line method. See Note 1 for the pro forma disclosure of share-based compensation for the three and nine months ended September 30, 2005.</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Share Based Compensation Under SFAS 123(R)</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recognized compensation cost for the unvested portion of awards granted prior to adoption. Such cost was recognized using the original grant date fair value as assessed for the pro forma disclosures required by SFAS 123. Also, as required by the modified prospective transition method, which we have elected, compensation related to the unvested portion of such pre-adopted grants will be recognized using the same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5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attribution method used under SFAS 123. As discussed above, we treated our four-year graded vesting awards as a single award. As permitted, we will recognize compensation cost ratably over the service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components of share-based compensation recorded as expense:</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60" w:type="dxa"/>
            <w:vAlign w:val="bottom"/>
            <w:gridSpan w:val="2"/>
          </w:tcPr>
          <w:p>
            <w:pPr>
              <w:spacing w:after="0"/>
              <w:rPr>
                <w:sz w:val="20"/>
                <w:szCs w:val="20"/>
                <w:color w:val="auto"/>
              </w:rPr>
            </w:pPr>
            <w:r>
              <w:rPr>
                <w:rFonts w:ascii="Arial" w:cs="Arial" w:eastAsia="Arial" w:hAnsi="Arial"/>
                <w:sz w:val="14"/>
                <w:szCs w:val="14"/>
                <w:b w:val="1"/>
                <w:bCs w:val="1"/>
                <w:color w:val="auto"/>
              </w:rPr>
              <w:t>September 30, 2006</w:t>
            </w:r>
          </w:p>
        </w:tc>
        <w:tc>
          <w:tcPr>
            <w:tcW w:w="144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shd w:val="clear" w:color="auto" w:fill="000000"/>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Pre-tax compensation expense</w:t>
            </w:r>
          </w:p>
        </w:tc>
        <w:tc>
          <w:tcPr>
            <w:tcW w:w="198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75</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Tax benefit</w:t>
            </w: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(13)</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After-tax compensation expense</w:t>
            </w:r>
          </w:p>
        </w:tc>
        <w:tc>
          <w:tcPr>
            <w:tcW w:w="198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62</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The stock compensation expense effect on both basic and diluted earnings per share for the three-month period ended September 30, 2006 was less than $0.01 per share. The stock compensation expense effect on both basic and diluted earnings per share for the nine-month period ended September 30, 2006 was approximately $0.01 per share. We recorded a deferred tax asset of $43 at September 30, 2006 related to the benefit of non-qualified options.</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For the nine months ended September 30, 2006, a total of 413 options to purchase our common stock were exercised, which we settled with newly issued shares. Cash proceeds related to the stock option exercises during that period were $2,822, and the total intrinsic value of these option exercises was $615. For options exercised during the nine months ended September 30, 2006, we recorded $1 of gross excess tax benefits as a financing cash inflow and an operating cash outflow, as required under SFAS 123(R) when compensation expense exceeds the respective tax benefits realized upon exercise of options. We have used the criteria in SFAS No. 123(R) to calculate and establish the beginning balance of the additional paid-in capital pool related to the tax effects of employee share-based compensation. Accordingly, we have included the effect of prior year pro forma compensation expense in our calculation of gross excess tax benefits reported in our 2006 cash flow statement.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6—Special Charges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recorded in the nine months ended September 30, 2006 and 2005 charges of $520 and $853, respectively, related to management restructuring costs, classified as workforce reductions in the table below. In the nine months ended September 30, 2006, we also recorded a charge of $1,500 related to our tentative settlement with the Department of Justice (“DOJ”) on our 2003 General Services Administration (“GSA”) audit matter and a charge of $371 related to the temporary retention of Amherst Technologies, LLC facilities subsequent to the purchase of certain assets of Amherst (as defined below).</w:t>
      </w:r>
    </w:p>
    <w:p>
      <w:pPr>
        <w:spacing w:after="0" w:line="11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 roll forward of liabilities related to special charges is shown below. The beginning balance related to the DOJ settlement liability consists of $1,050 recorded in prior periods as a component of cost of sales.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Workforce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7"/>
              </w:rPr>
              <w:t>Amherst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96"/>
              <w:spacing w:after="0"/>
              <w:rPr>
                <w:sz w:val="20"/>
                <w:szCs w:val="20"/>
                <w:color w:val="auto"/>
              </w:rPr>
            </w:pPr>
            <w:r>
              <w:rPr>
                <w:rFonts w:ascii="Arial" w:cs="Arial" w:eastAsia="Arial" w:hAnsi="Arial"/>
                <w:sz w:val="14"/>
                <w:szCs w:val="14"/>
                <w:b w:val="1"/>
                <w:bCs w:val="1"/>
                <w:color w:val="auto"/>
                <w:w w:val="97"/>
              </w:rPr>
              <w:t>DOJ</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90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Reductions</w:t>
            </w:r>
          </w:p>
        </w:tc>
        <w:tc>
          <w:tcPr>
            <w:tcW w:w="30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Technologies</w:t>
            </w:r>
          </w:p>
        </w:tc>
        <w:tc>
          <w:tcPr>
            <w:tcW w:w="3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Settlement</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440"/>
              <w:spacing w:after="0"/>
              <w:rPr>
                <w:sz w:val="20"/>
                <w:szCs w:val="20"/>
                <w:color w:val="auto"/>
              </w:rPr>
            </w:pPr>
            <w:r>
              <w:rPr>
                <w:rFonts w:ascii="Arial" w:cs="Arial" w:eastAsia="Arial" w:hAnsi="Arial"/>
                <w:sz w:val="18"/>
                <w:szCs w:val="18"/>
                <w:color w:val="auto"/>
              </w:rPr>
              <w:t>Charges</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371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1,500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payments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(1,038)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(1,541)</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Liabilities at September 30, 2006</w:t>
            </w: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0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348</w:t>
            </w:r>
          </w:p>
        </w:tc>
        <w:tc>
          <w:tcPr>
            <w:tcW w:w="360" w:type="dxa"/>
            <w:vAlign w:val="bottom"/>
          </w:tcPr>
          <w:p>
            <w:pPr>
              <w:spacing w:after="0"/>
              <w:rPr>
                <w:sz w:val="19"/>
                <w:szCs w:val="19"/>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2,550</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5620" w:right="1640" w:hanging="5161"/>
        <w:spacing w:after="0" w:line="440" w:lineRule="auto"/>
        <w:rPr>
          <w:sz w:val="20"/>
          <w:szCs w:val="20"/>
          <w:color w:val="auto"/>
        </w:rPr>
      </w:pPr>
      <w:r>
        <w:rPr>
          <w:rFonts w:ascii="Arial" w:cs="Arial" w:eastAsia="Arial" w:hAnsi="Arial"/>
          <w:sz w:val="18"/>
          <w:szCs w:val="18"/>
          <w:color w:val="auto"/>
        </w:rPr>
        <w:t>Liabilities at September 30, 2006 and December 31, 2005 are included in accrued expenses and other liabilities on the balance sheet. 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7—Purchase of Certain Assets of Amherst Technologies, LLC</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October 21, 2005, we completed the acquisition of certain assets of Amherst Technologies, LLC and certain other parties (collectively, “Amherst”) from IBM Credit, LLC (“IBM”) for $7,751 in cash, and incurred $28 in related transaction costs. Prior to this transaction, IBM was granted a security interest by Amherst covering the acquired assets. The assets we acquired include customer relationships and related intangibles; intellectual property; and miscellaneous furniture, fixtures, and equipment. The acquired assets were combined with our Large Account segment to expand its reach into the medium-to-large corporate customer segment and enhance its sales efforts.</w:t>
      </w:r>
    </w:p>
    <w:p>
      <w:pPr>
        <w:spacing w:after="0" w:line="1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transaction was accounted for by the purchase method, and accordingly, any sales generated by former Amherst sales representatives are included in our consolidated financial statements only for periods after October 21, 2005.</w:t>
      </w:r>
    </w:p>
    <w:p>
      <w:pPr>
        <w:spacing w:after="0" w:line="132"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The following table summarizes the estimated fair values of the assets acquired at the date of acquisition. We did not assume any liabilities in this transaction. The fair values of certain intangible assets were determined by management, utilizing in part a third party valuation.</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8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At October 21, 2005</w:t>
            </w: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$2,400</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Property, plant and equipment and other assets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199</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5,180</w:t>
            </w:r>
          </w:p>
        </w:tc>
      </w:tr>
      <w:tr>
        <w:trPr>
          <w:trHeight w:val="222"/>
        </w:trPr>
        <w:tc>
          <w:tcPr>
            <w:tcW w:w="8520" w:type="dxa"/>
            <w:vAlign w:val="bottom"/>
          </w:tcPr>
          <w:p>
            <w:pPr>
              <w:spacing w:after="0"/>
              <w:rPr>
                <w:sz w:val="20"/>
                <w:szCs w:val="20"/>
                <w:color w:val="auto"/>
              </w:rPr>
            </w:pPr>
            <w:r>
              <w:rPr>
                <w:rFonts w:ascii="Arial" w:cs="Arial" w:eastAsia="Arial" w:hAnsi="Arial"/>
                <w:sz w:val="18"/>
                <w:szCs w:val="18"/>
                <w:color w:val="auto"/>
              </w:rPr>
              <w:t>Purchase price of selected assets</w:t>
            </w:r>
          </w:p>
        </w:tc>
        <w:tc>
          <w:tcPr>
            <w:tcW w:w="10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7,779</w:t>
            </w:r>
          </w:p>
        </w:tc>
      </w:tr>
      <w:tr>
        <w:trPr>
          <w:trHeight w:val="20"/>
        </w:trPr>
        <w:tc>
          <w:tcPr>
            <w:tcW w:w="8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The $2,400 of acquired intangible assets represents customer relationships (four-year weighted-average useful life). Goodwill of $5,180 was assigned to our Large Account segment. All of this goodwill is expected to be deductible for income tax purposes as a result of this transaction. During the first quarter of 2006, we revised our purchase accounting to reduce property, plant and equipment and other assets by $47, and increased goodwill by $47.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8—Commitments and Contingencies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subject to various legal proceedings and claims which have arisen during the ordinary course of business. These claims include certain patent infringement litigation naming us and several other resellers as well as certain manufacturers of products we sell or use in our business. No specific amounts have been claimed as damages. In the opinion of management, the outcome of such matters is not expected to have a material effect on our financial position, results of operations, or cash flows.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are also subject to audit by various government agencies relating to sales under certain government contracts. An audit was conducted on our contract with the GSA for the period May 1, 1997 to March 31, 2002, and in November 2003, the GSA’s contract with our subsidiary, GovConnection, was cancelled. Management concluded that such cancellation was precipitated by an audit of contractual compliance, although we did not receive an audit report or a claim from the GSA concerning amounts that might be owed pursuant to this audit. Based on our own internal review of contractual compliance, we noted that several internal control deficiencies existed at GovConnection surrounding its compliance with the GSA contract, and actions were taken to address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5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these deficiencies. We engaged outside counsel and an independent accounting firm to review our systems, policies, and procedures relative to our federal, state, and local government contracts and to assist us in resolving this matter and were awarded a new GSA contract in August 2004.</w:t>
      </w:r>
    </w:p>
    <w:p>
      <w:pPr>
        <w:spacing w:after="0" w:line="8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were informally advised in 2003 that the GovConnection audit matters were referred to the DOJ for its review. While such a referral exposes us to possible civil damages for non-compliance with the GSA contract, we believe that we have provided adequate reserves to cover any claims as they relate to payment of fees required under the contract or any penalties assessed. GovConnection reached a tentative settlement with the DOJ on the GSA audit matter and accrued $1,050 in the third quarter of 2006, in addition to the $1,500 accrued in prior quarters. We will continue to evaluate our reserves—as they relate both to the GSA audit and the DOJ review—in light of any additional information that comes to our attention. The ultimate outcome of these matters cannot be determined. Future events may result in conclusions that could have a material impact, either positively or negatively, on our results of operations or financial condition. We have no indication of intentional wrongdoing by GovConnection regarding the GSA contract.</w:t>
      </w:r>
    </w:p>
    <w:p>
      <w:pPr>
        <w:spacing w:after="0" w:line="118"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are also subject to audits by states on sales and income taxes, unclaimed property, and other assessments. Certain sales tax audits are in process, and a multi-state unclaimed property audit has begun. While management believes that known liabilities have been adequately provided for, it is too early to determine the ultimate outcome of such audits. Such outcome could have a material impact on our results of operations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9—Bank Borrowing and Trade Credit Arrangements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a $50,000 credit facility collateralized by substantially all of our business assets. This facility also gives us the option of increasing the borrowing amount by an additional $20,000 at substantially the same terms. Amounts outstanding under this facility bear interest at the prime rate (8.25% at September 30, 2006). The facility also gives us the option of obtaining Eurodollar Rate Loans in multiples of $1,000 for durations of one, two, three, four, or six months. The credit facility includes various customary financial and operating covenants, including minimum net worth and maximum funded debt ratio requirements, and restrictions on the payment of dividends, repurchase of our common stock, and default acceleration provisions, none of which we believe significantly restricts our operations. The maximum allowable funded debt ratio under the agreement is 2.0 to 1.0; our actual funded debt ratio at September 30, 2006 was 0.4 to 1.0. Funded debt ratio is the ratio of average outstanding advances under the facility to EBITDA (Earnings Before Interest Expense, Taxes, Depreciation, and Amortization). Borrowing availability under the agreement was $42,904 at September 30, 2006.</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Borrowings of $7,096 and $19,975 were outstanding under this credit facility at September 30, 2006 and December 31, 2005, respectively. The credit facility matures on June 29, 2008, at which time amounts outstanding become due.</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At September 30, 2006 and December 31, 2005, we had security agreements with two financial institutions to facilitate the purchase of inventory from various suppliers under certain terms and conditions. The agreements allow a collateralized position in inventory financed by the financial institutions up to an aggregate amount of $45,000. The cost of such financing under these agreements is borne by the suppliers by discounting their invoices to the financial institutions as an incentive for us to purchase their products. We do not pay any interest or discount fees on such inventory financing. At September 30, 2006 and December 31, 2005, accounts payable included $7,940 and $12,316, respectively, owed to these financial institutions.</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2—MANAGEMENT’S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i w:val="1"/>
          <w:iCs w:val="1"/>
          <w:color w:val="auto"/>
        </w:rPr>
        <w:t>Our management’s discussion and analysis of our financial condition and results of operations include the identification of certain trends and other statements that may predict or anticipate future business or financial results that are subject to important factors that could cause our actual results to differ materially from those indicated. See Item 1A “Risk Factors” of this Quarterly Report on Form 10-Q.</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We are a national direct marketer and procurement service provider of a wide range of IT products and services—including computer systems, software and peripheral equipment, networking communications, and other products and accessories, that we purchase from manufacturers, distributors, and other suppliers. We also offer a growing range of repair, configuration, installation, and other services performed by our personnel and third-party providers. We operate through three primary business segments: (a) consumers and small- to medium-sized businesses, or SMBs, through our PC Connection Sales subsidiaries,</w:t>
      </w:r>
    </w:p>
    <w:p>
      <w:pPr>
        <w:spacing w:after="0" w:line="3" w:lineRule="exact"/>
        <w:rPr>
          <w:sz w:val="20"/>
          <w:szCs w:val="20"/>
          <w:color w:val="auto"/>
        </w:rPr>
      </w:pPr>
    </w:p>
    <w:p>
      <w:pPr>
        <w:ind w:right="740" w:firstLine="8"/>
        <w:spacing w:after="0" w:line="261"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large corporate accounts, or Large Account, through our MoreDirect subsidiary, and (c) federal, state, and local government entities and educational institutions, or Public Sector, through our GovConnection subsidiary.</w:t>
      </w:r>
    </w:p>
    <w:p>
      <w:pPr>
        <w:spacing w:after="0" w:line="138"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generate sales through (i) outbound telemarketing and field sales contacts by account managers focused on the business, education, and government markets, (ii) our Web sites, and (iii) inbound calls from customers responding to our catalogs and other advertising media.</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primary challenges we face in effectively managing our business are (1) increasing our revenues in the face of increasing competition while improving our gross profit margins in all three business segments, (2) recruiting, retaining, and improving the productivity of our sales personnel, and (3) effectively managing and leveraging our selling, general and administrative (“SG&amp;A”) expenses over a higher sales base. With only moderate growth projected in the overall IT industry, any significant sales growth for us must come through increased market share. Competition is expected to be even more intense in the future, which could put more pressure on margins.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derived from our statements of income expressed as a percentage of net sales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176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40" w:type="dxa"/>
            <w:vAlign w:val="bottom"/>
            <w:gridSpan w:val="3"/>
            <w:vMerge w:val="continue"/>
          </w:tcPr>
          <w:p>
            <w:pPr>
              <w:spacing w:after="0"/>
              <w:rPr>
                <w:sz w:val="12"/>
                <w:szCs w:val="12"/>
                <w:color w:val="auto"/>
              </w:rPr>
            </w:pPr>
          </w:p>
        </w:tc>
        <w:tc>
          <w:tcPr>
            <w:tcW w:w="54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54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2"/>
                <w:szCs w:val="12"/>
                <w:color w:val="auto"/>
              </w:rPr>
            </w:pPr>
          </w:p>
        </w:tc>
        <w:tc>
          <w:tcPr>
            <w:tcW w:w="880" w:type="dxa"/>
            <w:vAlign w:val="bottom"/>
            <w:gridSpan w:val="2"/>
          </w:tcPr>
          <w:p>
            <w:pPr>
              <w:jc w:val="right"/>
              <w:ind w:right="102"/>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62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sales </w:t>
            </w:r>
            <w:r>
              <w:rPr>
                <w:rFonts w:ascii="Arial" w:cs="Arial" w:eastAsia="Arial" w:hAnsi="Arial"/>
                <w:sz w:val="18"/>
                <w:szCs w:val="18"/>
                <w:i w:val="1"/>
                <w:iCs w:val="1"/>
                <w:color w:val="auto"/>
              </w:rPr>
              <w:t>(in millions)</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w w:val="89"/>
              </w:rPr>
              <w:t>$ 415.2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$ 371.1</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1,203.8</w:t>
            </w:r>
          </w:p>
        </w:tc>
        <w:tc>
          <w:tcPr>
            <w:tcW w:w="6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1,045.7</w:t>
            </w:r>
          </w:p>
        </w:tc>
        <w:tc>
          <w:tcPr>
            <w:tcW w:w="0" w:type="dxa"/>
            <w:vAlign w:val="bottom"/>
          </w:tcPr>
          <w:p>
            <w:pPr>
              <w:spacing w:after="0"/>
              <w:rPr>
                <w:sz w:val="1"/>
                <w:szCs w:val="1"/>
                <w:color w:val="auto"/>
              </w:rPr>
            </w:pPr>
          </w:p>
        </w:tc>
      </w:tr>
      <w:tr>
        <w:trPr>
          <w:trHeight w:val="20"/>
        </w:trPr>
        <w:tc>
          <w:tcPr>
            <w:tcW w:w="6940" w:type="dxa"/>
            <w:vAlign w:val="bottom"/>
            <w:gridSpan w:val="3"/>
            <w:vMerge w:val="restart"/>
          </w:tcPr>
          <w:p>
            <w:pPr>
              <w:spacing w:after="0"/>
              <w:rPr>
                <w:sz w:val="20"/>
                <w:szCs w:val="20"/>
                <w:color w:val="auto"/>
              </w:rPr>
            </w:pPr>
            <w:r>
              <w:rPr>
                <w:rFonts w:ascii="Arial" w:cs="Arial" w:eastAsia="Arial" w:hAnsi="Arial"/>
                <w:sz w:val="18"/>
                <w:szCs w:val="18"/>
                <w:color w:val="auto"/>
              </w:rPr>
              <w:t>Net sales</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40" w:type="dxa"/>
            <w:vAlign w:val="bottom"/>
            <w:gridSpan w:val="3"/>
            <w:vMerge w:val="continue"/>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100.0%</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100.0%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12.3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6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10.4</w:t>
            </w:r>
          </w:p>
        </w:tc>
        <w:tc>
          <w:tcPr>
            <w:tcW w:w="540" w:type="dxa"/>
            <w:vAlign w:val="bottom"/>
          </w:tcPr>
          <w:p>
            <w:pPr>
              <w:jc w:val="right"/>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10.8</w:t>
            </w:r>
          </w:p>
        </w:tc>
        <w:tc>
          <w:tcPr>
            <w:tcW w:w="6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0.3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6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1.6</w:t>
            </w: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1.3</w:t>
            </w:r>
          </w:p>
        </w:tc>
        <w:tc>
          <w:tcPr>
            <w:tcW w:w="6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year-over-year increase in sales in the three and nine-month periods ended September 30, 2006 resulted from sales growth in our SMB and Large Account segments. The three and nine-month periods ended September 30, 2006 also benefited from sales generated by former Amherst employees who joined our organization in October 2005.</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our Large Account segment, we benefited from a 12% improvement in sales productivity (average annualized sales per sales representative) in the third quarter of 2006 compared to the prior year period due to strong demand from both existing and new accounts. We experienced, however, modest year-over-year sales productivity declines in the third quarter of 2006 in both our SMB and Public Sector segments. Average sales productivity in our SMB segment declined by 4% due primarily to the additional number of new sales representatives hired at our recently opened Texas call center. In our Public Sector segment, we experienced an 8% decline in sales productivity as management focused on higher-margin sales opportunities. We have made significant investments in our sales training programs and information systems in anticipation of future productivity gains. Increasing our sales representatives’ productivity will remain a key corporate challenge for the upcoming periods.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 Distribution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percentage of net sales by business segment and product mix: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2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2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4"/>
                <w:szCs w:val="14"/>
                <w:color w:val="auto"/>
              </w:rPr>
            </w:pPr>
          </w:p>
        </w:tc>
        <w:tc>
          <w:tcPr>
            <w:tcW w:w="176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00" w:type="dxa"/>
            <w:vAlign w:val="bottom"/>
            <w:gridSpan w:val="2"/>
            <w:vMerge w:val="continue"/>
          </w:tcPr>
          <w:p>
            <w:pPr>
              <w:spacing w:after="0"/>
              <w:rPr>
                <w:sz w:val="12"/>
                <w:szCs w:val="12"/>
                <w:color w:val="auto"/>
              </w:rPr>
            </w:pPr>
          </w:p>
        </w:tc>
        <w:tc>
          <w:tcPr>
            <w:tcW w:w="30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920" w:type="dxa"/>
            <w:vAlign w:val="bottom"/>
          </w:tcPr>
          <w:p>
            <w:pPr>
              <w:spacing w:after="0"/>
              <w:rPr>
                <w:sz w:val="12"/>
                <w:szCs w:val="12"/>
                <w:color w:val="auto"/>
              </w:rPr>
            </w:pPr>
          </w:p>
        </w:tc>
        <w:tc>
          <w:tcPr>
            <w:tcW w:w="46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rPr>
              <w:t>2005</w:t>
            </w:r>
          </w:p>
        </w:tc>
        <w:tc>
          <w:tcPr>
            <w:tcW w:w="76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90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Business Segment</w:t>
            </w:r>
          </w:p>
        </w:tc>
        <w:tc>
          <w:tcPr>
            <w:tcW w:w="202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SMB</w:t>
            </w:r>
          </w:p>
        </w:tc>
        <w:tc>
          <w:tcPr>
            <w:tcW w:w="400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53%</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55%</w:t>
            </w:r>
          </w:p>
        </w:tc>
        <w:tc>
          <w:tcPr>
            <w:tcW w:w="13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55%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Large Account</w:t>
            </w:r>
          </w:p>
        </w:tc>
        <w:tc>
          <w:tcPr>
            <w:tcW w:w="30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7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b w:val="1"/>
                <w:bCs w:val="1"/>
                <w:color w:val="auto"/>
              </w:rPr>
              <w:t>29</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Public Sector</w:t>
            </w:r>
          </w:p>
        </w:tc>
        <w:tc>
          <w:tcPr>
            <w:tcW w:w="2640" w:type="dxa"/>
            <w:vAlign w:val="bottom"/>
            <w:gridSpan w:val="2"/>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9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7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90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400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100%</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100%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Product Mix</w:t>
            </w:r>
          </w:p>
        </w:tc>
        <w:tc>
          <w:tcPr>
            <w:tcW w:w="2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00" w:type="dxa"/>
            <w:vAlign w:val="bottom"/>
            <w:gridSpan w:val="2"/>
            <w:vMerge w:val="continue"/>
          </w:tcPr>
          <w:p>
            <w:pPr>
              <w:spacing w:after="0"/>
              <w:rPr>
                <w:sz w:val="18"/>
                <w:szCs w:val="18"/>
                <w:color w:val="auto"/>
              </w:rPr>
            </w:pPr>
          </w:p>
        </w:tc>
        <w:tc>
          <w:tcPr>
            <w:tcW w:w="2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Notebooks and PDAs</w:t>
            </w:r>
          </w:p>
        </w:tc>
        <w:tc>
          <w:tcPr>
            <w:tcW w:w="400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17%</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17%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Desktop/Servers</w:t>
            </w:r>
          </w:p>
        </w:tc>
        <w:tc>
          <w:tcPr>
            <w:tcW w:w="3080" w:type="dxa"/>
            <w:vAlign w:val="bottom"/>
            <w:gridSpan w:val="3"/>
          </w:tcPr>
          <w:p>
            <w:pPr>
              <w:jc w:val="right"/>
              <w:spacing w:after="0"/>
              <w:rPr>
                <w:sz w:val="20"/>
                <w:szCs w:val="20"/>
                <w:color w:val="auto"/>
              </w:rPr>
            </w:pPr>
            <w:r>
              <w:rPr>
                <w:rFonts w:ascii="Arial" w:cs="Arial" w:eastAsia="Arial" w:hAnsi="Arial"/>
                <w:sz w:val="18"/>
                <w:szCs w:val="18"/>
                <w:b w:val="1"/>
                <w:bCs w:val="1"/>
                <w:color w:val="auto"/>
              </w:rPr>
              <w:t>14</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760" w:type="dxa"/>
            <w:vAlign w:val="bottom"/>
          </w:tcPr>
          <w:p>
            <w:pPr>
              <w:spacing w:after="0"/>
              <w:rPr>
                <w:sz w:val="18"/>
                <w:szCs w:val="18"/>
                <w:color w:val="auto"/>
              </w:rPr>
            </w:pPr>
          </w:p>
        </w:tc>
        <w:tc>
          <w:tcPr>
            <w:tcW w:w="132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14</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Storage Devices</w:t>
            </w:r>
          </w:p>
        </w:tc>
        <w:tc>
          <w:tcPr>
            <w:tcW w:w="30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b w:val="1"/>
                <w:bCs w:val="1"/>
                <w:color w:val="auto"/>
              </w:rPr>
              <w:t>9</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Software</w:t>
            </w:r>
          </w:p>
        </w:tc>
        <w:tc>
          <w:tcPr>
            <w:tcW w:w="3080" w:type="dxa"/>
            <w:vAlign w:val="bottom"/>
            <w:gridSpan w:val="3"/>
          </w:tcPr>
          <w:p>
            <w:pPr>
              <w:jc w:val="right"/>
              <w:spacing w:after="0"/>
              <w:rPr>
                <w:sz w:val="20"/>
                <w:szCs w:val="20"/>
                <w:color w:val="auto"/>
              </w:rPr>
            </w:pPr>
            <w:r>
              <w:rPr>
                <w:rFonts w:ascii="Arial" w:cs="Arial" w:eastAsia="Arial" w:hAnsi="Arial"/>
                <w:sz w:val="18"/>
                <w:szCs w:val="18"/>
                <w:b w:val="1"/>
                <w:bCs w:val="1"/>
                <w:color w:val="auto"/>
              </w:rPr>
              <w:t>12</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760" w:type="dxa"/>
            <w:vAlign w:val="bottom"/>
          </w:tcPr>
          <w:p>
            <w:pPr>
              <w:spacing w:after="0"/>
              <w:rPr>
                <w:sz w:val="18"/>
                <w:szCs w:val="18"/>
                <w:color w:val="auto"/>
              </w:rPr>
            </w:pPr>
          </w:p>
        </w:tc>
        <w:tc>
          <w:tcPr>
            <w:tcW w:w="132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13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Net/Com Products</w:t>
            </w:r>
          </w:p>
        </w:tc>
        <w:tc>
          <w:tcPr>
            <w:tcW w:w="30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b w:val="1"/>
                <w:bCs w:val="1"/>
                <w:color w:val="auto"/>
              </w:rPr>
              <w:t>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Printers and Printer Supplies</w:t>
            </w:r>
          </w:p>
        </w:tc>
        <w:tc>
          <w:tcPr>
            <w:tcW w:w="400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11</w:t>
            </w: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760" w:type="dxa"/>
            <w:vAlign w:val="bottom"/>
          </w:tcPr>
          <w:p>
            <w:pPr>
              <w:spacing w:after="0"/>
              <w:rPr>
                <w:sz w:val="18"/>
                <w:szCs w:val="18"/>
                <w:color w:val="auto"/>
              </w:rPr>
            </w:pPr>
          </w:p>
        </w:tc>
        <w:tc>
          <w:tcPr>
            <w:tcW w:w="132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10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Videos, Imaging, and Sound</w:t>
            </w:r>
          </w:p>
        </w:tc>
        <w:tc>
          <w:tcPr>
            <w:tcW w:w="30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b w:val="1"/>
                <w:bCs w:val="1"/>
                <w:color w:val="auto"/>
              </w:rPr>
              <w:t>13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Memory and System Enhancements</w:t>
            </w:r>
          </w:p>
        </w:tc>
        <w:tc>
          <w:tcPr>
            <w:tcW w:w="3080" w:type="dxa"/>
            <w:vAlign w:val="bottom"/>
            <w:gridSpan w:val="3"/>
          </w:tcPr>
          <w:p>
            <w:pPr>
              <w:jc w:val="right"/>
              <w:spacing w:after="0"/>
              <w:rPr>
                <w:sz w:val="20"/>
                <w:szCs w:val="20"/>
                <w:color w:val="auto"/>
              </w:rPr>
            </w:pPr>
            <w:r>
              <w:rPr>
                <w:rFonts w:ascii="Arial" w:cs="Arial" w:eastAsia="Arial" w:hAnsi="Arial"/>
                <w:sz w:val="18"/>
                <w:szCs w:val="18"/>
                <w:b w:val="1"/>
                <w:bCs w:val="1"/>
                <w:color w:val="auto"/>
              </w:rPr>
              <w:t>5</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760" w:type="dxa"/>
            <w:vAlign w:val="bottom"/>
          </w:tcPr>
          <w:p>
            <w:pPr>
              <w:spacing w:after="0"/>
              <w:rPr>
                <w:sz w:val="18"/>
                <w:szCs w:val="18"/>
                <w:color w:val="auto"/>
              </w:rPr>
            </w:pPr>
          </w:p>
        </w:tc>
        <w:tc>
          <w:tcPr>
            <w:tcW w:w="132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5</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Accessories/Other</w:t>
            </w:r>
          </w:p>
        </w:tc>
        <w:tc>
          <w:tcPr>
            <w:tcW w:w="264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b w:val="1"/>
                <w:bCs w:val="1"/>
                <w:color w:val="auto"/>
              </w:rPr>
              <w:t>11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b w:val="1"/>
                <w:bCs w:val="1"/>
                <w:color w:val="auto"/>
              </w:rPr>
              <w:t>11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vMerge w:val="restart"/>
          </w:tcPr>
          <w:p>
            <w:pPr>
              <w:ind w:left="860"/>
              <w:spacing w:after="0"/>
              <w:rPr>
                <w:sz w:val="20"/>
                <w:szCs w:val="20"/>
                <w:color w:val="auto"/>
              </w:rPr>
            </w:pPr>
            <w:r>
              <w:rPr>
                <w:rFonts w:ascii="Arial" w:cs="Arial" w:eastAsia="Arial" w:hAnsi="Arial"/>
                <w:sz w:val="18"/>
                <w:szCs w:val="18"/>
                <w:color w:val="auto"/>
              </w:rPr>
              <w:t>Total</w:t>
            </w:r>
          </w:p>
        </w:tc>
        <w:tc>
          <w:tcPr>
            <w:tcW w:w="2640" w:type="dxa"/>
            <w:vAlign w:val="bottom"/>
            <w:gridSpan w:val="2"/>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vMerge w:val="continue"/>
          </w:tcPr>
          <w:p>
            <w:pPr>
              <w:spacing w:after="0"/>
              <w:rPr>
                <w:sz w:val="19"/>
                <w:szCs w:val="19"/>
                <w:color w:val="auto"/>
              </w:rPr>
            </w:pPr>
          </w:p>
        </w:tc>
        <w:tc>
          <w:tcPr>
            <w:tcW w:w="2640" w:type="dxa"/>
            <w:vAlign w:val="bottom"/>
            <w:gridSpan w:val="2"/>
            <w:vMerge w:val="continue"/>
          </w:tcPr>
          <w:p>
            <w:pPr>
              <w:spacing w:after="0"/>
              <w:rPr>
                <w:sz w:val="19"/>
                <w:szCs w:val="19"/>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100%</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100%</w:t>
            </w:r>
          </w:p>
        </w:tc>
        <w:tc>
          <w:tcPr>
            <w:tcW w:w="13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100%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20" w:type="dxa"/>
            <w:vAlign w:val="bottom"/>
            <w:vMerge w:val="restart"/>
          </w:tcPr>
          <w:p>
            <w:pPr>
              <w:jc w:val="right"/>
              <w:ind w:right="434"/>
              <w:spacing w:after="0"/>
              <w:rPr>
                <w:sz w:val="20"/>
                <w:szCs w:val="20"/>
                <w:color w:val="auto"/>
              </w:rPr>
            </w:pPr>
            <w:r>
              <w:rPr>
                <w:rFonts w:ascii="Arial" w:cs="Arial" w:eastAsia="Arial" w:hAnsi="Arial"/>
                <w:sz w:val="18"/>
                <w:szCs w:val="18"/>
                <w:color w:val="auto"/>
              </w:rPr>
              <w:t>20</w:t>
            </w:r>
          </w:p>
        </w:tc>
        <w:tc>
          <w:tcPr>
            <w:tcW w:w="6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 Margins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overall gross profit margins, as a percentage of net sales, over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246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18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7120" w:type="dxa"/>
            <w:vAlign w:val="bottom"/>
            <w:gridSpan w:val="3"/>
            <w:vMerge w:val="continue"/>
          </w:tcPr>
          <w:p>
            <w:pPr>
              <w:spacing w:after="0"/>
              <w:rPr>
                <w:sz w:val="12"/>
                <w:szCs w:val="12"/>
                <w:color w:val="auto"/>
              </w:rPr>
            </w:pPr>
          </w:p>
        </w:tc>
        <w:tc>
          <w:tcPr>
            <w:tcW w:w="46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2006</w:t>
            </w:r>
          </w:p>
        </w:tc>
        <w:tc>
          <w:tcPr>
            <w:tcW w:w="7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2005</w:t>
            </w:r>
          </w:p>
        </w:tc>
        <w:tc>
          <w:tcPr>
            <w:tcW w:w="72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7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Business Segment</w:t>
            </w:r>
          </w:p>
        </w:tc>
        <w:tc>
          <w:tcPr>
            <w:tcW w:w="5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420"/>
              <w:spacing w:after="0"/>
              <w:rPr>
                <w:sz w:val="20"/>
                <w:szCs w:val="20"/>
                <w:color w:val="auto"/>
              </w:rPr>
            </w:pPr>
            <w:r>
              <w:rPr>
                <w:rFonts w:ascii="Arial" w:cs="Arial" w:eastAsia="Arial" w:hAnsi="Arial"/>
                <w:sz w:val="18"/>
                <w:szCs w:val="18"/>
                <w:color w:val="auto"/>
              </w:rPr>
              <w:t>SMB</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13.3%</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12.9%</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13.5%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Large Account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7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10.9</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420"/>
              <w:spacing w:after="0"/>
              <w:rPr>
                <w:sz w:val="20"/>
                <w:szCs w:val="20"/>
                <w:color w:val="auto"/>
              </w:rPr>
            </w:pPr>
            <w:r>
              <w:rPr>
                <w:rFonts w:ascii="Arial" w:cs="Arial" w:eastAsia="Arial" w:hAnsi="Arial"/>
                <w:sz w:val="18"/>
                <w:szCs w:val="18"/>
                <w:color w:val="auto"/>
              </w:rPr>
              <w:t>Public Sector</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10.8</w:t>
            </w:r>
          </w:p>
        </w:tc>
        <w:tc>
          <w:tcPr>
            <w:tcW w:w="7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w:t>
            </w:r>
          </w:p>
        </w:tc>
        <w:tc>
          <w:tcPr>
            <w:tcW w:w="720" w:type="dxa"/>
            <w:vAlign w:val="bottom"/>
          </w:tcPr>
          <w:p>
            <w:pPr>
              <w:spacing w:after="0"/>
              <w:rPr>
                <w:sz w:val="18"/>
                <w:szCs w:val="18"/>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11.0</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12.3%</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11.3%</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12.3%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20" w:firstLine="456"/>
        <w:spacing w:after="0" w:line="323" w:lineRule="auto"/>
        <w:rPr>
          <w:sz w:val="20"/>
          <w:szCs w:val="20"/>
          <w:color w:val="auto"/>
        </w:rPr>
      </w:pPr>
      <w:r>
        <w:rPr>
          <w:rFonts w:ascii="Arial" w:cs="Arial" w:eastAsia="Arial" w:hAnsi="Arial"/>
          <w:sz w:val="15"/>
          <w:szCs w:val="15"/>
          <w:color w:val="auto"/>
        </w:rPr>
        <w:t>Consolidated gross profit dollars increased for the third quarter of 2006 compared to third quarter of 2005 by $9.1 million, and increased for the nine months ended September 30, 2006 over the prior year period by $28.5 million, due to increases in both net sales and gross profit margins. Gross margin improvement in the three- month and nine-month periods ended September 30, 2006 resulted from higher invoice product margins; increased sales of higher margin services, software, and accessories; larger net software agency sales; and increased vendor consideration recorded as an offset to cost of sales.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 and Certain Other Costs</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Cost of sales includes the invoice cost of the product, packaging, inbound and outbound freight, and provisions for inventory obsolescence, adjusted for discounts, rebates, and other vendor consideration adjustments. Direct operating expenses relating to our purchasing function and receiving, inspection, internal transfer, warehousing, packing and shipping, and other expenses of our distribution center are included in SG&amp;A expenses. Accordingly, our gross margins may not be comparable to those of other entities who include all of the costs related to their distribution network in cost of goods sold. Such costs, as a percentage of net sales for the periods reported,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248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19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7000" w:type="dxa"/>
            <w:vAlign w:val="bottom"/>
            <w:gridSpan w:val="3"/>
            <w:vMerge w:val="continue"/>
          </w:tcPr>
          <w:p>
            <w:pPr>
              <w:spacing w:after="0"/>
              <w:rPr>
                <w:sz w:val="12"/>
                <w:szCs w:val="12"/>
                <w:color w:val="auto"/>
              </w:rPr>
            </w:pPr>
          </w:p>
        </w:tc>
        <w:tc>
          <w:tcPr>
            <w:tcW w:w="540" w:type="dxa"/>
            <w:vAlign w:val="bottom"/>
            <w:tcBorders>
              <w:top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2006</w:t>
            </w:r>
          </w:p>
        </w:tc>
        <w:tc>
          <w:tcPr>
            <w:tcW w:w="7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2005</w:t>
            </w:r>
          </w:p>
        </w:tc>
        <w:tc>
          <w:tcPr>
            <w:tcW w:w="700" w:type="dxa"/>
            <w:vAlign w:val="bottom"/>
          </w:tcPr>
          <w:p>
            <w:pPr>
              <w:spacing w:after="0"/>
              <w:rPr>
                <w:sz w:val="12"/>
                <w:szCs w:val="12"/>
                <w:color w:val="auto"/>
              </w:rPr>
            </w:pPr>
          </w:p>
        </w:tc>
        <w:tc>
          <w:tcPr>
            <w:tcW w:w="540" w:type="dxa"/>
            <w:vAlign w:val="bottom"/>
            <w:tcBorders>
              <w:top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2006</w:t>
            </w:r>
          </w:p>
        </w:tc>
        <w:tc>
          <w:tcPr>
            <w:tcW w:w="7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Purchasing/Distribution Center</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0.66%</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0.65%</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0.68%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breaks out our more significant operating expenses for the periods indicated (in millions of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2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w w:val="98"/>
              </w:rPr>
              <w:t>Three Months Ended</w:t>
            </w:r>
          </w:p>
        </w:tc>
        <w:tc>
          <w:tcPr>
            <w:tcW w:w="120" w:type="dxa"/>
            <w:vAlign w:val="bottom"/>
          </w:tcPr>
          <w:p>
            <w:pPr>
              <w:spacing w:after="0"/>
              <w:rPr>
                <w:sz w:val="14"/>
                <w:szCs w:val="14"/>
                <w:color w:val="auto"/>
              </w:rPr>
            </w:pPr>
          </w:p>
        </w:tc>
        <w:tc>
          <w:tcPr>
            <w:tcW w:w="17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42"/>
        </w:trPr>
        <w:tc>
          <w:tcPr>
            <w:tcW w:w="3880" w:type="dxa"/>
            <w:vAlign w:val="bottom"/>
            <w:gridSpan w:val="2"/>
            <w:vMerge w:val="continue"/>
          </w:tcPr>
          <w:p>
            <w:pPr>
              <w:spacing w:after="0"/>
              <w:rPr>
                <w:sz w:val="12"/>
                <w:szCs w:val="12"/>
                <w:color w:val="auto"/>
              </w:rPr>
            </w:pPr>
          </w:p>
        </w:tc>
        <w:tc>
          <w:tcPr>
            <w:tcW w:w="2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2006</w:t>
            </w: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2005</w:t>
            </w:r>
          </w:p>
        </w:tc>
        <w:tc>
          <w:tcPr>
            <w:tcW w:w="6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2006</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shd w:val="clear" w:color="auto" w:fill="000000"/>
          </w:tcPr>
          <w:p>
            <w:pPr>
              <w:spacing w:after="0"/>
              <w:rPr>
                <w:sz w:val="2"/>
                <w:szCs w:val="2"/>
                <w:color w:val="auto"/>
              </w:rPr>
            </w:pPr>
          </w:p>
        </w:tc>
        <w:tc>
          <w:tcPr>
            <w:tcW w:w="28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2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28.8</w:t>
            </w: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87.7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Advertising, net</w:t>
            </w:r>
          </w:p>
        </w:tc>
        <w:tc>
          <w:tcPr>
            <w:tcW w:w="2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9.5</w:t>
            </w:r>
          </w:p>
        </w:tc>
        <w:tc>
          <w:tcPr>
            <w:tcW w:w="1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Facilities operations</w:t>
            </w:r>
          </w:p>
        </w:tc>
        <w:tc>
          <w:tcPr>
            <w:tcW w:w="2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6.9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Credit card fees</w:t>
            </w:r>
          </w:p>
        </w:tc>
        <w:tc>
          <w:tcPr>
            <w:tcW w:w="2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5.2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Bad debts</w:t>
            </w:r>
          </w:p>
        </w:tc>
        <w:tc>
          <w:tcPr>
            <w:tcW w:w="2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13.1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Total</w:t>
            </w:r>
          </w:p>
        </w:tc>
        <w:tc>
          <w:tcPr>
            <w:tcW w:w="332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43.3</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129.8</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110.3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Percentage of net sales</w:t>
            </w:r>
          </w:p>
        </w:tc>
        <w:tc>
          <w:tcPr>
            <w:tcW w:w="2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10.8%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40" w:type="dxa"/>
            <w:vAlign w:val="bottom"/>
            <w:vMerge w:val="restart"/>
          </w:tcPr>
          <w:p>
            <w:pPr>
              <w:jc w:val="right"/>
              <w:ind w:right="832"/>
              <w:spacing w:after="0"/>
              <w:rPr>
                <w:sz w:val="20"/>
                <w:szCs w:val="20"/>
                <w:color w:val="auto"/>
              </w:rPr>
            </w:pPr>
            <w:r>
              <w:rPr>
                <w:rFonts w:ascii="Arial" w:cs="Arial" w:eastAsia="Arial" w:hAnsi="Arial"/>
                <w:sz w:val="18"/>
                <w:szCs w:val="18"/>
                <w:color w:val="auto"/>
              </w:rPr>
              <w:t>21</w:t>
            </w: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Personnel costs continue to represent the majority of our operating expenses, with sales personnel representing the largest portion of these costs. The year-over-year increase in personnel costs resulted primarily from additional sales and service personnel from our Amherst transaction, increased variable compensation related to higher gross profits, and additional staffing at our recently opened Texas call center. The increase in other costs is attributable primarily to increases in professional fees and in state tax and other compliance accruals.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Year-Over-Year Comparisons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Months Ended September 30, 2006 Compared to Three Months Ended September 30, 2005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net sales and gross profit by business segment are shown in the following table (dollars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7"/>
          </w:tcPr>
          <w:p>
            <w:pPr>
              <w:jc w:val="right"/>
              <w:ind w:right="900"/>
              <w:spacing w:after="0"/>
              <w:rPr>
                <w:sz w:val="20"/>
                <w:szCs w:val="20"/>
                <w:color w:val="auto"/>
              </w:rPr>
            </w:pPr>
            <w:r>
              <w:rPr>
                <w:rFonts w:ascii="Arial" w:cs="Arial" w:eastAsia="Arial" w:hAnsi="Arial"/>
                <w:sz w:val="14"/>
                <w:szCs w:val="14"/>
                <w:b w:val="1"/>
                <w:bCs w:val="1"/>
                <w:color w:val="auto"/>
                <w:w w:val="99"/>
              </w:rPr>
              <w:t>Three Months Ended September 30,</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2006</w:t>
            </w:r>
          </w:p>
        </w:tc>
        <w:tc>
          <w:tcPr>
            <w:tcW w:w="520" w:type="dxa"/>
            <w:vAlign w:val="bottom"/>
            <w:tcBorders>
              <w:bottom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2005</w:t>
            </w:r>
          </w:p>
        </w:tc>
        <w:tc>
          <w:tcPr>
            <w:tcW w:w="54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 of Net</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 of Net</w:t>
            </w:r>
          </w:p>
        </w:tc>
        <w:tc>
          <w:tcPr>
            <w:tcW w:w="580" w:type="dxa"/>
            <w:vAlign w:val="bottom"/>
          </w:tcPr>
          <w:p>
            <w:pPr>
              <w:spacing w:after="0"/>
              <w:rPr>
                <w:sz w:val="11"/>
                <w:szCs w:val="11"/>
                <w:color w:val="auto"/>
              </w:rPr>
            </w:pPr>
          </w:p>
        </w:tc>
        <w:tc>
          <w:tcPr>
            <w:tcW w:w="46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3"/>
          </w:tcPr>
          <w:p>
            <w:pPr>
              <w:spacing w:after="0"/>
              <w:rPr>
                <w:sz w:val="20"/>
                <w:szCs w:val="20"/>
                <w:color w:val="auto"/>
              </w:rPr>
            </w:pPr>
            <w:r>
              <w:rPr>
                <w:rFonts w:ascii="Arial" w:cs="Arial" w:eastAsia="Arial" w:hAnsi="Arial"/>
                <w:sz w:val="14"/>
                <w:szCs w:val="14"/>
                <w:b w:val="1"/>
                <w:bCs w:val="1"/>
                <w:color w:val="auto"/>
                <w:w w:val="90"/>
              </w:rPr>
              <w:t>Amount</w:t>
            </w:r>
          </w:p>
        </w:tc>
        <w:tc>
          <w:tcPr>
            <w:tcW w:w="520" w:type="dxa"/>
            <w:vAlign w:val="bottom"/>
          </w:tcPr>
          <w:p>
            <w:pPr>
              <w:spacing w:after="0"/>
              <w:rPr>
                <w:sz w:val="15"/>
                <w:szCs w:val="15"/>
                <w:color w:val="auto"/>
              </w:rPr>
            </w:pPr>
          </w:p>
        </w:tc>
        <w:tc>
          <w:tcPr>
            <w:tcW w:w="11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Sales</w:t>
            </w: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540" w:type="dxa"/>
            <w:vAlign w:val="bottom"/>
          </w:tcPr>
          <w:p>
            <w:pPr>
              <w:spacing w:after="0"/>
              <w:rPr>
                <w:sz w:val="15"/>
                <w:szCs w:val="15"/>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Sales</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440"/>
              <w:spacing w:after="0"/>
              <w:rPr>
                <w:sz w:val="20"/>
                <w:szCs w:val="20"/>
                <w:color w:val="auto"/>
              </w:rPr>
            </w:pPr>
            <w:r>
              <w:rPr>
                <w:rFonts w:ascii="Arial" w:cs="Arial" w:eastAsia="Arial" w:hAnsi="Arial"/>
                <w:sz w:val="18"/>
                <w:szCs w:val="18"/>
                <w:color w:val="auto"/>
              </w:rPr>
              <w:t>SMB</w:t>
            </w:r>
          </w:p>
        </w:tc>
        <w:tc>
          <w:tcPr>
            <w:tcW w:w="100" w:type="dxa"/>
            <w:vAlign w:val="bottom"/>
            <w:gridSpan w:val="2"/>
          </w:tcPr>
          <w:p>
            <w:pPr>
              <w:spacing w:after="0"/>
              <w:rPr>
                <w:sz w:val="20"/>
                <w:szCs w:val="20"/>
                <w:color w:val="auto"/>
              </w:rPr>
            </w:pPr>
            <w:r>
              <w:rPr>
                <w:rFonts w:ascii="Arial" w:cs="Arial" w:eastAsia="Arial" w:hAnsi="Arial"/>
                <w:sz w:val="18"/>
                <w:szCs w:val="18"/>
                <w:b w:val="1"/>
                <w:bCs w:val="1"/>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4"/>
              </w:rPr>
              <w:t>221.3</w:t>
            </w:r>
          </w:p>
        </w:tc>
        <w:tc>
          <w:tcPr>
            <w:tcW w:w="16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53.3%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203.5</w:t>
            </w:r>
          </w:p>
        </w:tc>
        <w:tc>
          <w:tcPr>
            <w:tcW w:w="1660" w:type="dxa"/>
            <w:vAlign w:val="bottom"/>
            <w:gridSpan w:val="3"/>
          </w:tcPr>
          <w:p>
            <w:pPr>
              <w:jc w:val="right"/>
              <w:ind w:right="440"/>
              <w:spacing w:after="0"/>
              <w:rPr>
                <w:sz w:val="20"/>
                <w:szCs w:val="20"/>
                <w:color w:val="auto"/>
              </w:rPr>
            </w:pPr>
            <w:r>
              <w:rPr>
                <w:rFonts w:ascii="Arial" w:cs="Arial" w:eastAsia="Arial" w:hAnsi="Arial"/>
                <w:sz w:val="18"/>
                <w:szCs w:val="18"/>
                <w:color w:val="auto"/>
              </w:rPr>
              <w:t>54.8%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Large Account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113.7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6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21.7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tcPr>
          <w:p>
            <w:pPr>
              <w:ind w:left="440"/>
              <w:spacing w:after="0"/>
              <w:rPr>
                <w:sz w:val="20"/>
                <w:szCs w:val="20"/>
                <w:color w:val="auto"/>
              </w:rPr>
            </w:pPr>
            <w:r>
              <w:rPr>
                <w:rFonts w:ascii="Arial" w:cs="Arial" w:eastAsia="Arial" w:hAnsi="Arial"/>
                <w:sz w:val="18"/>
                <w:szCs w:val="18"/>
                <w:color w:val="auto"/>
              </w:rPr>
              <w:t>Public Sector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80.2</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5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58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415.2</w:t>
            </w:r>
          </w:p>
        </w:tc>
        <w:tc>
          <w:tcPr>
            <w:tcW w:w="16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100.0%</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371.1</w:t>
            </w:r>
          </w:p>
        </w:tc>
        <w:tc>
          <w:tcPr>
            <w:tcW w:w="16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SMB</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29.4</w:t>
            </w:r>
          </w:p>
        </w:tc>
        <w:tc>
          <w:tcPr>
            <w:tcW w:w="16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13.3%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6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5560" w:type="dxa"/>
            <w:vAlign w:val="bottom"/>
          </w:tcPr>
          <w:p>
            <w:pPr>
              <w:ind w:left="440"/>
              <w:spacing w:after="0"/>
              <w:rPr>
                <w:sz w:val="20"/>
                <w:szCs w:val="20"/>
                <w:color w:val="auto"/>
              </w:rPr>
            </w:pPr>
            <w:r>
              <w:rPr>
                <w:rFonts w:ascii="Arial" w:cs="Arial" w:eastAsia="Arial" w:hAnsi="Arial"/>
                <w:sz w:val="18"/>
                <w:szCs w:val="18"/>
                <w:color w:val="auto"/>
              </w:rPr>
              <w:t>Large Account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13.0</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11.4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7.9</w:t>
            </w:r>
          </w:p>
        </w:tc>
        <w:tc>
          <w:tcPr>
            <w:tcW w:w="1660" w:type="dxa"/>
            <w:vAlign w:val="bottom"/>
            <w:gridSpan w:val="3"/>
          </w:tcPr>
          <w:p>
            <w:pPr>
              <w:jc w:val="right"/>
              <w:ind w:right="580"/>
              <w:spacing w:after="0"/>
              <w:rPr>
                <w:sz w:val="20"/>
                <w:szCs w:val="20"/>
                <w:color w:val="auto"/>
              </w:rPr>
            </w:pPr>
            <w:r>
              <w:rPr>
                <w:rFonts w:ascii="Arial" w:cs="Arial" w:eastAsia="Arial" w:hAnsi="Arial"/>
                <w:sz w:val="18"/>
                <w:szCs w:val="18"/>
                <w:color w:val="auto"/>
              </w:rPr>
              <w:t>9.8</w:t>
            </w:r>
          </w:p>
        </w:tc>
        <w:tc>
          <w:tcPr>
            <w:tcW w:w="460" w:type="dxa"/>
            <w:vAlign w:val="bottom"/>
          </w:tcPr>
          <w:p>
            <w:pPr>
              <w:jc w:val="right"/>
              <w:spacing w:after="0"/>
              <w:rPr>
                <w:sz w:val="20"/>
                <w:szCs w:val="20"/>
                <w:color w:val="auto"/>
              </w:rPr>
            </w:pPr>
            <w:r>
              <w:rPr>
                <w:rFonts w:ascii="Arial" w:cs="Arial" w:eastAsia="Arial" w:hAnsi="Arial"/>
                <w:sz w:val="18"/>
                <w:szCs w:val="18"/>
                <w:color w:val="auto"/>
              </w:rPr>
              <w:t>64.6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Public Sector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tcPr>
          <w:p>
            <w:pPr>
              <w:ind w:left="4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51.1</w:t>
            </w:r>
          </w:p>
        </w:tc>
        <w:tc>
          <w:tcPr>
            <w:tcW w:w="20" w:type="dxa"/>
            <w:vAlign w:val="bottom"/>
            <w:tcBorders>
              <w:bottom w:val="single" w:sz="8" w:color="auto"/>
            </w:tcBorders>
          </w:tcPr>
          <w:p>
            <w:pPr>
              <w:spacing w:after="0"/>
              <w:rPr>
                <w:sz w:val="19"/>
                <w:szCs w:val="19"/>
                <w:color w:val="auto"/>
              </w:rPr>
            </w:pPr>
          </w:p>
        </w:tc>
        <w:tc>
          <w:tcPr>
            <w:tcW w:w="16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12.3%</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660" w:type="dxa"/>
            <w:vAlign w:val="bottom"/>
            <w:gridSpan w:val="3"/>
          </w:tcPr>
          <w:p>
            <w:pPr>
              <w:jc w:val="right"/>
              <w:ind w:right="440"/>
              <w:spacing w:after="0"/>
              <w:rPr>
                <w:sz w:val="20"/>
                <w:szCs w:val="20"/>
                <w:color w:val="auto"/>
              </w:rPr>
            </w:pPr>
            <w:r>
              <w:rPr>
                <w:rFonts w:ascii="Arial" w:cs="Arial" w:eastAsia="Arial" w:hAnsi="Arial"/>
                <w:sz w:val="18"/>
                <w:szCs w:val="18"/>
                <w:color w:val="auto"/>
              </w:rPr>
              <w:t>11.3%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for the third quarter of 2006 increased compared to the third quarter of 2005, as explained by the following:</w:t>
      </w:r>
    </w:p>
    <w:p>
      <w:pPr>
        <w:spacing w:after="0" w:line="90" w:lineRule="exact"/>
        <w:rPr>
          <w:sz w:val="20"/>
          <w:szCs w:val="20"/>
          <w:color w:val="auto"/>
        </w:rPr>
      </w:pPr>
    </w:p>
    <w:p>
      <w:pPr>
        <w:ind w:left="780" w:hanging="326"/>
        <w:spacing w:after="0" w:line="314" w:lineRule="auto"/>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Net sales for our SMB segment benefited from an increase in sales representatives in the third quarter of 2006. Sales representatives for our SMB segment totaled 483 at September 30, 2006, compared to 410 at September 30, 2005, and as a result, corporate outbound sales increased 7% year over year in the third quarter of 2006. Sales growth was limited by level consumer sales, as increased internet consumer sales were largely offset by a decrease in inbound telephone sales. These changes reflect a reduction in the number of catalogs we distributed and an increased focus on more diverse marketing strategies and programs designed to reach our business customers. Average annualized sales productivity decreased by 4% compared to the third quarter of 2005 in the SMB segment, primarily due to the additional number of new hires added at our recently opened Texas call center.</w:t>
      </w:r>
    </w:p>
    <w:p>
      <w:pPr>
        <w:spacing w:after="0" w:line="23" w:lineRule="exact"/>
        <w:rPr>
          <w:rFonts w:ascii="Arial" w:cs="Arial" w:eastAsia="Arial" w:hAnsi="Arial"/>
          <w:sz w:val="15"/>
          <w:szCs w:val="15"/>
          <w:color w:val="auto"/>
        </w:rPr>
      </w:pPr>
    </w:p>
    <w:p>
      <w:pPr>
        <w:ind w:left="780" w:right="180" w:hanging="326"/>
        <w:spacing w:after="0" w:line="256"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sales for our Large Account segment in the third quarter of 2006 increased due to organic growth and the inclusion of sales generated by former Amherst sales representatives. Average annualized sales productivity increased 12% compared to the third quarter of 2005 as its sales representatives increased revenues from existing customers and added new customers. Sales representatives for our Large Account segment totaled 87 at September 30, 2006, an increase from 70 at September 30, 2005.</w:t>
      </w:r>
    </w:p>
    <w:p>
      <w:pPr>
        <w:spacing w:after="0" w:line="62" w:lineRule="exact"/>
        <w:rPr>
          <w:rFonts w:ascii="Arial" w:cs="Arial" w:eastAsia="Arial" w:hAnsi="Arial"/>
          <w:sz w:val="18"/>
          <w:szCs w:val="18"/>
          <w:color w:val="auto"/>
        </w:rPr>
      </w:pPr>
    </w:p>
    <w:p>
      <w:pPr>
        <w:ind w:left="780" w:right="20" w:hanging="326"/>
        <w:spacing w:after="0" w:line="335" w:lineRule="auto"/>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Net sales for our Public Sector segment in the third quarter of 2006 decreased compared to the third quarter of 2005 as management focused on higher-margin sales opportunities during the third quarter of 2006. Average annualized sales productivity decreased by 8% compared to the third quarter of 2005. Sales representatives for our Public Sector segment totaled 108 at September 30, 2006, an increase from 105 at September 30, 2005.</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for the third quarter of 2006 increased compared to the third quarter of 2005 in both dollars and as a percentage of sales, in all three segments,</w:t>
      </w:r>
      <w:r>
        <w:rPr>
          <w:rFonts w:ascii="Arial" w:cs="Arial" w:eastAsia="Arial" w:hAnsi="Arial"/>
          <w:sz w:val="18"/>
          <w:szCs w:val="18"/>
          <w:i w:val="1"/>
          <w:iCs w:val="1"/>
          <w:color w:val="auto"/>
        </w:rPr>
        <w:t xml:space="preserve"> </w:t>
      </w:r>
      <w:r>
        <w:rPr>
          <w:rFonts w:ascii="Arial" w:cs="Arial" w:eastAsia="Arial" w:hAnsi="Arial"/>
          <w:sz w:val="18"/>
          <w:szCs w:val="18"/>
          <w:color w:val="auto"/>
        </w:rPr>
        <w:t>as explained by the following:</w:t>
      </w:r>
    </w:p>
    <w:p>
      <w:pPr>
        <w:spacing w:after="0" w:line="51" w:lineRule="exact"/>
        <w:rPr>
          <w:sz w:val="20"/>
          <w:szCs w:val="20"/>
          <w:color w:val="auto"/>
        </w:rPr>
      </w:pPr>
    </w:p>
    <w:p>
      <w:pPr>
        <w:ind w:left="780" w:hanging="326"/>
        <w:spacing w:after="0" w:line="298"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Gross profit for our SMB segment increased in the third quarter of 2006 compared to the third quarter of 2005 due to increases in both sales and gross profit margins. Gross profit margins benefited from increased focus on achieving higher customer invoice margins and increased vendor consideration recorded as an offset to cost of sales. Growth in services revenue, although still a relatively small component compared to product sales for this segment, also improved gross profit margins in the third quarter of 2006 compared to the third quarter of 2005.</w:t>
      </w:r>
    </w:p>
    <w:p>
      <w:pPr>
        <w:spacing w:after="0" w:line="31" w:lineRule="exact"/>
        <w:rPr>
          <w:rFonts w:ascii="Arial" w:cs="Arial" w:eastAsia="Arial" w:hAnsi="Arial"/>
          <w:sz w:val="16"/>
          <w:szCs w:val="16"/>
          <w:color w:val="auto"/>
        </w:rPr>
      </w:pPr>
    </w:p>
    <w:p>
      <w:pPr>
        <w:ind w:left="780" w:right="120" w:hanging="326"/>
        <w:spacing w:after="0" w:line="25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profit for our Large Account segment in the third quarter of 2006 increased by 65% compared to the third quarter of 2005, due to a substantial increase in both sales and gross profit margins. Gross profit margins increased compared to the third quarter of 2005 by 158 basis points as a percentage of sales due to increased vendor consideration and net software agency sales.</w:t>
      </w:r>
    </w:p>
    <w:p>
      <w:pPr>
        <w:spacing w:after="0" w:line="59" w:lineRule="exact"/>
        <w:rPr>
          <w:rFonts w:ascii="Arial" w:cs="Arial" w:eastAsia="Arial" w:hAnsi="Arial"/>
          <w:sz w:val="18"/>
          <w:szCs w:val="18"/>
          <w:color w:val="auto"/>
        </w:rPr>
      </w:pPr>
    </w:p>
    <w:p>
      <w:pPr>
        <w:ind w:left="780" w:right="200" w:hanging="326"/>
        <w:spacing w:after="0" w:line="370" w:lineRule="auto"/>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Gross profit for our Public Sector segment in the third quarter of 2006 increased compared to the third quarter of 2005 despite the decrease in sales, due to increased focus on achieving higher customer invoice margins and increased vendor consideration recorded as an offset to cost of sales.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Selling, general and administrative expenses </w:t>
      </w:r>
      <w:r>
        <w:rPr>
          <w:rFonts w:ascii="Arial" w:cs="Arial" w:eastAsia="Arial" w:hAnsi="Arial"/>
          <w:sz w:val="15"/>
          <w:szCs w:val="15"/>
          <w:color w:val="auto"/>
        </w:rPr>
        <w:t>in the third quarter of 2006 increased in dollars and as a percentage of sales compared to the third quarter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2005.</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SG&amp;A expenses attributable to our operating segments are summarized below (dollars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8"/>
          </w:tcPr>
          <w:p>
            <w:pPr>
              <w:jc w:val="right"/>
              <w:ind w:right="1040"/>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2006</w:t>
            </w:r>
          </w:p>
        </w:tc>
        <w:tc>
          <w:tcPr>
            <w:tcW w:w="54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2005</w:t>
            </w:r>
          </w:p>
        </w:tc>
        <w:tc>
          <w:tcPr>
            <w:tcW w:w="54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 of Net</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 of Net</w:t>
            </w:r>
          </w:p>
        </w:tc>
        <w:tc>
          <w:tcPr>
            <w:tcW w:w="660" w:type="dxa"/>
            <w:vAlign w:val="bottom"/>
          </w:tcPr>
          <w:p>
            <w:pPr>
              <w:spacing w:after="0"/>
              <w:rPr>
                <w:sz w:val="11"/>
                <w:szCs w:val="11"/>
                <w:color w:val="auto"/>
              </w:rPr>
            </w:pPr>
          </w:p>
        </w:tc>
        <w:tc>
          <w:tcPr>
            <w:tcW w:w="460" w:type="dxa"/>
            <w:vAlign w:val="bottom"/>
          </w:tcPr>
          <w:p>
            <w:pPr>
              <w:ind w:left="160"/>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Amount</w:t>
            </w:r>
          </w:p>
        </w:tc>
        <w:tc>
          <w:tcPr>
            <w:tcW w:w="600" w:type="dxa"/>
            <w:vAlign w:val="bottom"/>
          </w:tcPr>
          <w:p>
            <w:pPr>
              <w:spacing w:after="0"/>
              <w:rPr>
                <w:sz w:val="15"/>
                <w:szCs w:val="15"/>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Sales</w:t>
            </w:r>
          </w:p>
        </w:tc>
        <w:tc>
          <w:tcPr>
            <w:tcW w:w="700" w:type="dxa"/>
            <w:vAlign w:val="bottom"/>
          </w:tcPr>
          <w:p>
            <w:pPr>
              <w:spacing w:after="0"/>
              <w:rPr>
                <w:sz w:val="15"/>
                <w:szCs w:val="15"/>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Sales</w:t>
            </w:r>
          </w:p>
        </w:tc>
        <w:tc>
          <w:tcPr>
            <w:tcW w:w="660" w:type="dxa"/>
            <w:vAlign w:val="bottom"/>
          </w:tcPr>
          <w:p>
            <w:pPr>
              <w:spacing w:after="0"/>
              <w:rPr>
                <w:sz w:val="15"/>
                <w:szCs w:val="15"/>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SMB</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27.2</w:t>
            </w:r>
          </w:p>
        </w:tc>
        <w:tc>
          <w:tcPr>
            <w:tcW w:w="18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12.3%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24.3</w:t>
            </w: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11.9%</w:t>
            </w: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2"/>
              </w:rPr>
              <w:t>11.9%</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Large Account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6.0</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660" w:type="dxa"/>
            <w:vAlign w:val="bottom"/>
          </w:tcPr>
          <w:p>
            <w:pPr>
              <w:spacing w:after="0"/>
              <w:rPr>
                <w:sz w:val="18"/>
                <w:szCs w:val="18"/>
                <w:color w:val="auto"/>
              </w:rPr>
            </w:pPr>
          </w:p>
        </w:tc>
        <w:tc>
          <w:tcPr>
            <w:tcW w:w="460" w:type="dxa"/>
            <w:vAlign w:val="bottom"/>
          </w:tcPr>
          <w:p>
            <w:pPr>
              <w:ind w:left="140"/>
              <w:spacing w:after="0"/>
              <w:rPr>
                <w:sz w:val="20"/>
                <w:szCs w:val="20"/>
                <w:color w:val="auto"/>
              </w:rPr>
            </w:pPr>
            <w:r>
              <w:rPr>
                <w:rFonts w:ascii="Arial" w:cs="Arial" w:eastAsia="Arial" w:hAnsi="Arial"/>
                <w:sz w:val="18"/>
                <w:szCs w:val="18"/>
                <w:color w:val="auto"/>
                <w:w w:val="85"/>
              </w:rPr>
              <w:t>74.4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Public Sector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18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11.6</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40" w:type="dxa"/>
            <w:vAlign w:val="bottom"/>
            <w:gridSpan w:val="3"/>
            <w:vMerge w:val="restart"/>
          </w:tcPr>
          <w:p>
            <w:pPr>
              <w:jc w:val="right"/>
              <w:ind w:right="520"/>
              <w:spacing w:after="0"/>
              <w:rPr>
                <w:sz w:val="20"/>
                <w:szCs w:val="20"/>
                <w:color w:val="auto"/>
              </w:rPr>
            </w:pPr>
            <w:r>
              <w:rPr>
                <w:rFonts w:ascii="Arial" w:cs="Arial" w:eastAsia="Arial" w:hAnsi="Arial"/>
                <w:sz w:val="18"/>
                <w:szCs w:val="18"/>
                <w:b w:val="1"/>
                <w:bCs w:val="1"/>
                <w:color w:val="auto"/>
              </w:rPr>
              <w:t>10.4%</w:t>
            </w: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3"/>
            <w:vMerge w:val="restart"/>
          </w:tcPr>
          <w:p>
            <w:pPr>
              <w:jc w:val="right"/>
              <w:ind w:right="520"/>
              <w:spacing w:after="0"/>
              <w:rPr>
                <w:sz w:val="20"/>
                <w:szCs w:val="20"/>
                <w:color w:val="auto"/>
              </w:rPr>
            </w:pPr>
            <w:r>
              <w:rPr>
                <w:rFonts w:ascii="Arial" w:cs="Arial" w:eastAsia="Arial" w:hAnsi="Arial"/>
                <w:sz w:val="18"/>
                <w:szCs w:val="18"/>
                <w:color w:val="auto"/>
              </w:rPr>
              <w:t>10.1%</w:t>
            </w:r>
          </w:p>
        </w:tc>
        <w:tc>
          <w:tcPr>
            <w:tcW w:w="600" w:type="dxa"/>
            <w:vAlign w:val="bottom"/>
            <w:gridSpan w:val="2"/>
            <w:vMerge w:val="restart"/>
          </w:tcPr>
          <w:p>
            <w:pPr>
              <w:ind w:left="140"/>
              <w:spacing w:after="0"/>
              <w:rPr>
                <w:sz w:val="20"/>
                <w:szCs w:val="20"/>
                <w:color w:val="auto"/>
              </w:rPr>
            </w:pPr>
            <w:r>
              <w:rPr>
                <w:rFonts w:ascii="Arial" w:cs="Arial" w:eastAsia="Arial" w:hAnsi="Arial"/>
                <w:sz w:val="18"/>
                <w:szCs w:val="18"/>
                <w:color w:val="auto"/>
                <w:w w:val="86"/>
              </w:rPr>
              <w:t>15.5%</w:t>
            </w:r>
          </w:p>
        </w:tc>
        <w:tc>
          <w:tcPr>
            <w:tcW w:w="0" w:type="dxa"/>
            <w:vAlign w:val="bottom"/>
          </w:tcPr>
          <w:p>
            <w:pPr>
              <w:spacing w:after="0" w:line="20" w:lineRule="exact"/>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96"/>
              </w:rPr>
              <w:t>43.3</w:t>
            </w:r>
          </w:p>
        </w:tc>
        <w:tc>
          <w:tcPr>
            <w:tcW w:w="1840" w:type="dxa"/>
            <w:vAlign w:val="bottom"/>
            <w:gridSpan w:val="3"/>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37.5</w:t>
            </w:r>
          </w:p>
        </w:tc>
        <w:tc>
          <w:tcPr>
            <w:tcW w:w="1720" w:type="dxa"/>
            <w:vAlign w:val="bottom"/>
            <w:gridSpan w:val="3"/>
            <w:vMerge w:val="continue"/>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780" w:right="20" w:hanging="326"/>
        <w:spacing w:after="0" w:line="25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SG&amp;A expenses for our SMB segment in the third quarter of 2006 increased compared to the third quarter of 2005 and were higher as a percentage of net sales compared to the third quarter of 2005, primarily due to increased variable compensation associated with higher gross profits, as well as incremental expenses associated with our new call center in Texas.</w:t>
      </w:r>
    </w:p>
    <w:p>
      <w:pPr>
        <w:spacing w:after="0" w:line="59" w:lineRule="exact"/>
        <w:rPr>
          <w:rFonts w:ascii="Arial" w:cs="Arial" w:eastAsia="Arial" w:hAnsi="Arial"/>
          <w:sz w:val="18"/>
          <w:szCs w:val="18"/>
          <w:color w:val="auto"/>
        </w:rPr>
      </w:pPr>
    </w:p>
    <w:p>
      <w:pPr>
        <w:ind w:left="780" w:right="160" w:hanging="326"/>
        <w:spacing w:after="0" w:line="306"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SG&amp;A expenses for our Large Account segment in the third quarter of 2006 increased compared to the third quarter of 2005 in both dollars and as a percentage of net sales. These increases resulted largely from additional sales and service representatives added from our Amherst transaction. Incremental variable compensation associated with higher gross profits also increased operating expense dollars for this segment.</w:t>
      </w:r>
    </w:p>
    <w:p>
      <w:pPr>
        <w:spacing w:after="0" w:line="25" w:lineRule="exact"/>
        <w:rPr>
          <w:rFonts w:ascii="Arial" w:cs="Arial" w:eastAsia="Arial" w:hAnsi="Arial"/>
          <w:sz w:val="16"/>
          <w:szCs w:val="16"/>
          <w:color w:val="auto"/>
        </w:rPr>
      </w:pPr>
    </w:p>
    <w:p>
      <w:pPr>
        <w:ind w:left="780" w:right="4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SG&amp;A expenses for our Public Sector segment in the third quarter of 2006 were comparable to the third quarter of 2005 but increased as a percentage of net sales due to a decline in sales.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45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the three months ended September 30, 2006, we recorded a charge of $1.1 million related to our tentative settlement with the DOJ on our 2003 GSA audit matter. See Note 8—“Commitments and Contingencies” for further discussion of this matter. There were no other significant changes in estimates in any of the periods presented. A roll forward of liabilities related to special charges is shown below (in thousands of dollars). The beginning balance related to the DOJ settlement liability includes $1.1 million recorded in prior periods as a component of cost of sales.</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Workforce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6"/>
              <w:spacing w:after="0"/>
              <w:rPr>
                <w:sz w:val="20"/>
                <w:szCs w:val="20"/>
                <w:color w:val="auto"/>
              </w:rPr>
            </w:pPr>
            <w:r>
              <w:rPr>
                <w:rFonts w:ascii="Arial" w:cs="Arial" w:eastAsia="Arial" w:hAnsi="Arial"/>
                <w:sz w:val="14"/>
                <w:szCs w:val="14"/>
                <w:b w:val="1"/>
                <w:bCs w:val="1"/>
                <w:color w:val="auto"/>
              </w:rPr>
              <w:t>DOJ</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3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Reductions</w:t>
            </w:r>
          </w:p>
        </w:tc>
        <w:tc>
          <w:tcPr>
            <w:tcW w:w="3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Settlement</w:t>
            </w:r>
          </w:p>
        </w:tc>
        <w:tc>
          <w:tcPr>
            <w:tcW w:w="68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2006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440"/>
              <w:spacing w:after="0"/>
              <w:rPr>
                <w:sz w:val="20"/>
                <w:szCs w:val="20"/>
                <w:color w:val="auto"/>
              </w:rPr>
            </w:pPr>
            <w:r>
              <w:rPr>
                <w:rFonts w:ascii="Arial" w:cs="Arial" w:eastAsia="Arial" w:hAnsi="Arial"/>
                <w:sz w:val="18"/>
                <w:szCs w:val="18"/>
                <w:color w:val="auto"/>
              </w:rPr>
              <w:t>Charges</w:t>
            </w:r>
          </w:p>
        </w:tc>
        <w:tc>
          <w:tcPr>
            <w:tcW w:w="20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1,050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payments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rPr>
              <w:t>Liabilities at September 30, 2006</w:t>
            </w: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6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348</w:t>
            </w:r>
          </w:p>
        </w:tc>
        <w:tc>
          <w:tcPr>
            <w:tcW w:w="3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2,550</w:t>
            </w:r>
          </w:p>
        </w:tc>
        <w:tc>
          <w:tcPr>
            <w:tcW w:w="1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We recorded special charges of $0.9 million related to management restructuring charges classified as workforce reductions, in the three months ended September 30, 2005. Liabilities are included in accrued expenses and other liabilities on the balance sheet and are expected to be paid within a six month period.</w:t>
      </w:r>
    </w:p>
    <w:p>
      <w:pPr>
        <w:spacing w:after="0" w:line="6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for the third quarter of 2006 increased by $3.1 million to $6.8 million from $3.7 million compared to the third quarter of 2005.</w:t>
      </w:r>
      <w:r>
        <w:rPr>
          <w:rFonts w:ascii="Arial" w:cs="Arial" w:eastAsia="Arial" w:hAnsi="Arial"/>
          <w:sz w:val="18"/>
          <w:szCs w:val="18"/>
          <w:i w:val="1"/>
          <w:iCs w:val="1"/>
          <w:color w:val="auto"/>
        </w:rPr>
        <w:t xml:space="preserve"> </w:t>
      </w:r>
      <w:r>
        <w:rPr>
          <w:rFonts w:ascii="Arial" w:cs="Arial" w:eastAsia="Arial" w:hAnsi="Arial"/>
          <w:sz w:val="18"/>
          <w:szCs w:val="18"/>
          <w:color w:val="auto"/>
        </w:rPr>
        <w:t>Income from operations as a percentage of net sales increased to 1.6% for the third quarter of 2006 compared to 1.0% for the third quarter of 2005. This increase was attributable primarily to the increases in net sales and gross margin as discussed above.</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for the third quarter of 2006 increased due to higher average borrowings outstanding and increased interest rates in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2006 as compared to the third quarter of 2005.</w:t>
      </w:r>
    </w:p>
    <w:p>
      <w:pPr>
        <w:spacing w:after="0" w:line="132"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Our effective tax rate was 31.9% for the third quarter of 2006 and 43.9% for the third quarter of 2005. The decrease in the 2006 tax rate was caused by certain changes in our operations in the third quarter of 2006 which allowed us to adopt a consolidated tax filing status in certain states. We realized approximately $350 in reduced taxes during the third quarter of 2006 as a result of this change being effective for the entire 2006 year.</w:t>
      </w:r>
    </w:p>
    <w:p>
      <w:pPr>
        <w:spacing w:after="0" w:line="10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for the third quarter of 2006 increased to $4.4 million compared to $1.9 million for the third quarter of 2005, principally as a result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income from operations.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Nine Months Ended September 30, 2006 Compared to Nine Months Ended September 30, 2005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net sales and gross profit by business segment are shown in the following table (dollars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8"/>
          </w:tcPr>
          <w:p>
            <w:pPr>
              <w:jc w:val="right"/>
              <w:ind w:right="1080"/>
              <w:spacing w:after="0"/>
              <w:rPr>
                <w:sz w:val="20"/>
                <w:szCs w:val="20"/>
                <w:color w:val="auto"/>
              </w:rPr>
            </w:pPr>
            <w:r>
              <w:rPr>
                <w:rFonts w:ascii="Arial" w:cs="Arial" w:eastAsia="Arial" w:hAnsi="Arial"/>
                <w:sz w:val="14"/>
                <w:szCs w:val="14"/>
                <w:b w:val="1"/>
                <w:bCs w:val="1"/>
                <w:color w:val="auto"/>
              </w:rPr>
              <w:t>Nine Months Ended September 30,</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2006</w:t>
            </w:r>
          </w:p>
        </w:tc>
        <w:tc>
          <w:tcPr>
            <w:tcW w:w="520" w:type="dxa"/>
            <w:vAlign w:val="bottom"/>
            <w:tcBorders>
              <w:bottom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2005</w:t>
            </w:r>
          </w:p>
        </w:tc>
        <w:tc>
          <w:tcPr>
            <w:tcW w:w="520" w:type="dxa"/>
            <w:vAlign w:val="bottom"/>
            <w:tcBorders>
              <w:bottom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3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 of Net</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 of Net</w:t>
            </w:r>
          </w:p>
        </w:tc>
        <w:tc>
          <w:tcPr>
            <w:tcW w:w="600" w:type="dxa"/>
            <w:vAlign w:val="bottom"/>
          </w:tcPr>
          <w:p>
            <w:pPr>
              <w:spacing w:after="0"/>
              <w:rPr>
                <w:sz w:val="11"/>
                <w:szCs w:val="11"/>
                <w:color w:val="auto"/>
              </w:rPr>
            </w:pPr>
          </w:p>
        </w:tc>
        <w:tc>
          <w:tcPr>
            <w:tcW w:w="46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8"/>
              </w:rPr>
              <w:t>Amount</w:t>
            </w:r>
          </w:p>
        </w:tc>
        <w:tc>
          <w:tcPr>
            <w:tcW w:w="520" w:type="dxa"/>
            <w:vAlign w:val="bottom"/>
          </w:tcPr>
          <w:p>
            <w:pPr>
              <w:spacing w:after="0"/>
              <w:rPr>
                <w:sz w:val="15"/>
                <w:szCs w:val="15"/>
                <w:color w:val="auto"/>
              </w:rPr>
            </w:pPr>
          </w:p>
        </w:tc>
        <w:tc>
          <w:tcPr>
            <w:tcW w:w="11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Sales</w:t>
            </w:r>
          </w:p>
        </w:tc>
        <w:tc>
          <w:tcPr>
            <w:tcW w:w="66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520" w:type="dxa"/>
            <w:vAlign w:val="bottom"/>
          </w:tcPr>
          <w:p>
            <w:pPr>
              <w:spacing w:after="0"/>
              <w:rPr>
                <w:sz w:val="15"/>
                <w:szCs w:val="15"/>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Sales</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9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440"/>
              <w:spacing w:after="0"/>
              <w:rPr>
                <w:sz w:val="20"/>
                <w:szCs w:val="20"/>
                <w:color w:val="auto"/>
              </w:rPr>
            </w:pPr>
            <w:r>
              <w:rPr>
                <w:rFonts w:ascii="Arial" w:cs="Arial" w:eastAsia="Arial" w:hAnsi="Arial"/>
                <w:sz w:val="18"/>
                <w:szCs w:val="18"/>
                <w:color w:val="auto"/>
              </w:rPr>
              <w:t>SMB</w:t>
            </w:r>
          </w:p>
        </w:tc>
        <w:tc>
          <w:tcPr>
            <w:tcW w:w="20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655.6</w:t>
            </w:r>
          </w:p>
        </w:tc>
        <w:tc>
          <w:tcPr>
            <w:tcW w:w="168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54.5%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611.1</w:t>
            </w:r>
          </w:p>
        </w:tc>
        <w:tc>
          <w:tcPr>
            <w:tcW w:w="1640" w:type="dxa"/>
            <w:vAlign w:val="bottom"/>
            <w:gridSpan w:val="3"/>
          </w:tcPr>
          <w:p>
            <w:pPr>
              <w:jc w:val="right"/>
              <w:ind w:right="460"/>
              <w:spacing w:after="0"/>
              <w:rPr>
                <w:sz w:val="20"/>
                <w:szCs w:val="20"/>
                <w:color w:val="auto"/>
              </w:rPr>
            </w:pPr>
            <w:r>
              <w:rPr>
                <w:rFonts w:ascii="Arial" w:cs="Arial" w:eastAsia="Arial" w:hAnsi="Arial"/>
                <w:sz w:val="18"/>
                <w:szCs w:val="18"/>
                <w:color w:val="auto"/>
              </w:rPr>
              <w:t>58.4%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Large Account</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350.4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29.1</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440"/>
              <w:spacing w:after="0"/>
              <w:rPr>
                <w:sz w:val="20"/>
                <w:szCs w:val="20"/>
                <w:color w:val="auto"/>
              </w:rPr>
            </w:pPr>
            <w:r>
              <w:rPr>
                <w:rFonts w:ascii="Arial" w:cs="Arial" w:eastAsia="Arial" w:hAnsi="Arial"/>
                <w:sz w:val="18"/>
                <w:szCs w:val="18"/>
                <w:color w:val="auto"/>
              </w:rPr>
              <w:t>Public Sector</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197.8</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16.4</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199.4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6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3"/>
              </w:rPr>
              <w:t>1,203.8</w:t>
            </w:r>
          </w:p>
        </w:tc>
        <w:tc>
          <w:tcPr>
            <w:tcW w:w="16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1,045.7</w:t>
            </w: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20" w:type="dxa"/>
            <w:vAlign w:val="bottom"/>
            <w:vMerge w:val="continue"/>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SMB</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88.5</w:t>
            </w:r>
          </w:p>
        </w:tc>
        <w:tc>
          <w:tcPr>
            <w:tcW w:w="16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76.4</w:t>
            </w:r>
          </w:p>
        </w:tc>
        <w:tc>
          <w:tcPr>
            <w:tcW w:w="16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3320" w:type="dxa"/>
            <w:vAlign w:val="bottom"/>
          </w:tcPr>
          <w:p>
            <w:pPr>
              <w:ind w:left="440"/>
              <w:spacing w:after="0"/>
              <w:rPr>
                <w:sz w:val="20"/>
                <w:szCs w:val="20"/>
                <w:color w:val="auto"/>
              </w:rPr>
            </w:pPr>
            <w:r>
              <w:rPr>
                <w:rFonts w:ascii="Arial" w:cs="Arial" w:eastAsia="Arial" w:hAnsi="Arial"/>
                <w:sz w:val="18"/>
                <w:szCs w:val="18"/>
                <w:color w:val="auto"/>
              </w:rPr>
              <w:t>Large Account</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38.1</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10.9</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24.1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Public Sector</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21.7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440"/>
              <w:spacing w:after="0"/>
              <w:rPr>
                <w:sz w:val="20"/>
                <w:szCs w:val="20"/>
                <w:color w:val="auto"/>
              </w:rPr>
            </w:pPr>
            <w:r>
              <w:rPr>
                <w:rFonts w:ascii="Arial" w:cs="Arial" w:eastAsia="Arial" w:hAnsi="Arial"/>
                <w:sz w:val="18"/>
                <w:szCs w:val="18"/>
                <w:color w:val="auto"/>
              </w:rPr>
              <w:t>Total</w:t>
            </w:r>
          </w:p>
        </w:tc>
        <w:tc>
          <w:tcPr>
            <w:tcW w:w="19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148.3</w:t>
            </w:r>
          </w:p>
        </w:tc>
        <w:tc>
          <w:tcPr>
            <w:tcW w:w="40" w:type="dxa"/>
            <w:vAlign w:val="bottom"/>
          </w:tcPr>
          <w:p>
            <w:pPr>
              <w:spacing w:after="0"/>
              <w:rPr>
                <w:sz w:val="19"/>
                <w:szCs w:val="19"/>
                <w:color w:val="auto"/>
              </w:rPr>
            </w:pPr>
          </w:p>
        </w:tc>
        <w:tc>
          <w:tcPr>
            <w:tcW w:w="168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12.3%</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40" w:type="dxa"/>
            <w:vAlign w:val="bottom"/>
          </w:tcPr>
          <w:p>
            <w:pPr>
              <w:spacing w:after="0"/>
              <w:rPr>
                <w:sz w:val="19"/>
                <w:szCs w:val="19"/>
                <w:color w:val="auto"/>
              </w:rPr>
            </w:pPr>
          </w:p>
        </w:tc>
        <w:tc>
          <w:tcPr>
            <w:tcW w:w="1640" w:type="dxa"/>
            <w:vAlign w:val="bottom"/>
            <w:gridSpan w:val="3"/>
          </w:tcPr>
          <w:p>
            <w:pPr>
              <w:jc w:val="right"/>
              <w:ind w:right="460"/>
              <w:spacing w:after="0"/>
              <w:rPr>
                <w:sz w:val="20"/>
                <w:szCs w:val="20"/>
                <w:color w:val="auto"/>
              </w:rPr>
            </w:pPr>
            <w:r>
              <w:rPr>
                <w:rFonts w:ascii="Arial" w:cs="Arial" w:eastAsia="Arial" w:hAnsi="Arial"/>
                <w:sz w:val="18"/>
                <w:szCs w:val="18"/>
                <w:color w:val="auto"/>
              </w:rPr>
              <w:t>11.5%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320" w:type="dxa"/>
            <w:vAlign w:val="bottom"/>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for the nine months ended September 30, 2006 increased compared to the nine months ended September 30, 2005, in two of our three segments,</w:t>
      </w:r>
      <w:r>
        <w:rPr>
          <w:rFonts w:ascii="Arial" w:cs="Arial" w:eastAsia="Arial" w:hAnsi="Arial"/>
          <w:sz w:val="18"/>
          <w:szCs w:val="18"/>
          <w:i w:val="1"/>
          <w:iCs w:val="1"/>
          <w:color w:val="auto"/>
        </w:rPr>
        <w:t xml:space="preserve"> </w:t>
      </w:r>
      <w:r>
        <w:rPr>
          <w:rFonts w:ascii="Arial" w:cs="Arial" w:eastAsia="Arial" w:hAnsi="Arial"/>
          <w:sz w:val="18"/>
          <w:szCs w:val="18"/>
          <w:color w:val="auto"/>
        </w:rPr>
        <w:t>as explained by the following:</w:t>
      </w:r>
    </w:p>
    <w:p>
      <w:pPr>
        <w:spacing w:after="0" w:line="51" w:lineRule="exact"/>
        <w:rPr>
          <w:sz w:val="20"/>
          <w:szCs w:val="20"/>
          <w:color w:val="auto"/>
        </w:rPr>
      </w:pPr>
    </w:p>
    <w:p>
      <w:pPr>
        <w:ind w:left="780" w:right="60" w:hanging="326"/>
        <w:spacing w:after="0" w:line="291" w:lineRule="auto"/>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Net sales for our SMB segment benefited from an increase in sales representatives in the nine months ended September 30, 2006 compared to the nine months ended September 30, 2005. Sales representatives for our SMB segment totaled 483 at September 30, 2006, compared to 410 at September 30, 2005, and as a result, corporate outbound sales increased by 10% compared to the nine months ended September 30, 2005. Revenue growth was mitigated year over year by a decline in consumer sales, as decreased inbound telephone sales were partially offset by increased consumer internet sales during the nine months ended September 30, 2006. These changes reflect a reduction in the number of catalogs we distributed and an increased focus on more diverse marketing strategies and programs designed to reach our business customers.</w:t>
      </w:r>
    </w:p>
    <w:p>
      <w:pPr>
        <w:spacing w:after="0" w:line="39" w:lineRule="exact"/>
        <w:rPr>
          <w:rFonts w:ascii="Arial" w:cs="Arial" w:eastAsia="Arial" w:hAnsi="Arial"/>
          <w:sz w:val="16"/>
          <w:szCs w:val="16"/>
          <w:color w:val="auto"/>
        </w:rPr>
      </w:pPr>
    </w:p>
    <w:p>
      <w:pPr>
        <w:ind w:left="780" w:hanging="326"/>
        <w:spacing w:after="0" w:line="294" w:lineRule="auto"/>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Net sales for our Large Account segment during the nine months ended September 30, 2006 increased due to organic growth and the inclusion of sales generated by former Amherst sales representatives. Average annualized sales productivity increased 12%, in the nine months ended September 30, 2006, as strong demand continued from both new and existing customers in the large enterprise market. In addition, being able to offer a greater range of services as a result of our Amherst transaction has also increased product sales in our Large Account business. Sales representatives for this segment totaled 87 at September 30, 2006, an increase from 70 at September 30, 2005.</w:t>
      </w:r>
    </w:p>
    <w:p>
      <w:pPr>
        <w:spacing w:after="0" w:line="34" w:lineRule="exact"/>
        <w:rPr>
          <w:rFonts w:ascii="Arial" w:cs="Arial" w:eastAsia="Arial" w:hAnsi="Arial"/>
          <w:sz w:val="16"/>
          <w:szCs w:val="16"/>
          <w:color w:val="auto"/>
        </w:rPr>
      </w:pPr>
    </w:p>
    <w:p>
      <w:pPr>
        <w:ind w:left="780" w:right="180" w:hanging="326"/>
        <w:spacing w:after="0" w:line="25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sales for our Public Sector segment decreased by 0.8% during the nine months ended September 30, 2006 as average sales productivity declined compared to the nine months ended September 30, 2005 by 8%. Sales representatives for our Public Sector segment totaled 108 at September 30, 2006, an increase from 105 at September 30, 2005.</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for the nine months ended September 30, 2006 increased compared to the nine months ended September 30, 2005 in both dollars and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sales, in all three segments, as explained by the following:</w:t>
      </w:r>
    </w:p>
    <w:p>
      <w:pPr>
        <w:spacing w:after="0" w:line="51" w:lineRule="exact"/>
        <w:rPr>
          <w:sz w:val="20"/>
          <w:szCs w:val="20"/>
          <w:color w:val="auto"/>
        </w:rPr>
      </w:pPr>
    </w:p>
    <w:p>
      <w:pPr>
        <w:ind w:left="780" w:right="320" w:hanging="326"/>
        <w:spacing w:after="0" w:line="306" w:lineRule="auto"/>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Gross profit for our SMB segment during the nine months ended September 30, 2006 increased compared to the nine months ended September 30, 2005 due to increases in both sales and gross profit margins. Gross profit margins as a percentage of sales increased by 100 basis points due to increased focus on achieving higher customer invoice margins and increased vendor consideration recorded as an offset to cost of sales.</w:t>
      </w:r>
    </w:p>
    <w:p>
      <w:pPr>
        <w:spacing w:after="0" w:line="25" w:lineRule="exact"/>
        <w:rPr>
          <w:rFonts w:ascii="Arial" w:cs="Arial" w:eastAsia="Arial" w:hAnsi="Arial"/>
          <w:sz w:val="16"/>
          <w:szCs w:val="16"/>
          <w:color w:val="auto"/>
        </w:rPr>
      </w:pPr>
    </w:p>
    <w:p>
      <w:pPr>
        <w:ind w:left="780" w:right="120" w:hanging="326"/>
        <w:spacing w:after="0" w:line="259"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profit for our Large Account segment during the nine months ended September 30, 2006 increased by 58% compared to the nine months ended September 30, 2005 as large account revenues increased by 49%. Gross profit margins increased by 61 basis points as a percentage of sales due to increased vendor consideration and net software agency fees.</w:t>
      </w:r>
    </w:p>
    <w:p>
      <w:pPr>
        <w:spacing w:after="0" w:line="59" w:lineRule="exact"/>
        <w:rPr>
          <w:rFonts w:ascii="Arial" w:cs="Arial" w:eastAsia="Arial" w:hAnsi="Arial"/>
          <w:sz w:val="18"/>
          <w:szCs w:val="18"/>
          <w:color w:val="auto"/>
        </w:rPr>
      </w:pPr>
    </w:p>
    <w:p>
      <w:pPr>
        <w:ind w:left="780" w:right="320" w:hanging="326"/>
        <w:spacing w:after="0" w:line="256"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profit for our Public Sector segment during the nine months ended September 30, 2006 increased compared to the nine months ended September 30, 2005, despite reduced sales, due to increased gross profit margins. Higher customer invoice margins, increased net agency fees, and increased vendor consideration recorded as an offset to cost of sales contributed to the year-over-year increase in gross profit margins in this nine-month period.</w:t>
      </w:r>
    </w:p>
    <w:p>
      <w:pPr>
        <w:spacing w:after="0" w:line="14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during the nine months ended September 30, 2006 increased in dollars and also as a percentage of sales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nine months ended September 30, 2005.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SG&amp;A expenses attributable to our operating segments are summarized below (dollars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7"/>
          </w:tcPr>
          <w:p>
            <w:pPr>
              <w:jc w:val="right"/>
              <w:ind w:right="940"/>
              <w:spacing w:after="0"/>
              <w:rPr>
                <w:sz w:val="20"/>
                <w:szCs w:val="20"/>
                <w:color w:val="auto"/>
              </w:rPr>
            </w:pPr>
            <w:r>
              <w:rPr>
                <w:rFonts w:ascii="Arial" w:cs="Arial" w:eastAsia="Arial" w:hAnsi="Arial"/>
                <w:sz w:val="14"/>
                <w:szCs w:val="14"/>
                <w:b w:val="1"/>
                <w:bCs w:val="1"/>
                <w:color w:val="auto"/>
              </w:rPr>
              <w:t>Nine Months Ended September 30,</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55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2006</w:t>
            </w:r>
          </w:p>
        </w:tc>
        <w:tc>
          <w:tcPr>
            <w:tcW w:w="52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2005</w:t>
            </w:r>
          </w:p>
        </w:tc>
        <w:tc>
          <w:tcPr>
            <w:tcW w:w="54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29"/>
        </w:trPr>
        <w:tc>
          <w:tcPr>
            <w:tcW w:w="5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 of Net</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 of Net</w:t>
            </w:r>
          </w:p>
        </w:tc>
        <w:tc>
          <w:tcPr>
            <w:tcW w:w="580" w:type="dxa"/>
            <w:vAlign w:val="bottom"/>
          </w:tcPr>
          <w:p>
            <w:pPr>
              <w:spacing w:after="0"/>
              <w:rPr>
                <w:sz w:val="11"/>
                <w:szCs w:val="11"/>
                <w:color w:val="auto"/>
              </w:rPr>
            </w:pPr>
          </w:p>
        </w:tc>
        <w:tc>
          <w:tcPr>
            <w:tcW w:w="460" w:type="dxa"/>
            <w:vAlign w:val="bottom"/>
          </w:tcPr>
          <w:p>
            <w:pPr>
              <w:jc w:val="right"/>
              <w:ind w:right="79"/>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r>
      <w:tr>
        <w:trPr>
          <w:trHeight w:val="175"/>
        </w:trPr>
        <w:tc>
          <w:tcPr>
            <w:tcW w:w="5580" w:type="dxa"/>
            <w:vAlign w:val="bottom"/>
          </w:tcPr>
          <w:p>
            <w:pPr>
              <w:spacing w:after="0"/>
              <w:rPr>
                <w:sz w:val="15"/>
                <w:szCs w:val="15"/>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Amount</w:t>
            </w:r>
          </w:p>
        </w:tc>
        <w:tc>
          <w:tcPr>
            <w:tcW w:w="540" w:type="dxa"/>
            <w:vAlign w:val="bottom"/>
          </w:tcPr>
          <w:p>
            <w:pPr>
              <w:spacing w:after="0"/>
              <w:rPr>
                <w:sz w:val="15"/>
                <w:szCs w:val="15"/>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Sales</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Amount</w:t>
            </w:r>
          </w:p>
        </w:tc>
        <w:tc>
          <w:tcPr>
            <w:tcW w:w="540" w:type="dxa"/>
            <w:vAlign w:val="bottom"/>
          </w:tcPr>
          <w:p>
            <w:pPr>
              <w:spacing w:after="0"/>
              <w:rPr>
                <w:sz w:val="15"/>
                <w:szCs w:val="15"/>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Sales</w:t>
            </w:r>
          </w:p>
        </w:tc>
        <w:tc>
          <w:tcPr>
            <w:tcW w:w="58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5"/>
                <w:szCs w:val="15"/>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SMB</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82.1</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$ 72.2</w:t>
            </w:r>
          </w:p>
        </w:tc>
        <w:tc>
          <w:tcPr>
            <w:tcW w:w="16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Large Account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20.6</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5.9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1660" w:type="dxa"/>
            <w:vAlign w:val="bottom"/>
            <w:gridSpan w:val="3"/>
          </w:tcPr>
          <w:p>
            <w:pPr>
              <w:jc w:val="right"/>
              <w:ind w:right="580"/>
              <w:spacing w:after="0"/>
              <w:rPr>
                <w:sz w:val="20"/>
                <w:szCs w:val="20"/>
                <w:color w:val="auto"/>
              </w:rPr>
            </w:pPr>
            <w:r>
              <w:rPr>
                <w:rFonts w:ascii="Arial" w:cs="Arial" w:eastAsia="Arial" w:hAnsi="Arial"/>
                <w:sz w:val="18"/>
                <w:szCs w:val="18"/>
                <w:color w:val="auto"/>
              </w:rPr>
              <w:t>5.0</w:t>
            </w:r>
          </w:p>
        </w:tc>
        <w:tc>
          <w:tcPr>
            <w:tcW w:w="460" w:type="dxa"/>
            <w:vAlign w:val="bottom"/>
          </w:tcPr>
          <w:p>
            <w:pPr>
              <w:jc w:val="right"/>
              <w:spacing w:after="0"/>
              <w:rPr>
                <w:sz w:val="20"/>
                <w:szCs w:val="20"/>
                <w:color w:val="auto"/>
              </w:rPr>
            </w:pPr>
            <w:r>
              <w:rPr>
                <w:rFonts w:ascii="Arial" w:cs="Arial" w:eastAsia="Arial" w:hAnsi="Arial"/>
                <w:sz w:val="18"/>
                <w:szCs w:val="18"/>
                <w:color w:val="auto"/>
              </w:rPr>
              <w:t>74.6</w:t>
            </w:r>
          </w:p>
        </w:tc>
        <w:tc>
          <w:tcPr>
            <w:tcW w:w="14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Public Sector</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13.7</w:t>
            </w:r>
          </w:p>
        </w:tc>
        <w:tc>
          <w:tcPr>
            <w:tcW w:w="2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6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13.2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r>
      <w:tr>
        <w:trPr>
          <w:trHeight w:val="223"/>
        </w:trPr>
        <w:tc>
          <w:tcPr>
            <w:tcW w:w="5580" w:type="dxa"/>
            <w:vAlign w:val="bottom"/>
          </w:tcPr>
          <w:p>
            <w:pPr>
              <w:ind w:left="44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129.8</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10.8%</w:t>
            </w: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110.3</w:t>
            </w:r>
          </w:p>
        </w:tc>
        <w:tc>
          <w:tcPr>
            <w:tcW w:w="1660" w:type="dxa"/>
            <w:vAlign w:val="bottom"/>
            <w:gridSpan w:val="3"/>
          </w:tcPr>
          <w:p>
            <w:pPr>
              <w:jc w:val="right"/>
              <w:ind w:right="440"/>
              <w:spacing w:after="0"/>
              <w:rPr>
                <w:sz w:val="20"/>
                <w:szCs w:val="20"/>
                <w:color w:val="auto"/>
              </w:rPr>
            </w:pPr>
            <w:r>
              <w:rPr>
                <w:rFonts w:ascii="Arial" w:cs="Arial" w:eastAsia="Arial" w:hAnsi="Arial"/>
                <w:sz w:val="18"/>
                <w:szCs w:val="18"/>
                <w:color w:val="auto"/>
              </w:rPr>
              <w:t>10.6%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17.7%</w:t>
            </w:r>
          </w:p>
        </w:tc>
      </w:tr>
      <w:tr>
        <w:trPr>
          <w:trHeight w:val="20"/>
        </w:trPr>
        <w:tc>
          <w:tcPr>
            <w:tcW w:w="5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86" w:lineRule="exact"/>
        <w:rPr>
          <w:sz w:val="20"/>
          <w:szCs w:val="20"/>
          <w:color w:val="auto"/>
        </w:rPr>
      </w:pPr>
    </w:p>
    <w:p>
      <w:pPr>
        <w:ind w:left="780" w:right="500" w:hanging="326"/>
        <w:spacing w:after="0" w:line="335" w:lineRule="auto"/>
        <w:tabs>
          <w:tab w:leader="none" w:pos="780" w:val="left"/>
        </w:tabs>
        <w:numPr>
          <w:ilvl w:val="0"/>
          <w:numId w:val="9"/>
        </w:numPr>
        <w:rPr>
          <w:rFonts w:ascii="Arial" w:cs="Arial" w:eastAsia="Arial" w:hAnsi="Arial"/>
          <w:sz w:val="15"/>
          <w:szCs w:val="15"/>
          <w:color w:val="auto"/>
        </w:rPr>
      </w:pPr>
      <w:r>
        <w:rPr>
          <w:rFonts w:ascii="Arial" w:cs="Arial" w:eastAsia="Arial" w:hAnsi="Arial"/>
          <w:sz w:val="15"/>
          <w:szCs w:val="15"/>
          <w:color w:val="auto"/>
        </w:rPr>
        <w:t>SG&amp;A expenses for our SMB segment during the nine months ended September 30, 2006 increased and were higher as a percentage of net sales compared to the nine months ended September 30, 2005, primarily due to increased variable compensation associated with higher gross profits, increased investments in sales support systems and sales training, and incremental expenses associated with our new call center in Texas.</w:t>
      </w:r>
    </w:p>
    <w:p>
      <w:pPr>
        <w:spacing w:after="0" w:line="7" w:lineRule="exact"/>
        <w:rPr>
          <w:rFonts w:ascii="Arial" w:cs="Arial" w:eastAsia="Arial" w:hAnsi="Arial"/>
          <w:sz w:val="15"/>
          <w:szCs w:val="15"/>
          <w:color w:val="auto"/>
        </w:rPr>
      </w:pPr>
    </w:p>
    <w:p>
      <w:pPr>
        <w:ind w:left="780" w:right="20" w:hanging="326"/>
        <w:spacing w:after="0" w:line="255"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SG&amp;A expenses for our Large Account segment during the nine months ended September 30, 2006 increased in both dollars and as a percentage of net sales compared to the nine months ended September 30, 2005. These increases resulted largely from the additional sales and service representatives added from our Amherst transaction and increased variable compensation associated with higher gross profits. SG&amp;A expenses for this segment represent the lowest of the three segments as a percentage of net sales, reflecting the nature and efficiency of this segment’s variable cost field sales and drop-shipping operating model.</w:t>
      </w:r>
    </w:p>
    <w:p>
      <w:pPr>
        <w:spacing w:after="0" w:line="61" w:lineRule="exact"/>
        <w:rPr>
          <w:rFonts w:ascii="Arial" w:cs="Arial" w:eastAsia="Arial" w:hAnsi="Arial"/>
          <w:sz w:val="18"/>
          <w:szCs w:val="18"/>
          <w:color w:val="auto"/>
        </w:rPr>
      </w:pPr>
    </w:p>
    <w:p>
      <w:pPr>
        <w:ind w:left="780" w:right="120" w:hanging="326"/>
        <w:spacing w:after="0" w:line="259"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SG&amp;A expenses for our Public Sector segment during the nine months ended September 30, 2006 increased in both dollars and as a percentage of net sales compared to the nine months ended September 30, 2005. Similar to the SMB segment, investments in sales training and support systems impacted operating expenses.</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the nine months ended September 30, 2006, we recorded a charge of $1.5 million related to our tentative settlement with the DOJ on our 2003 GSA audit matter. See Note 8—“Commitments and Contingencies” for further discussion of this matter. We also recorded a charge of $0.4 million related to the temporary retention of certain Amherst facilities and a charge of $0.6 million related to management restructuring costs, classified as workforce reductions in the table below. At the year ended December 31, 2005, we recorded a liability of $0.1 million for a workforce reduction charge, which we reversed in the first quarter of 2006, when a change in circumstances reduced the amount outstanding. A roll forward of liabilities related to special charges is shown below (in thousands of dollars). The beginning balance related to the DOJ settlement liability consists of $1.1 million recorded in prior periods as a component of cost of sales.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Workforce</w:t>
            </w:r>
          </w:p>
        </w:tc>
        <w:tc>
          <w:tcPr>
            <w:tcW w:w="100" w:type="dxa"/>
            <w:vAlign w:val="bottom"/>
          </w:tcPr>
          <w:p>
            <w:pPr>
              <w:spacing w:after="0"/>
              <w:rPr>
                <w:sz w:val="14"/>
                <w:szCs w:val="14"/>
                <w:color w:val="auto"/>
              </w:rPr>
            </w:pPr>
          </w:p>
        </w:tc>
        <w:tc>
          <w:tcPr>
            <w:tcW w:w="13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7"/>
              </w:rPr>
              <w:t>Amherst</w:t>
            </w:r>
          </w:p>
        </w:tc>
        <w:tc>
          <w:tcPr>
            <w:tcW w:w="12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DOJ</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69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81"/>
              </w:rPr>
              <w:t>Reductions</w:t>
            </w:r>
          </w:p>
        </w:tc>
        <w:tc>
          <w:tcPr>
            <w:tcW w:w="64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Technologies</w:t>
            </w:r>
          </w:p>
        </w:tc>
        <w:tc>
          <w:tcPr>
            <w:tcW w:w="12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3"/>
              </w:rPr>
              <w:t>Settlement</w:t>
            </w:r>
          </w:p>
        </w:tc>
        <w:tc>
          <w:tcPr>
            <w:tcW w:w="10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Total</w:t>
            </w:r>
          </w:p>
        </w:tc>
      </w:tr>
      <w:tr>
        <w:trPr>
          <w:trHeight w:val="20"/>
        </w:trPr>
        <w:tc>
          <w:tcPr>
            <w:tcW w:w="6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60" w:type="dxa"/>
            <w:vAlign w:val="bottom"/>
            <w:shd w:val="clear" w:color="auto" w:fill="CCEEFF"/>
          </w:tcPr>
          <w:p>
            <w:pPr>
              <w:spacing w:after="0"/>
              <w:rPr>
                <w:sz w:val="18"/>
                <w:szCs w:val="18"/>
                <w:color w:val="auto"/>
              </w:rPr>
            </w:pPr>
          </w:p>
        </w:tc>
      </w:tr>
      <w:tr>
        <w:trPr>
          <w:trHeight w:val="216"/>
        </w:trPr>
        <w:tc>
          <w:tcPr>
            <w:tcW w:w="6900" w:type="dxa"/>
            <w:vAlign w:val="bottom"/>
          </w:tcPr>
          <w:p>
            <w:pPr>
              <w:ind w:left="440"/>
              <w:spacing w:after="0"/>
              <w:rPr>
                <w:sz w:val="20"/>
                <w:szCs w:val="20"/>
                <w:color w:val="auto"/>
              </w:rPr>
            </w:pPr>
            <w:r>
              <w:rPr>
                <w:rFonts w:ascii="Arial" w:cs="Arial" w:eastAsia="Arial" w:hAnsi="Arial"/>
                <w:sz w:val="18"/>
                <w:szCs w:val="18"/>
                <w:color w:val="auto"/>
              </w:rPr>
              <w:t>Charges</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2,391</w:t>
            </w:r>
          </w:p>
        </w:tc>
        <w:tc>
          <w:tcPr>
            <w:tcW w:w="60" w:type="dxa"/>
            <w:vAlign w:val="bottom"/>
          </w:tcPr>
          <w:p>
            <w:pPr>
              <w:spacing w:after="0"/>
              <w:rPr>
                <w:sz w:val="18"/>
                <w:szCs w:val="18"/>
                <w:color w:val="auto"/>
              </w:rPr>
            </w:pPr>
          </w:p>
        </w:tc>
      </w:tr>
      <w:tr>
        <w:trPr>
          <w:trHeight w:val="216"/>
        </w:trPr>
        <w:tc>
          <w:tcPr>
            <w:tcW w:w="6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payments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4"/>
              </w:rPr>
              <w:t>(1,038)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(1,541)</w:t>
            </w:r>
          </w:p>
        </w:tc>
      </w:tr>
      <w:tr>
        <w:trPr>
          <w:trHeight w:val="222"/>
        </w:trPr>
        <w:tc>
          <w:tcPr>
            <w:tcW w:w="6900" w:type="dxa"/>
            <w:vAlign w:val="bottom"/>
          </w:tcPr>
          <w:p>
            <w:pPr>
              <w:spacing w:after="0"/>
              <w:rPr>
                <w:sz w:val="20"/>
                <w:szCs w:val="20"/>
                <w:color w:val="auto"/>
              </w:rPr>
            </w:pPr>
            <w:r>
              <w:rPr>
                <w:rFonts w:ascii="Arial" w:cs="Arial" w:eastAsia="Arial" w:hAnsi="Arial"/>
                <w:sz w:val="18"/>
                <w:szCs w:val="18"/>
                <w:color w:val="auto"/>
              </w:rPr>
              <w:t>Liabilities at September 30, 2006</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2,550</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1,848</w:t>
            </w:r>
          </w:p>
        </w:tc>
        <w:tc>
          <w:tcPr>
            <w:tcW w:w="6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color w:val="auto"/>
        </w:rPr>
        <w:t>In the nine months ended September 30, 2005, we recorded a charge of $0.9 million related to management restructuring costs classified as workforce reductions. Liabilities are included in accrued expenses and other liabilities on the balance sheet and are expected to be paid within a six month period.</w:t>
      </w:r>
    </w:p>
    <w:p>
      <w:pPr>
        <w:spacing w:after="0" w:line="6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during the nine months ended September 30, 2006 increased by $7.5 million to $16.1 million compared to $8.6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2005. Income from operations as a percentage of net sales increased year over year to 1.3% for the nine months ended September 30, 2006 from</w:t>
      </w:r>
    </w:p>
    <w:p>
      <w:pPr>
        <w:spacing w:after="0"/>
        <w:rPr>
          <w:sz w:val="20"/>
          <w:szCs w:val="20"/>
          <w:color w:val="auto"/>
        </w:rPr>
      </w:pPr>
      <w:r>
        <w:rPr>
          <w:rFonts w:ascii="Arial" w:cs="Arial" w:eastAsia="Arial" w:hAnsi="Arial"/>
          <w:sz w:val="16"/>
          <w:szCs w:val="16"/>
          <w:color w:val="auto"/>
        </w:rPr>
        <w:t>0.8% for the nine months ended September 30, 2005. This increase was attributable to the increases in net sales and gross margin as discussed above.</w:t>
      </w:r>
    </w:p>
    <w:p>
      <w:pPr>
        <w:spacing w:after="0" w:line="1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increased for the nine months ended September 30, 2006 due to higher average borrowings outstanding and increased interest rates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nine months ended September 30, 2005.</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effective tax rate was 37.3% for the nine months ended September 30, 2006 and 43.2% for the nine months ended September 30, 2005. The decrease in the 2006 tax rate was caused by certain changes in our operations in the third quarter of 2006 which allowed us to adopt a consolidated tax filing status in certain states. We realized approximately $350 in reduced taxes in 2006 as a result of this change being effective for the entire 2006 year.</w:t>
      </w:r>
    </w:p>
    <w:p>
      <w:pPr>
        <w:spacing w:after="0" w:line="10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increased for the nine months ended September 30, 2006 to $9.2 million compared to $4.4 million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2005, principally as a result of the increase in income from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primary sources of liquidity have historically been internally generated funds from operations and borrowings under our bank line of credit. We have used those funds to meet our capital requirements, which consist primarily of working capital for operational needs, capital expenditures for computer equipment and software used in our business, and in 2005, our purchase of certain assets of Amherst.</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believe that funds generated from operations, together with available credit under our bank line of credit and inventory trade credit agreements, will be sufficient to finance our working capital, capital expenditure, and other requirements for at least the next twelve months. We expect to meet our cash requirements for the next twelve months through a combination of cash on hand, cash generated from operations and, if necessary, additional borrowings on our bank line of credit, as follows:</w:t>
      </w:r>
    </w:p>
    <w:p>
      <w:pPr>
        <w:spacing w:after="0" w:line="62"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Cash on Hand</w:t>
      </w:r>
      <w:r>
        <w:rPr>
          <w:rFonts w:ascii="Arial" w:cs="Arial" w:eastAsia="Arial" w:hAnsi="Arial"/>
          <w:sz w:val="18"/>
          <w:szCs w:val="18"/>
          <w:color w:val="auto"/>
        </w:rPr>
        <w:t>. At September 30, 2006, we had approximately $11.8 million in unrestricted accounts.</w:t>
      </w:r>
    </w:p>
    <w:p>
      <w:pPr>
        <w:spacing w:after="0" w:line="90" w:lineRule="exact"/>
        <w:rPr>
          <w:rFonts w:ascii="Arial" w:cs="Arial" w:eastAsia="Arial" w:hAnsi="Arial"/>
          <w:sz w:val="18"/>
          <w:szCs w:val="18"/>
          <w:color w:val="auto"/>
        </w:rPr>
      </w:pPr>
    </w:p>
    <w:p>
      <w:pPr>
        <w:ind w:left="780" w:right="300" w:hanging="326"/>
        <w:spacing w:after="0" w:line="259"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Cash Generated from Operations</w:t>
      </w:r>
      <w:r>
        <w:rPr>
          <w:rFonts w:ascii="Arial" w:cs="Arial" w:eastAsia="Arial" w:hAnsi="Arial"/>
          <w:sz w:val="18"/>
          <w:szCs w:val="18"/>
          <w:color w:val="auto"/>
        </w:rPr>
        <w:t>. We expect to generate cash flows from operations in excess of operating cash needs by generating earnings and</w:t>
      </w:r>
      <w:r>
        <w:rPr>
          <w:rFonts w:ascii="Arial" w:cs="Arial" w:eastAsia="Arial" w:hAnsi="Arial"/>
          <w:sz w:val="18"/>
          <w:szCs w:val="18"/>
          <w:i w:val="1"/>
          <w:iCs w:val="1"/>
          <w:color w:val="auto"/>
        </w:rPr>
        <w:t xml:space="preserve"> </w:t>
      </w:r>
      <w:r>
        <w:rPr>
          <w:rFonts w:ascii="Arial" w:cs="Arial" w:eastAsia="Arial" w:hAnsi="Arial"/>
          <w:sz w:val="18"/>
          <w:szCs w:val="18"/>
          <w:color w:val="auto"/>
        </w:rPr>
        <w:t>balancing net changes in inventories and receivables with compensating changes in payables to generate a positive cash flow. Historically, we have consistently generated positive cash flows from operations.</w:t>
      </w:r>
    </w:p>
    <w:p>
      <w:pPr>
        <w:spacing w:after="0" w:line="59" w:lineRule="exact"/>
        <w:rPr>
          <w:rFonts w:ascii="Arial" w:cs="Arial" w:eastAsia="Arial" w:hAnsi="Arial"/>
          <w:sz w:val="18"/>
          <w:szCs w:val="18"/>
          <w:color w:val="auto"/>
        </w:rPr>
      </w:pPr>
    </w:p>
    <w:p>
      <w:pPr>
        <w:ind w:left="780" w:right="60" w:hanging="326"/>
        <w:spacing w:after="0" w:line="259"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Credit Facilities</w:t>
      </w:r>
      <w:r>
        <w:rPr>
          <w:rFonts w:ascii="Arial" w:cs="Arial" w:eastAsia="Arial" w:hAnsi="Arial"/>
          <w:sz w:val="18"/>
          <w:szCs w:val="18"/>
          <w:color w:val="auto"/>
        </w:rPr>
        <w:t>. As of September 30, 2006, we had drawn $7.1 million of our $50.0 million bank line of credit. This line of credit can be increased, at</w:t>
      </w:r>
      <w:r>
        <w:rPr>
          <w:rFonts w:ascii="Arial" w:cs="Arial" w:eastAsia="Arial" w:hAnsi="Arial"/>
          <w:sz w:val="18"/>
          <w:szCs w:val="18"/>
          <w:i w:val="1"/>
          <w:iCs w:val="1"/>
          <w:color w:val="auto"/>
        </w:rPr>
        <w:t xml:space="preserve"> </w:t>
      </w:r>
      <w:r>
        <w:rPr>
          <w:rFonts w:ascii="Arial" w:cs="Arial" w:eastAsia="Arial" w:hAnsi="Arial"/>
          <w:sz w:val="18"/>
          <w:szCs w:val="18"/>
          <w:color w:val="auto"/>
        </w:rPr>
        <w:t>our option, to $70.0 million for approved acquisitions or other uses authorized by the bank. Borrowings are, however, limited by certain minimum collateral and earnings requirements, as described more fully below.</w:t>
      </w:r>
    </w:p>
    <w:p>
      <w:pPr>
        <w:spacing w:after="0" w:line="140"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Our ability to continue funding our planned growth, both internally and externally, is dependent upon our ability to generate sufficient cash flow from operations or to obtain additional funds through equity or debt financing, or from other sources of financing, as may be required. While at this time we do not anticipate needing any additional sources of financing to fund our operations, if demand for information technology products declines, our cash flows from operations may be substantially affected. See also related risks listed below at Item 1A, “Risk Factors.”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Sources and Uses of Cash</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sources and uses of cash over the periods indicated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60" w:type="dxa"/>
            <w:vAlign w:val="bottom"/>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3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49"/>
        </w:trPr>
        <w:tc>
          <w:tcPr>
            <w:tcW w:w="4160" w:type="dxa"/>
            <w:vAlign w:val="bottom"/>
            <w:tcBorders>
              <w:bottom w:val="single" w:sz="8" w:color="auto"/>
            </w:tcBorders>
            <w:vMerge w:val="continue"/>
          </w:tcPr>
          <w:p>
            <w:pPr>
              <w:spacing w:after="0"/>
              <w:rPr>
                <w:sz w:val="12"/>
                <w:szCs w:val="12"/>
                <w:color w:val="auto"/>
              </w:rPr>
            </w:pPr>
          </w:p>
        </w:tc>
        <w:tc>
          <w:tcPr>
            <w:tcW w:w="3080" w:type="dxa"/>
            <w:vAlign w:val="bottom"/>
            <w:tcBorders>
              <w:bottom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2006</w:t>
            </w: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8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19.0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3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provided by financing activities</w:t>
            </w:r>
          </w:p>
        </w:tc>
        <w:tc>
          <w:tcPr>
            <w:tcW w:w="3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3"/>
              </w:rPr>
              <w:t>(10.6)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8"/>
                <w:szCs w:val="18"/>
                <w:color w:val="auto"/>
              </w:rPr>
              <w:t>Increase in cash and cash equivalents</w:t>
            </w:r>
          </w:p>
        </w:tc>
        <w:tc>
          <w:tcPr>
            <w:tcW w:w="3700" w:type="dxa"/>
            <w:vAlign w:val="bottom"/>
            <w:gridSpan w:val="2"/>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60" w:type="dxa"/>
            <w:vAlign w:val="bottom"/>
            <w:vMerge w:val="continue"/>
          </w:tcPr>
          <w:p>
            <w:pPr>
              <w:spacing w:after="0"/>
              <w:rPr>
                <w:sz w:val="19"/>
                <w:szCs w:val="19"/>
                <w:color w:val="auto"/>
              </w:rPr>
            </w:pPr>
          </w:p>
        </w:tc>
        <w:tc>
          <w:tcPr>
            <w:tcW w:w="37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340" w:type="dxa"/>
            <w:vAlign w:val="bottom"/>
            <w:vMerge w:val="continue"/>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080" w:type="dxa"/>
            <w:vAlign w:val="bottom"/>
            <w:vMerge w:val="restart"/>
          </w:tcPr>
          <w:p>
            <w:pPr>
              <w:jc w:val="right"/>
              <w:ind w:right="2272"/>
              <w:spacing w:after="0"/>
              <w:rPr>
                <w:sz w:val="20"/>
                <w:szCs w:val="20"/>
                <w:color w:val="auto"/>
              </w:rPr>
            </w:pPr>
            <w:r>
              <w:rPr>
                <w:rFonts w:ascii="Arial" w:cs="Arial" w:eastAsia="Arial" w:hAnsi="Arial"/>
                <w:sz w:val="18"/>
                <w:szCs w:val="18"/>
                <w:color w:val="auto"/>
              </w:rPr>
              <w:t>27</w:t>
            </w: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16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Cash provided by operating activities </w:t>
      </w:r>
      <w:r>
        <w:rPr>
          <w:rFonts w:ascii="Arial" w:cs="Arial" w:eastAsia="Arial" w:hAnsi="Arial"/>
          <w:sz w:val="16"/>
          <w:szCs w:val="16"/>
          <w:color w:val="auto"/>
        </w:rPr>
        <w:t>increased in the nine months ended September 30, 2006 compared to the nine months ended September 30, 2005.</w:t>
      </w:r>
      <w:r>
        <w:rPr>
          <w:rFonts w:ascii="Arial" w:cs="Arial" w:eastAsia="Arial" w:hAnsi="Arial"/>
          <w:sz w:val="16"/>
          <w:szCs w:val="16"/>
          <w:i w:val="1"/>
          <w:iCs w:val="1"/>
          <w:color w:val="auto"/>
        </w:rPr>
        <w:t xml:space="preserve"> </w:t>
      </w:r>
      <w:r>
        <w:rPr>
          <w:rFonts w:ascii="Arial" w:cs="Arial" w:eastAsia="Arial" w:hAnsi="Arial"/>
          <w:sz w:val="16"/>
          <w:szCs w:val="16"/>
          <w:color w:val="auto"/>
        </w:rPr>
        <w:t>Cash flow from operations for the nine months ended September 30, 2006 resulted primarily from net income before depreciation, decreases in inventory, and increases in accrued expenses, offset partially by decreases in accounts payable. Inventory decreased by $6.9 million from December 31, 2005 due to increased customer usage of drop shipments and improved inventory management. Inventory turns improved to 22 turns as of September 30, 2006 from 20 turns for the third quarter of 2005. Accounts receivable decreased by $3.5 million from December 31, 2005 levels despite increased sales in 2006 due to improved collection efforts. Days sales outstanding, or DSO’s, were 43 days for the third quarter of 2006, compared to 46 days for the prior year period. Cash flow from operations for the nine months ended September 30, 2005 resulted primarily from net income before depreciation, decreases in inventory, and increases in accounts payable, offset partially by increases in accounts receivable.</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At September 30, 2006, we had $99.7 million in outstanding accounts payable. Such accounts are generally paid within 30 days of incurrence, or earlier when favorable cash discounts are offered, and will be financed by cash flows from operations or short-term borrowings under the line of credit. This amount includes $7.9 million payable to two financial institutions under inventory trade credit agreements we use to finance our purchase of certain inventory, secured by the inventory so financed. We believe we will be able to meet our obligations under our accounts payable with cash flows from operations and our existing line of credit.</w:t>
      </w:r>
    </w:p>
    <w:p>
      <w:pPr>
        <w:spacing w:after="0" w:line="14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i w:val="1"/>
          <w:iCs w:val="1"/>
          <w:color w:val="auto"/>
        </w:rPr>
        <w:t xml:space="preserve">Cash used for investing activities </w:t>
      </w:r>
      <w:r>
        <w:rPr>
          <w:rFonts w:ascii="Arial" w:cs="Arial" w:eastAsia="Arial" w:hAnsi="Arial"/>
          <w:sz w:val="18"/>
          <w:szCs w:val="18"/>
          <w:color w:val="auto"/>
        </w:rPr>
        <w:t>in the nine months ended September 30, 2006 include our capital expenditures in the periods presented, primarily for</w:t>
      </w:r>
      <w:r>
        <w:rPr>
          <w:rFonts w:ascii="Arial" w:cs="Arial" w:eastAsia="Arial" w:hAnsi="Arial"/>
          <w:sz w:val="18"/>
          <w:szCs w:val="18"/>
          <w:i w:val="1"/>
          <w:iCs w:val="1"/>
          <w:color w:val="auto"/>
        </w:rPr>
        <w:t xml:space="preserve"> </w:t>
      </w:r>
      <w:r>
        <w:rPr>
          <w:rFonts w:ascii="Arial" w:cs="Arial" w:eastAsia="Arial" w:hAnsi="Arial"/>
          <w:sz w:val="18"/>
          <w:szCs w:val="18"/>
          <w:color w:val="auto"/>
        </w:rPr>
        <w:t>computer equipment and capitalization of internally-developed software. We expect total capital expenditures in 2006 to be between $8.0 million and $10.0 million.</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 xml:space="preserve">Cash used for financing activities </w:t>
      </w:r>
      <w:r>
        <w:rPr>
          <w:rFonts w:ascii="Arial" w:cs="Arial" w:eastAsia="Arial" w:hAnsi="Arial"/>
          <w:sz w:val="16"/>
          <w:szCs w:val="16"/>
          <w:color w:val="auto"/>
        </w:rPr>
        <w:t>in the nine months ended September 30, 2006 related primarily to a decrease in borrowings of $12.9 million under our</w:t>
      </w:r>
      <w:r>
        <w:rPr>
          <w:rFonts w:ascii="Arial" w:cs="Arial" w:eastAsia="Arial" w:hAnsi="Arial"/>
          <w:sz w:val="16"/>
          <w:szCs w:val="16"/>
          <w:i w:val="1"/>
          <w:iCs w:val="1"/>
          <w:color w:val="auto"/>
        </w:rPr>
        <w:t xml:space="preserve"> </w:t>
      </w:r>
      <w:r>
        <w:rPr>
          <w:rFonts w:ascii="Arial" w:cs="Arial" w:eastAsia="Arial" w:hAnsi="Arial"/>
          <w:sz w:val="16"/>
          <w:szCs w:val="16"/>
          <w:color w:val="auto"/>
        </w:rPr>
        <w:t>bank line of credit, partially offset by proceeds from the exercise of common stock under employee stock plans. Cash provided by financing activities in the nine months ended September 30, 2005 related primarily to an increase in borrowings of $2.8 million under our bank line of credit.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Instruments, Contractual Agreements, and Related Covenants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Below is a summary of certain provisions of our credit facilities and other contractual obligations. It is qualified in its entirety by the terms of the actual agreements, which are on file with the Securities and Exchange Commission. For more information about the restrictive covenants in our debt instruments and inventory financing agreements, see “Factors Affecting Sources of Liquidity.” For more information about our obligations, commitments, and contingencies, see our consolidated financial statements and the accompanying notes included in this quarterly report.</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Bank Line of Credit</w:t>
      </w:r>
      <w:r>
        <w:rPr>
          <w:rFonts w:ascii="Arial" w:cs="Arial" w:eastAsia="Arial" w:hAnsi="Arial"/>
          <w:sz w:val="16"/>
          <w:szCs w:val="16"/>
          <w:color w:val="auto"/>
        </w:rPr>
        <w:t>. Our bank line of credit provides us with a borrowing capacity of up to $50.0 million at the prime rate (8.25% at September 30, 2006).</w:t>
      </w:r>
      <w:r>
        <w:rPr>
          <w:rFonts w:ascii="Arial" w:cs="Arial" w:eastAsia="Arial" w:hAnsi="Arial"/>
          <w:sz w:val="16"/>
          <w:szCs w:val="16"/>
          <w:i w:val="1"/>
          <w:iCs w:val="1"/>
          <w:color w:val="auto"/>
        </w:rPr>
        <w:t xml:space="preserve"> </w:t>
      </w:r>
      <w:r>
        <w:rPr>
          <w:rFonts w:ascii="Arial" w:cs="Arial" w:eastAsia="Arial" w:hAnsi="Arial"/>
          <w:sz w:val="16"/>
          <w:szCs w:val="16"/>
          <w:color w:val="auto"/>
        </w:rPr>
        <w:t>In addition, we have the option to increase the facility by an additional $20.0 million, based on sufficient levels of trade receivables to meet borrowing base requirements, and depending on meeting minimum EBITDA (earnings before interest expense, taxes, depreciation, and amortization) and equity requirements, described below under “Factors Affecting Sources of Liquidity.” The facility also gives us the option of obtaining Eurodollar Rate Loans in multiples of $1.0 million for durations of one, two, three, four, or six months. Amounts outstanding under this facility were $7.1 million at September 30, 2006. Substantially all of our assets are collateralized as security for this facility, and all of our subsidiaries are guarantors under the line of credit. Borrowing availability under the line was $42.9 million at September 30, 2006.</w:t>
      </w:r>
    </w:p>
    <w:p>
      <w:pPr>
        <w:spacing w:after="0" w:line="11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This facility, which matures in June 2008, operates under an automatic cash management program whereby disbursements in excess of available cash are added as borrowings at the time disbursement checks clear the bank, and available cash receipts are first applied against any outstanding borrowings and then invested in short-term qualified cash investments. Accordingly, borrowings under the line are classified as current.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Inventory Trade Credit Agreements</w:t>
      </w:r>
      <w:r>
        <w:rPr>
          <w:rFonts w:ascii="Arial" w:cs="Arial" w:eastAsia="Arial" w:hAnsi="Arial"/>
          <w:sz w:val="16"/>
          <w:szCs w:val="16"/>
          <w:color w:val="auto"/>
        </w:rPr>
        <w:t>. We have additional security agreements with two financial institutions to facilitate the purchase of inventory from</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suppliers under certain terms and conditions. These agreements allow a collateralized first position in certain branded products inventory financed by these financial institutions. Although the agreements provide for up to 100% financing on the purchase price, up to an aggregate of $45.0 million, any outstanding financing must be fully secured by available inventory. We do not pay any interest or discount fees on such inventory financing; such costs are borne by the suppliers as an incentive for us to purchase their products. Amounts outstanding under such facilities, equal to $7.9 million as of September 30, 2006, are recorded in accounts payable, and the inventory financed is classified as inventory on the consolidated balance sheet.</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The following table sets forth information with respect to our long-term obligations payable in cash as of September 30, 2006</w:t>
      </w:r>
      <w:r>
        <w:rPr>
          <w:rFonts w:ascii="Arial" w:cs="Arial" w:eastAsia="Arial" w:hAnsi="Arial"/>
          <w:sz w:val="18"/>
          <w:szCs w:val="18"/>
          <w:i w:val="1"/>
          <w:iCs w:val="1"/>
          <w:color w:val="auto"/>
        </w:rPr>
        <w:t xml:space="preserve"> (in thousands)</w:t>
      </w:r>
      <w:r>
        <w:rPr>
          <w:rFonts w:ascii="Arial" w:cs="Arial" w:eastAsia="Arial" w:hAnsi="Arial"/>
          <w:sz w:val="18"/>
          <w:szCs w:val="18"/>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center"/>
              <w:ind w:left="4"/>
              <w:spacing w:after="0"/>
              <w:rPr>
                <w:sz w:val="20"/>
                <w:szCs w:val="20"/>
                <w:color w:val="auto"/>
              </w:rPr>
            </w:pPr>
            <w:r>
              <w:rPr>
                <w:rFonts w:ascii="Arial" w:cs="Arial" w:eastAsia="Arial" w:hAnsi="Arial"/>
                <w:sz w:val="14"/>
                <w:szCs w:val="14"/>
                <w:b w:val="1"/>
                <w:bCs w:val="1"/>
                <w:color w:val="auto"/>
                <w:w w:val="86"/>
              </w:rPr>
              <w:t>Payments Due by Period</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8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82"/>
              </w:rPr>
              <w:t>Less than</w:t>
            </w:r>
          </w:p>
        </w:tc>
        <w:tc>
          <w:tcPr>
            <w:tcW w:w="220" w:type="dxa"/>
            <w:vAlign w:val="bottom"/>
          </w:tcPr>
          <w:p>
            <w:pPr>
              <w:spacing w:after="0"/>
              <w:rPr>
                <w:sz w:val="11"/>
                <w:szCs w:val="11"/>
                <w:color w:val="auto"/>
              </w:rPr>
            </w:pPr>
          </w:p>
        </w:tc>
        <w:tc>
          <w:tcPr>
            <w:tcW w:w="92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9"/>
              </w:rPr>
              <w:t>1 – 3</w:t>
            </w:r>
          </w:p>
        </w:tc>
        <w:tc>
          <w:tcPr>
            <w:tcW w:w="500" w:type="dxa"/>
            <w:vAlign w:val="bottom"/>
          </w:tcPr>
          <w:p>
            <w:pPr>
              <w:jc w:val="right"/>
              <w:ind w:right="20"/>
              <w:spacing w:after="0" w:line="129" w:lineRule="exact"/>
              <w:rPr>
                <w:sz w:val="20"/>
                <w:szCs w:val="20"/>
                <w:color w:val="auto"/>
              </w:rPr>
            </w:pPr>
            <w:r>
              <w:rPr>
                <w:rFonts w:ascii="Arial" w:cs="Arial" w:eastAsia="Arial" w:hAnsi="Arial"/>
                <w:sz w:val="14"/>
                <w:szCs w:val="14"/>
                <w:b w:val="1"/>
                <w:bCs w:val="1"/>
                <w:color w:val="auto"/>
              </w:rPr>
              <w:t>3 – 5</w:t>
            </w:r>
          </w:p>
        </w:tc>
        <w:tc>
          <w:tcPr>
            <w:tcW w:w="44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More Than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57"/>
              <w:spacing w:after="0"/>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5"/>
                <w:szCs w:val="15"/>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Years</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Years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210"/>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Contractual Obligations:</w:t>
            </w: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Capital lease obligation (1)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8,434</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$ 1,467</w:t>
            </w: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$2,220</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$2,279</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2,658</w:t>
            </w: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3,498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0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15,068</w:t>
            </w:r>
          </w:p>
        </w:tc>
        <w:tc>
          <w:tcPr>
            <w:tcW w:w="4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$ 4,125</w:t>
            </w:r>
          </w:p>
        </w:tc>
        <w:tc>
          <w:tcPr>
            <w:tcW w:w="1140" w:type="dxa"/>
            <w:vAlign w:val="bottom"/>
            <w:gridSpan w:val="3"/>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5,718</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2,656</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80" w:type="dxa"/>
            <w:vAlign w:val="bottom"/>
            <w:tcBorders>
              <w:bottom w:val="single" w:sz="8" w:color="auto"/>
            </w:tcBorders>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Including interest, excluding taxes, insurance, and common area maintenance charges.</w:t>
      </w:r>
    </w:p>
    <w:p>
      <w:pPr>
        <w:spacing w:after="0" w:line="171"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We do not have any other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Capital Leases. </w:t>
      </w:r>
      <w:r>
        <w:rPr>
          <w:rFonts w:ascii="Arial" w:cs="Arial" w:eastAsia="Arial" w:hAnsi="Arial"/>
          <w:sz w:val="18"/>
          <w:szCs w:val="18"/>
          <w:color w:val="auto"/>
        </w:rPr>
        <w:t>We have a 15-year lease for our corporate headquarters with an affiliated company related through common ownership. We also have a</w:t>
      </w:r>
      <w:r>
        <w:rPr>
          <w:rFonts w:ascii="Arial" w:cs="Arial" w:eastAsia="Arial" w:hAnsi="Arial"/>
          <w:sz w:val="18"/>
          <w:szCs w:val="18"/>
          <w:i w:val="1"/>
          <w:iCs w:val="1"/>
          <w:color w:val="auto"/>
        </w:rPr>
        <w:t xml:space="preserve"> </w:t>
      </w:r>
      <w:r>
        <w:rPr>
          <w:rFonts w:ascii="Arial" w:cs="Arial" w:eastAsia="Arial" w:hAnsi="Arial"/>
          <w:sz w:val="18"/>
          <w:szCs w:val="18"/>
          <w:color w:val="auto"/>
        </w:rPr>
        <w:t>three-year lease for certain computer equipment with an unrelated party. We are required to make lease payments, under these agreements, aggregating from $1.0 million to $1.5 million per year. In addition to the rent payable under the facility lease, we are required to pay real estate taxes, insurance, and common area maintenance charges.</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We also lease facilities from our principal stockholders and facilities and equipment from third parties under non-cancelable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leases. See “Contractual Obligations” above for lease commitments under these leases.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Factors Affecting Sources of Liquidity</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i w:val="1"/>
          <w:iCs w:val="1"/>
          <w:color w:val="auto"/>
        </w:rPr>
        <w:t xml:space="preserve">Internally Generated Funds. </w:t>
      </w:r>
      <w:r>
        <w:rPr>
          <w:rFonts w:ascii="Arial" w:cs="Arial" w:eastAsia="Arial" w:hAnsi="Arial"/>
          <w:sz w:val="18"/>
          <w:szCs w:val="18"/>
          <w:color w:val="auto"/>
        </w:rPr>
        <w:t>The key factors affecting our internally generated funds are our ability to minimize costs and fully achieve our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efficiencies, timely collection of our customer receivables, and management of our inventory levels.</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Bank Line of Credit. </w:t>
      </w:r>
      <w:r>
        <w:rPr>
          <w:rFonts w:ascii="Arial" w:cs="Arial" w:eastAsia="Arial" w:hAnsi="Arial"/>
          <w:sz w:val="18"/>
          <w:szCs w:val="18"/>
          <w:color w:val="auto"/>
        </w:rPr>
        <w:t>Our credit facility contains certain financial ratios and operational covenants and other restrictions (including restrictions on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debt, guarantees, stock repurchases, dividends and other distributions, investments, and liens) with which we and all of our subsidiaries must comply. Any failure to comply with these covenants would not only prevent us from borrowing additional funds under this line of credit, but would also constitute a default. This credit facility contains two financial tests:</w:t>
      </w:r>
    </w:p>
    <w:p>
      <w:pPr>
        <w:spacing w:after="0" w:line="62" w:lineRule="exact"/>
        <w:rPr>
          <w:sz w:val="20"/>
          <w:szCs w:val="20"/>
          <w:color w:val="auto"/>
        </w:rPr>
      </w:pPr>
    </w:p>
    <w:p>
      <w:pPr>
        <w:ind w:left="780" w:right="80" w:hanging="326"/>
        <w:spacing w:after="0" w:line="332"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funded debt ratio (defined as the average outstanding advances under the line for the quarter, divided by the consolidated EBITDA for the trailing four quarters) must not be more than 2.0 to 1.0. Our actual funded debt ratio at September 30, 2006 was 0.4 to 1.0.</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00" w:hanging="326"/>
        <w:spacing w:after="0" w:line="259"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Minimum Consolidated Net Worth must be at least $150.0 million, plus 50% of consolidated net income for each quarter, beginning with the quarter ended March 31, 2006 (loss quarters not counted). Such amount was calculated at September 30, 2006 as $154.6 million. Our actual consolidated stockholders’ equity at September 30, 2006 was $184.1 million.</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borrowing base under this facility is set at 80% of qualified commercial receivables, plus 50% of qualified government receivables, less $5 million of the formula availability which must be held in reserves. As of September 30, 2006, $42.9 million of the facility was available for additional borrowings.</w:t>
      </w:r>
    </w:p>
    <w:p>
      <w:pPr>
        <w:spacing w:after="0" w:line="8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 xml:space="preserve">Inventory Trade Credit Agreements. </w:t>
      </w:r>
      <w:r>
        <w:rPr>
          <w:rFonts w:ascii="Arial" w:cs="Arial" w:eastAsia="Arial" w:hAnsi="Arial"/>
          <w:sz w:val="16"/>
          <w:szCs w:val="16"/>
          <w:color w:val="auto"/>
        </w:rPr>
        <w:t>These agreements contain similar financial ratios and operational covenants and restrictions as those contained in our</w:t>
      </w:r>
      <w:r>
        <w:rPr>
          <w:rFonts w:ascii="Arial" w:cs="Arial" w:eastAsia="Arial" w:hAnsi="Arial"/>
          <w:sz w:val="16"/>
          <w:szCs w:val="16"/>
          <w:i w:val="1"/>
          <w:iCs w:val="1"/>
          <w:color w:val="auto"/>
        </w:rPr>
        <w:t xml:space="preserve"> </w:t>
      </w:r>
      <w:r>
        <w:rPr>
          <w:rFonts w:ascii="Arial" w:cs="Arial" w:eastAsia="Arial" w:hAnsi="Arial"/>
          <w:sz w:val="16"/>
          <w:szCs w:val="16"/>
          <w:color w:val="auto"/>
        </w:rPr>
        <w:t>bank line of credit described above. Such agreements also contain cross-default provisions whereby a default under the bank agreement would also constitute a default under these agreements. Financing under these agreements is limited to the purchase of specific branded products from authorized suppliers, and amounts outstanding must be fully collateralized by inventories of those products on hand.</w:t>
      </w:r>
    </w:p>
    <w:p>
      <w:pPr>
        <w:spacing w:after="0" w:line="11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i w:val="1"/>
          <w:iCs w:val="1"/>
          <w:color w:val="auto"/>
        </w:rPr>
        <w:t xml:space="preserve">Capital Markets. </w:t>
      </w:r>
      <w:r>
        <w:rPr>
          <w:rFonts w:ascii="Arial" w:cs="Arial" w:eastAsia="Arial" w:hAnsi="Arial"/>
          <w:sz w:val="16"/>
          <w:szCs w:val="16"/>
          <w:color w:val="auto"/>
        </w:rPr>
        <w:t>Our ability to raise additional funds in the capital market depends upon, among other things, general economic conditions, the condition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information technology industry, our financial performance and stock price, and the state of the capital markets.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FINANCIAL ACCOUNTING STANDARDS</w:t>
      </w:r>
    </w:p>
    <w:p>
      <w:pPr>
        <w:spacing w:after="0" w:line="96" w:lineRule="exact"/>
        <w:rPr>
          <w:sz w:val="20"/>
          <w:szCs w:val="20"/>
          <w:color w:val="auto"/>
        </w:rPr>
      </w:pPr>
    </w:p>
    <w:p>
      <w:pPr>
        <w:ind w:right="660" w:firstLine="456"/>
        <w:spacing w:after="0" w:line="323" w:lineRule="auto"/>
        <w:rPr>
          <w:sz w:val="20"/>
          <w:szCs w:val="20"/>
          <w:color w:val="auto"/>
        </w:rPr>
      </w:pPr>
      <w:r>
        <w:rPr>
          <w:rFonts w:ascii="Arial" w:cs="Arial" w:eastAsia="Arial" w:hAnsi="Arial"/>
          <w:sz w:val="15"/>
          <w:szCs w:val="15"/>
          <w:color w:val="auto"/>
        </w:rPr>
        <w:t>In September 2006, the SEC issued Staff Accounting Bulletin No. 108 (“SAB 108”), “Considering the Effects of Prior Year Misstatements When Quantifying Misstatements in Current Year Financial Statements.” SAB 108 establishes an approach that requires quantification of financial statement misstatements based on the effects of the misstatement on the financial statements and related disclosures. SAB 108 is effective for our annual financial statements for the year ending December 31, 2006. We do not expect SAB 108 to have a material impact on our results of operation or financial position.</w:t>
      </w:r>
    </w:p>
    <w:p>
      <w:pPr>
        <w:spacing w:after="0" w:line="9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September 2006, the FASB issued SFAS No. 157, “Fair Value Measurements” (“SFAS 157”). SFAS 157 defines fair value, establishes a framework for measuring fair value, and expands disclosures about fair value measurements. SFAS 157 is effective for financial statements issued for fiscal years beginning after November 15, 2007, and interim periods within those fiscal years. We are currently evaluating the effect that the adoption of SFAS 157 will have on our results of operation and financial position.</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June 2006, the FASB issued FASB Interpretation No. 48, “Accounting for Uncertainty in Income Taxes—an Interpretation of FASB Statement 109” (“FIN 48”), to clarify the accounting for uncertainty in tax positions. This interpretation prescribes a minimum recognition threshold a tax position is required to meet before being recognized in the financial statements. FIN 48 also provides guidance on derecognition, measurement, classification, interest and penalties, accounting in interim periods, disclosure, and transition. FIN 48 is effective for fiscal years beginning after December 15, 2006. We are currently evaluating the effect that the adoption of FIN 48 will have on our results of operations and financial position.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critical accounting policies have not materially changed from those discussed in our Annual Report on Form 10-K for the year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2005.</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have historically offset any inflation in operating costs by a combination of increased productivity and price increases, where appropriate. We do not expect inflation to have a significant impact on our business in the future.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3—QUANTITATIVE AND QUALITATIVE DISCLOSURES ABOUT MARKET RISK</w:t>
      </w:r>
    </w:p>
    <w:p>
      <w:pPr>
        <w:spacing w:after="0" w:line="16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invest cash balances in excess of operating requirements in short-term securities, generally with maturities of 90 days or less. In addition, our unsecured credit agreement provides for borrowings which bear interest at variable rates based on the prime rate and Euro dollar rates. We had borrowings outstanding of $7.1 million pursuant to our credit agreement as of September 30, 2006. We believe that the effect, if any, of reasonably possible near-term changes in interest rates on our financial position, results of operations, and cash flows should not be material. Our credit agreement exposes earnings to changes in short-term interest rates since interest rates on the underlying obligations are variable. However, as noted above, borrowings outstanding totaled $7.1 million on the credit agreement at September 30, 2006. The average outstanding borrowings during the three and nine months ended September 30, 2006 were $9.7 million and $16.0 million, respectively, and related interest expense incurred for the periods presented was $0.2 million and $0.8 million, respectively. Accordingly, a change in earnings resulting from a hypothetical 10% increase or decrease in interest rates is not material.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4—CONTROLS AND PROCEDURES</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September 30, 2006.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disclosure controls and procedures are designed to provide reasonable assurance of achieving their objectives as described above. Based on the evaluation of our disclosure controls and procedures, our Chief Executive Officer and Chief Financial Officer concluded that, as of the end of the period covered by this report, our disclosure controls and procedures were effective at the reasonable assurance level.</w:t>
      </w:r>
    </w:p>
    <w:p>
      <w:pPr>
        <w:spacing w:after="0" w:line="124"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September 30, 2006 that has materially affected, or is reasonably likely to materially affect, our internal control over financial reporting.</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Statements contained or incorporated by reference in this Quarterly Report on Form 10-Q that are not based on historical fact are “forward-looking statements” within the meaning of the Private Securities Litigation Reform Act of 1995, Section 27A of the Securities Act of 1933, as amended, and Section 21E of the Exchange Act. These forward-looking statements regarding future events and our future results are based on current expectations, estimates, forecasts, and projections and the beliefs and assumptions of our management including, without limitation, our expectations with regard to the industry’s rapid technological change and exposure to inventory obsolescence, availability and allocations of goods, reliance on vendor support and relationships, competitive risks, pricing risks, and the overall level of economic activity and the level of business investment in information technology products. Forward-looking statements may be identified by the use of forward-looking terminology such as “may,” “could,” “will,” “expect,” “estimate,” “anticipate,” “continue,” or similar terms, variations of such terms or the negative of those terms.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We cannot assure investors that our assumptions and expectations will prove to have been correct. Important factors could cause our actual results to differ materially from those indicated or implied by forward-looking statements. Such factors that could cause or contribute to such differences include those factors discussed below. We undertake no intention or obligation to update or revise any forward-looking statements, whether as a result of new information, future events, or otherwise. If any of the following risks actually occur, our business, financial condition, or results of operations would likely suffer.</w:t>
      </w:r>
    </w:p>
    <w:p>
      <w:pPr>
        <w:spacing w:after="0" w:line="11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i w:val="1"/>
          <w:iCs w:val="1"/>
          <w:color w:val="auto"/>
        </w:rPr>
        <w:t>The following discussion includes five revised risk factors (“We have experienced variability in sales, and there is no assurance that we will be able to maintain profitable operations”, “Despite our August 2004 award of an authorization to sell to the federal government under a new GSA schedule, our sales to that organization may not regain prior years’ sales levels, which would negatively impact our business”, “We acquire products for resale from a limited number of vendors. The loss of any one of these vendors could have a material adverse effect on our business”, “We may experience a reduction in the incentive programs offered to us by our vendors” and “We face many uncertainties relating to the collection of state sales and use tax”) that reflect developments subsequent to the discussion of risk factors included in our most recent Annual Report on Form 10-K.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experienced variability in sales, and there is no assurance that we will be able to maintain profitable operations.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Several factors have caused our sales and results of operations to fluctuate and we expect these fluctuations to continue on a quarterly basis. Causes of these fluctuations include:</w:t>
      </w:r>
    </w:p>
    <w:p>
      <w:pPr>
        <w:spacing w:after="0" w:line="51"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overall level of economic activity;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condition of the personal computer industry in general;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level of business investment in information technology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shifts in customer demand for hardware and software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variations in levels of competition;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industry shipments of new products or upgrades;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new merchandise and catalog offerings;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response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postage, paper, shipping, and printing costs and in merchandise returns;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weather conditions that affect response, distribution, or shipping;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product offerings;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consumer demand for information technology products;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vendor distribution of products.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results also may vary based on our success of integrating acquisitions into our business, the impact of the costs of acquisitions and integration, and our ability to hire and retain sales representatives and other essential personnel.</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We base our operating expenditures on sales forecasts. If our revenues do not meet anticipated levels in the future, we may not be able to reduce our staffing levels and operating expenses in a timely manner to avoid significant losses from operations.</w:t>
      </w:r>
    </w:p>
    <w:p>
      <w:pPr>
        <w:spacing w:after="0" w:line="207"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Despite our August 2004 award of an authorization to sell to the federal government under a new GSA schedule, our sales to that organization may not regain prior years’ sales levels, which would negatively impact our business.</w:t>
      </w:r>
    </w:p>
    <w:p>
      <w:pPr>
        <w:spacing w:after="0" w:line="4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November 2003, we were advised that the GSA canceled its contract with our subsidiary, GovConnection, following a review of its contract management system and procedures and the possibility of the sale of unqualified items or underpayment of required fees. The matter was referred to the DOJ for review, and we cooperated in that review and reached a tentative settlement. While we were awarded authorization in August 2004 to resume selling to the federal government under a new GSA schedule, we experienced significant declines in our federal government sales from 2003 levels. Accordingly, our revenues may continue to be adversely impacted as we attempt to regain this business.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inventory obsolescence due to the rapid technological changes occurring in the personal computer industry.</w:t>
      </w:r>
    </w:p>
    <w:p>
      <w:pPr>
        <w:spacing w:after="0" w:line="96"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The market for personal computer products is characterized by rapid technological change and the frequent introduction of new products and product enhancements. Our success depends in large part on our ability to identify and market products that meet the needs of customers in that marketplace. In order to satisfy customer demand and to obtain favorable purchasing discounts, we have and may continue to carry increased inventory levels of certain products. By so doing, we are subject to the increased risk of inventory obsolescence. Also, in order to implement our business strategy, we intend to continue, among other things, placing larger than typical inventory stocking orders and increasing our participation in first-to-market purchase opportunities. We may also participate in end-of-life-cycle purchase opportunities and market products on a private-label basis, which would increase the risk of inventory obsolescence. In addition, we sometimes acquire special purchase products without return privileges. There can be no assurance that we will be able to avoid losses related to obsolete inventory. In addition, manufacturers are limiting return rights and are taking steps to reduce their inventory exposure by supporting “build-to-order” programs authorizing distributors and resellers to assemble computer hardware under the manufacturers’ brands. These trends reduce the costs to manufacturers and shift the burden of inventory risk to resellers like us, which could negatively impact our business.</w:t>
      </w:r>
    </w:p>
    <w:p>
      <w:pPr>
        <w:spacing w:after="0" w:line="198"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We acquire products for resale from a limited number of vendors. The loss of any one of these vendors could have a material adverse effect on our business.</w:t>
      </w:r>
    </w:p>
    <w:p>
      <w:pPr>
        <w:spacing w:after="0" w:line="45"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We acquire products for resale both directly from manufacturers and indirectly through distributors and other sources. The five vendors supplying the greatest amount of goods to us constituted 68% and 69% of our total product purchases in the nine months ended September 30, 2006 and 2005, respectively. Among these five vendors, purchases from Ingram represented 25% and 26% of our total product purchases in the nine months ended September 30, 2006 and 2005, respectively. Purchases from Tech Data comprised 17% and 26% of our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color w:val="auto"/>
        </w:rPr>
        <w:t>total product purchases in the nine months ended September 30, 2006 and 2005, respectively. Purchases from HP represented 15% and 10% of our total product purchases in the nine months ended September 30, 2006 and 2005, respectively. No other vendor supplied more than 10% of our total product purchases in the nine months ended September 30, 2006 and 2005, respectively. If we were unable to acquire products from Ingram, Tech Data, or HP, we could experience a short-term disruption in the availability of products, and such disruption could have a material adverse effect on our results of operations and cash flows.</w:t>
      </w:r>
    </w:p>
    <w:p>
      <w:pPr>
        <w:spacing w:after="0" w:line="98"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Substantially all of our contracts and arrangements with our vendors that supply significant quantities of products are terminable by such vendors or us without notice or upon short notice. Most of our product vendors provide us with trade credit, of which the net amount outstanding at September 30, 2006 was $99.7 million. Termination, interruption, or contraction of relationships with our vendors, including a reduction in the level of trade credit provided to us, could have a material adverse effect on our financial position.</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Some product manufacturers either do not permit us to sell the full line of their products or limit the number of product units available to direct marketers such as us. An element of our business strategy is to continue increasing our participation in first-to-market purchase opportunities. The availability of certain desired products, especially in the direct marketing channel, has been constrained in the past. We could experience a material adverse effect to our business if we are unable to source first-to-market purchase or similar opportunities, or if we face the reemergence of significant availability constraints.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a reduction in the incentive programs offered to us by our vendors.</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Some product manufacturers and distributors provide us with incentives such as supplier reimbursements, payment discounts, price protection, rebates, and other similar arrangements. The increasingly competitive computer hardware market has already resulted in the following:</w:t>
      </w:r>
    </w:p>
    <w:p>
      <w:pPr>
        <w:spacing w:after="0" w:line="4"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reduction or elimination of some of these incentive programs;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more restrictive price protection and other terms;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advertising allowances and incentives, in some cases.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Many product suppliers provide us with co-op advertising support, and in exchange, we feature their products in our catalogs and other marketing vehicles. This support significantly defrays our marketing costs. In the past, we have experienced a decrease in the level of advertising support available to us from certain manufacturers. The level of advertising support we receive from some manufacturers may decline in the future. Such a decline could decrease our gross margin and increase our selling, general and administrative expenses as a percentage of sales and have a material adverse effect on our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many competitive risks.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direct marketing industry and the computer products retail business, in particular, are highly competitive. We compete with consumer electronics and computer retail stores, including superstores. We also compete with other direct marketers of hardware and software and computer related products, including CDW Corporation, Insight Enterprises, Inc., and Dell Inc., who are much larger than we are. Certain hardware and software vendors, such as HP, Lenovo, and Apple, who provide products to us, are also selling their products directly to end users through their own catalogs and over the Internet. We compete not only for customers, but also for advertising support from personal computer product manufacturers. Some of our competitors have larger catalog circulations and customer bases and greater financial, marketing, and other resources than we do. In addition, some of our competitors offer a wider range of products and services than we do and may be able to respond more quickly to new or changing opportunities, technologies, and customer requirements. Many current and potential competitors also have greater name recognition, engage in more extensive promotional activities, and adopt pricing policies that are more aggressive than ours. We expect competition to increase as retailers and direct marketers who have not traditionally sold computers and related products enter the industry.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addition, product resellers and direct marketers are combining operations or acquiring or merging with other resellers and direct marketers to increase efficiency. Moreover, current and potential competitors have established or may establish cooperative relationships among themselves or with third parties to enhance their products and services. Accordingly, it is possible that new competitors or alliances among competitors may emerge and acquire significant market share.</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cannot assure you that we can continue to compete effectively against our current or future competitors. If we encounter new competition or fail to compete effectively against our competitors, our business may be harmed.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and will continue to face significant price competition.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Generally, pricing is very aggressive in the personal computer industry, and we expect pricing pressures to continue. An increase in price competition could result in a reduction of our profit margins. There can be no assurance that we will be able to offset the effects of price reductions with an increase in the number of customers, higher sales, cost reductions, or otherwise. Also, our sales of personal computer hardware products are generally producing lower profit margins than those associated with software products. Such pricing pressures could result in an erosion of our market share, reduced sales, and reduced operating margins, any of which could have a material adverse effect on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methods of distributing personal computers and related products are changing, and such changes may negatively impact us and our business.</w:t>
      </w:r>
    </w:p>
    <w:p>
      <w:pPr>
        <w:spacing w:after="0" w:line="11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manner in which personal computers and related products are distributed and sold is changing, and new methods of distribution and sale, such as online shopping services, have emerged. Hardware and software manufacturers have sold, and may intensify their efforts to sell, their products directly to end users. From time to time, certain manufacturers have instituted programs for the direct sales of large order quantities of hardware and software to certain major corporate accounts. These types of programs may continue to be developed and used by various manufacturers. Some of our vendors, including Apple, HP, and Lenovo, currently sell some of their products directly to end users and have stated their intentions to increase the level of such direct sales. In addition, manufacturers may attempt to increase the volume of software products distributed electronically to end users. An increase in the volume of products sold through or used by consumers of any of these competitive programs or distributed electronically to end users could have a material adverse effect on our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experience system failures which would interfere with our ability to process orders.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depend on the accuracy and proper use of our management information systems, including our telephone system. Many of our key functions depend on the quality and effective utilization of the information generated by our management information systems, including:</w:t>
      </w:r>
    </w:p>
    <w:p>
      <w:pPr>
        <w:spacing w:after="0" w:line="51"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manage inventory and accounts receivable collection;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purchase, sell, and ship products efficiently and on a timely basis;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operations.</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management information systems require continual upgrades to most effectively manage our operations and customer database. We are currently in the midst of a major upgrade to our sales processing system. Although we maintain some redundant systems, with full data backup, a substantial interruption in management information systems or in telephone communication systems, including those resulting from natural disasters as well as power loss, telecommunications failure, and similar events, would substantially hinder our ability to process customer orders and thus could have a material adverse effect on our business.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the continued development of electronic commerce and Internet infrastructure development.</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had an increasing level of sales made over the Internet in part because of the growing use and acceptance of the Internet by end users. No one can be certain that acceptance and use of the Internet will continue to develop or that a sufficiently broad base of consumers will adopt and continue to use the Internet and other online services as a medium of commerce. Sales of computer products over the Internet represent a significant and increasing portion of overall computer product sales. Growth of our Internet sales is dependent on potential customers using the Internet in addition to traditional means of commerce to purchase products. We cannot accurately predict the rate at which they will do so.</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success in growing our Internet business will depend in large part upon the development of an infrastructure for providing Internet access and services. If the number of Internet users or their use of Internet resources continues to grow rapidly, such growth may overwhelm the existing Internet infrastructure. Our ability to increase the speed with which we provide services to customers and to increase the scope of such services ultimately is limited by, and reliant upon, the speed, reliability, and cost-effectiveness of the networks operated by third parties, and these networks may not continue to be developed or be available at prices consistent with our required business model.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heavily on third-party shippers to deliver our products to customers.</w:t>
      </w:r>
    </w:p>
    <w:p>
      <w:pPr>
        <w:spacing w:after="0" w:line="9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We ship approximately 50% of our products to customers by DHL Worldwide Express (“DHL”), with the remainder being shipped by United Parcel Service, Inc. and other overnight delivery and ground services. A strike or other interruption in service by these shippers could adversely affect our ability to market or deliver products to customers on a timely basis.</w:t>
      </w:r>
    </w:p>
    <w:p>
      <w:pPr>
        <w:spacing w:after="0" w:line="215"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We may experience potential increases in shipping, paper, and postage costs, which may adversely affect our business if we are not able to pass such increases on to our customers.</w:t>
      </w:r>
    </w:p>
    <w:p>
      <w:pPr>
        <w:spacing w:after="0" w:line="4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Shipping costs are a significant expense in the operation of our business. Increases in postal or shipping rates and paper costs could significantly impact the cost of producing and mailing our catalogs and shipping customer orders. Postage prices and shipping rates increase periodically, and we have no control over future increases. We have a long-term contract with DHL whereby DHL ships products to our customers. We believe that we have negotiated favorable shipping rates with DHL. We generally invoice customers for shipping and handling charges. There can be no assurance that we will be able to pass on to our customers the full cost, including any future increases in the cost, of commercial delivery services such as DHL.</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also incur substantial paper and postage costs related to our marketing activities, including producing and mailing our catalogs. Paper prices historically have been cyclical, and we have experienced substantial increases in the past. Significant increases in postal or shipping rates and paper costs could adversely impact our business, financial condition, and results of operations, particularly if we cannot pass on such increases to our customers or offset such increases by reducing other costs.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concerns with respect to list development and maintenance may materially adversely affect our business.</w:t>
      </w:r>
    </w:p>
    <w:p>
      <w:pPr>
        <w:spacing w:after="0" w:line="96"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We mail catalogs and send electronic messages to names in our proprietary customer database and to potential customers whose names we obtain from rented or exchanged mailing lists. World-wide public concern regarding personal privacy has subjected the rental and use of customer mailing lists and other customer information to increased scrutiny. Any domestic or foreign legislation enacted limiting or prohibiting these practices could negatively affect our business.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many uncertainties relating to the collection of state sales and use tax.</w:t>
      </w:r>
    </w:p>
    <w:p>
      <w:pPr>
        <w:spacing w:after="0" w:line="96"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We collect and remit sales and use taxes in states in which we have voluntarily registered and/or have a physical presence. Various states have sought to impose on direct marketers the burden of collecting state sales and use taxes on the sales of products shipped to their residents. In 1992, the United States Supreme Court affirmed its position that it is unconstitutional for a state to impose sales or use tax collection obligations on an out-of-state mail-order company whose only contacts with the state are limited to the distribution of catalogs and other advertising materials through the mail and the subsequent delivery of purchased goods by United States mail or by interstate common carrier. However, legislation that would expand the ability of states to impose sales and use tax collection obligations on direct marketers has been introduced in Congress on many occasions. Additionally, certain states have adopted rules that require companies and their affiliates to register in those states as a condition of doing business within those states.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Moreover, due to our presence on various forms of electronic media and other operational factors, our contacts with many states may exceed the limited contacts involved in the Supreme Court case. We cannot predict the level of contacts that is sufficient to permit a state to impose on us a sales or use tax collection obligation. Two of our competitors have elected to collect sales and use taxes in all states. If the Supreme Court changes its position, or if legislation is passed to overturn the Supreme Court’s decision, or if a court were to determine that our contacts with a state exceed the constitutionality permitted contacts, the imposition of a sales or use tax collection obligation on us in states to which we ship products would result in additional administrative expenses to us, could result in tax liability for past sales as well as price increases to our customers, and could reduce demand for our product.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key personnel.</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future performance will depend to a significant extent upon the efforts and abilities of our senior executives. The competition for qualified management personnel in the computer products industry is very intense, and the loss of service of one or more of these persons could have an adverse effect on our business. Our success and plans for future growth will also depend on our ability to hire, train, and retain skilled personnel in all areas of our business, including sales account managers and technical support personnel. There can be no assurance that we will be able to attract, train, and retain sufficient qualified personnel to achieve our business objectives.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controlled by two principal stockholders.</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Patricia Gallup and David Hall, our two principal stockholders, beneficially own or control, in the aggregate, approximately 67% of the outstanding shares of our common stock. Because of their beneficial stock ownership, these stockholders can continue to elect the members of the Board of Directors and decide all matters requiring stockholder approval at a meeting or by a written consent in lieu of a meeting. Similarly, such stockholders can control decisions to adopt, amend, or repeal our charter and our bylaws, or take other actions requiring the vote or consent of our stockholders and prevent a takeover of us by one or more third parties, or sell or otherwise transfer their stock to a third party, which could deprive our stockholders of a control premium that might otherwise be realized by them in connection with an acquisition of our Company. Such control may result in decisions that are not in the best interest of our public stockholders. In connection with our initial public offering, the principal stockholders placed substantially all shares of common stock beneficially owned by them into a voting trust, pursuant to which they are required to agree as to the manner of voting such shares in order for the shares to be voted. Such provisions could discourage bids for our common stock at a premium as well as have a negative impact on the market price of our common stock.</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2—Unregistered Sales of Equity Securities and Use of Proceeds</w:t>
      </w:r>
    </w:p>
    <w:p>
      <w:pPr>
        <w:spacing w:after="0" w:line="96" w:lineRule="exact"/>
        <w:rPr>
          <w:sz w:val="20"/>
          <w:szCs w:val="20"/>
          <w:color w:val="auto"/>
        </w:rPr>
      </w:pPr>
    </w:p>
    <w:p>
      <w:pPr>
        <w:ind w:right="280" w:firstLine="464"/>
        <w:spacing w:after="0" w:line="268"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following table provides information about purchases by the Company during the quarter ended September 30, 2006 of equity securities that are registered by the Company pursuant to Section 12 of the Exchange Act: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8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8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46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84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Maximum 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84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Dollar 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8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Average Price</w:t>
            </w:r>
          </w:p>
        </w:tc>
        <w:tc>
          <w:tcPr>
            <w:tcW w:w="8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 Publicly</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that May Yet Be</w:t>
            </w:r>
          </w:p>
        </w:tc>
        <w:tc>
          <w:tcPr>
            <w:tcW w:w="0" w:type="dxa"/>
            <w:vAlign w:val="bottom"/>
          </w:tcPr>
          <w:p>
            <w:pPr>
              <w:spacing w:after="0"/>
              <w:rPr>
                <w:sz w:val="1"/>
                <w:szCs w:val="1"/>
                <w:color w:val="auto"/>
              </w:rPr>
            </w:pPr>
          </w:p>
        </w:tc>
      </w:tr>
      <w:tr>
        <w:trPr>
          <w:trHeight w:val="149"/>
        </w:trPr>
        <w:tc>
          <w:tcPr>
            <w:tcW w:w="3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8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 Units)</w:t>
            </w:r>
          </w:p>
        </w:tc>
        <w:tc>
          <w:tcPr>
            <w:tcW w:w="8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Paid per Share</w:t>
            </w:r>
          </w:p>
        </w:tc>
        <w:tc>
          <w:tcPr>
            <w:tcW w:w="8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Announced Plans</w:t>
            </w:r>
          </w:p>
        </w:tc>
        <w:tc>
          <w:tcPr>
            <w:tcW w:w="84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55"/>
        </w:trPr>
        <w:tc>
          <w:tcPr>
            <w:tcW w:w="370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Purchased</w:t>
            </w:r>
          </w:p>
        </w:tc>
        <w:tc>
          <w:tcPr>
            <w:tcW w:w="860" w:type="dxa"/>
            <w:vAlign w:val="bottom"/>
          </w:tcPr>
          <w:p>
            <w:pPr>
              <w:spacing w:after="0"/>
              <w:rPr>
                <w:sz w:val="13"/>
                <w:szCs w:val="13"/>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(or Unit)</w:t>
            </w:r>
          </w:p>
        </w:tc>
        <w:tc>
          <w:tcPr>
            <w:tcW w:w="860" w:type="dxa"/>
            <w:vAlign w:val="bottom"/>
          </w:tcPr>
          <w:p>
            <w:pPr>
              <w:spacing w:after="0"/>
              <w:rPr>
                <w:sz w:val="13"/>
                <w:szCs w:val="13"/>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or Programs</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9"/>
              </w:rPr>
              <w:t>Program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07/01/06–07/31/06</w:t>
            </w:r>
          </w:p>
        </w:tc>
        <w:tc>
          <w:tcPr>
            <w:tcW w:w="8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4"/>
              </w:rPr>
              <w:t>12,714,000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08/01/06–08/31/06</w:t>
            </w:r>
          </w:p>
        </w:tc>
        <w:tc>
          <w:tcPr>
            <w:tcW w:w="860" w:type="dxa"/>
            <w:vAlign w:val="bottom"/>
          </w:tcPr>
          <w:p>
            <w:pPr>
              <w:spacing w:after="0"/>
              <w:rPr>
                <w:sz w:val="18"/>
                <w:szCs w:val="18"/>
                <w:color w:val="auto"/>
              </w:rPr>
            </w:pP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40" w:type="dxa"/>
            <w:vAlign w:val="bottom"/>
          </w:tcPr>
          <w:p>
            <w:pPr>
              <w:ind w:left="460"/>
              <w:spacing w:after="0"/>
              <w:rPr>
                <w:sz w:val="20"/>
                <w:szCs w:val="20"/>
                <w:color w:val="auto"/>
              </w:rPr>
            </w:pPr>
            <w:r>
              <w:rPr>
                <w:rFonts w:ascii="Arial" w:cs="Arial" w:eastAsia="Arial" w:hAnsi="Arial"/>
                <w:sz w:val="18"/>
                <w:szCs w:val="18"/>
                <w:color w:val="auto"/>
                <w:w w:val="84"/>
              </w:rPr>
              <w:t>12,714,000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09/01/06–09/30/06</w:t>
            </w: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4"/>
              </w:rPr>
              <w:t>12,714,000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19"/>
                <w:szCs w:val="19"/>
                <w:color w:val="auto"/>
              </w:rPr>
            </w:pP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40" w:type="dxa"/>
            <w:vAlign w:val="bottom"/>
          </w:tcPr>
          <w:p>
            <w:pPr>
              <w:ind w:left="460"/>
              <w:spacing w:after="0"/>
              <w:rPr>
                <w:sz w:val="20"/>
                <w:szCs w:val="20"/>
                <w:color w:val="auto"/>
              </w:rPr>
            </w:pPr>
            <w:r>
              <w:rPr>
                <w:rFonts w:ascii="Arial" w:cs="Arial" w:eastAsia="Arial" w:hAnsi="Arial"/>
                <w:sz w:val="18"/>
                <w:szCs w:val="18"/>
                <w:color w:val="auto"/>
                <w:w w:val="84"/>
              </w:rPr>
              <w:t>12,714,000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18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Board of Directors approved the repurchase by us of shares of our common stock having a value of up to $15.0 million in the aggregate pursuant to a repurchase program announced on March 28, 2001.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6—Exhibits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860" w:type="dxa"/>
            <w:vAlign w:val="bottom"/>
          </w:tcPr>
          <w:p>
            <w:pPr>
              <w:spacing w:after="0"/>
              <w:rPr>
                <w:sz w:val="14"/>
                <w:szCs w:val="14"/>
                <w:color w:val="auto"/>
              </w:rPr>
            </w:pPr>
          </w:p>
        </w:tc>
        <w:tc>
          <w:tcPr>
            <w:tcW w:w="100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8"/>
        </w:trPr>
        <w:tc>
          <w:tcPr>
            <w:tcW w:w="5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0"/>
              </w:rPr>
              <w:t>Number</w:t>
            </w:r>
          </w:p>
        </w:tc>
        <w:tc>
          <w:tcPr>
            <w:tcW w:w="860" w:type="dxa"/>
            <w:vAlign w:val="bottom"/>
          </w:tcPr>
          <w:p>
            <w:pPr>
              <w:spacing w:after="0"/>
              <w:rPr>
                <w:sz w:val="14"/>
                <w:szCs w:val="14"/>
                <w:color w:val="auto"/>
              </w:rPr>
            </w:pPr>
          </w:p>
        </w:tc>
        <w:tc>
          <w:tcPr>
            <w:tcW w:w="10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20" w:type="dxa"/>
            <w:vAlign w:val="bottom"/>
          </w:tcPr>
          <w:p>
            <w:pPr>
              <w:jc w:val="center"/>
              <w:spacing w:after="0"/>
              <w:rPr>
                <w:sz w:val="20"/>
                <w:szCs w:val="20"/>
                <w:color w:val="auto"/>
              </w:rPr>
            </w:pPr>
            <w:r>
              <w:rPr>
                <w:rFonts w:ascii="Arial" w:cs="Arial" w:eastAsia="Arial" w:hAnsi="Arial"/>
                <w:sz w:val="18"/>
                <w:szCs w:val="18"/>
                <w:color w:val="auto"/>
              </w:rPr>
              <w:t>15 *</w:t>
            </w:r>
          </w:p>
        </w:tc>
        <w:tc>
          <w:tcPr>
            <w:tcW w:w="860" w:type="dxa"/>
            <w:vAlign w:val="bottom"/>
          </w:tcPr>
          <w:p>
            <w:pPr>
              <w:spacing w:after="0"/>
              <w:rPr>
                <w:sz w:val="18"/>
                <w:szCs w:val="18"/>
                <w:color w:val="auto"/>
              </w:rPr>
            </w:pPr>
          </w:p>
        </w:tc>
        <w:tc>
          <w:tcPr>
            <w:tcW w:w="10040" w:type="dxa"/>
            <w:vAlign w:val="bottom"/>
          </w:tcPr>
          <w:p>
            <w:pPr>
              <w:spacing w:after="0" w:line="202" w:lineRule="exact"/>
              <w:rPr>
                <w:sz w:val="20"/>
                <w:szCs w:val="20"/>
                <w:color w:val="auto"/>
              </w:rPr>
            </w:pPr>
            <w:r>
              <w:rPr>
                <w:rFonts w:ascii="Arial" w:cs="Arial" w:eastAsia="Arial" w:hAnsi="Arial"/>
                <w:sz w:val="18"/>
                <w:szCs w:val="18"/>
                <w:color w:val="auto"/>
              </w:rPr>
              <w:t>Letter on unaudited interim financial information.</w:t>
            </w:r>
          </w:p>
        </w:tc>
        <w:tc>
          <w:tcPr>
            <w:tcW w:w="0" w:type="dxa"/>
            <w:vAlign w:val="bottom"/>
          </w:tcPr>
          <w:p>
            <w:pPr>
              <w:spacing w:after="0"/>
              <w:rPr>
                <w:sz w:val="1"/>
                <w:szCs w:val="1"/>
                <w:color w:val="auto"/>
              </w:rPr>
            </w:pPr>
          </w:p>
        </w:tc>
      </w:tr>
      <w:tr>
        <w:trPr>
          <w:trHeight w:val="309"/>
        </w:trPr>
        <w:tc>
          <w:tcPr>
            <w:tcW w:w="520" w:type="dxa"/>
            <w:vAlign w:val="bottom"/>
          </w:tcPr>
          <w:p>
            <w:pPr>
              <w:jc w:val="center"/>
              <w:spacing w:after="0"/>
              <w:rPr>
                <w:sz w:val="20"/>
                <w:szCs w:val="20"/>
                <w:color w:val="auto"/>
              </w:rPr>
            </w:pPr>
            <w:r>
              <w:rPr>
                <w:rFonts w:ascii="Arial" w:cs="Arial" w:eastAsia="Arial" w:hAnsi="Arial"/>
                <w:sz w:val="18"/>
                <w:szCs w:val="18"/>
                <w:color w:val="auto"/>
                <w:w w:val="91"/>
              </w:rPr>
              <w:t>10.3(1)</w:t>
            </w:r>
          </w:p>
        </w:tc>
        <w:tc>
          <w:tcPr>
            <w:tcW w:w="8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89"/>
              </w:rPr>
              <w:t>Amendment No. 6, dated October 26, 2006, to Lease, dated September 27, 1990, by and between Merrimack Services Corporation and Ewe</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7"/>
              </w:rPr>
              <w:t>Warehouse Investments V, Ltd., as previously amended, for property located at 2780-2880 Old State Route 73, Wilmington, Ohio.</w:t>
            </w:r>
          </w:p>
        </w:tc>
        <w:tc>
          <w:tcPr>
            <w:tcW w:w="0" w:type="dxa"/>
            <w:vAlign w:val="bottom"/>
          </w:tcPr>
          <w:p>
            <w:pPr>
              <w:spacing w:after="0"/>
              <w:rPr>
                <w:sz w:val="1"/>
                <w:szCs w:val="1"/>
                <w:color w:val="auto"/>
              </w:rPr>
            </w:pPr>
          </w:p>
        </w:tc>
      </w:tr>
      <w:tr>
        <w:trPr>
          <w:trHeight w:val="324"/>
        </w:trPr>
        <w:tc>
          <w:tcPr>
            <w:tcW w:w="52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8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7"/>
              </w:rPr>
              <w:t>Certification of the Company’s President and Chief Executive Officer pursuant to Section 302 of the Sarbanes-Oxley Act of 2002.</w:t>
            </w:r>
          </w:p>
        </w:tc>
        <w:tc>
          <w:tcPr>
            <w:tcW w:w="0" w:type="dxa"/>
            <w:vAlign w:val="bottom"/>
          </w:tcPr>
          <w:p>
            <w:pPr>
              <w:spacing w:after="0"/>
              <w:rPr>
                <w:sz w:val="1"/>
                <w:szCs w:val="1"/>
                <w:color w:val="auto"/>
              </w:rPr>
            </w:pPr>
          </w:p>
        </w:tc>
      </w:tr>
      <w:tr>
        <w:trPr>
          <w:trHeight w:val="318"/>
        </w:trPr>
        <w:tc>
          <w:tcPr>
            <w:tcW w:w="52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8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Certification of the Company’s Senior Vice President, Treasurer and Chief Financial Officer pursuant to Section 302 of the Sarbanes-Oxley</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Act of 2002.</w:t>
            </w:r>
          </w:p>
        </w:tc>
        <w:tc>
          <w:tcPr>
            <w:tcW w:w="0" w:type="dxa"/>
            <w:vAlign w:val="bottom"/>
          </w:tcPr>
          <w:p>
            <w:pPr>
              <w:spacing w:after="0"/>
              <w:rPr>
                <w:sz w:val="1"/>
                <w:szCs w:val="1"/>
                <w:color w:val="auto"/>
              </w:rPr>
            </w:pPr>
          </w:p>
        </w:tc>
      </w:tr>
      <w:tr>
        <w:trPr>
          <w:trHeight w:val="318"/>
        </w:trPr>
        <w:tc>
          <w:tcPr>
            <w:tcW w:w="520" w:type="dxa"/>
            <w:vAlign w:val="bottom"/>
          </w:tcPr>
          <w:p>
            <w:pPr>
              <w:jc w:val="center"/>
              <w:spacing w:after="0"/>
              <w:rPr>
                <w:sz w:val="20"/>
                <w:szCs w:val="20"/>
                <w:color w:val="auto"/>
              </w:rPr>
            </w:pPr>
            <w:r>
              <w:rPr>
                <w:rFonts w:ascii="Arial" w:cs="Arial" w:eastAsia="Arial" w:hAnsi="Arial"/>
                <w:sz w:val="18"/>
                <w:szCs w:val="18"/>
                <w:color w:val="auto"/>
                <w:w w:val="95"/>
              </w:rPr>
              <w:t>32.1*</w:t>
            </w:r>
          </w:p>
        </w:tc>
        <w:tc>
          <w:tcPr>
            <w:tcW w:w="8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88"/>
              </w:rPr>
              <w:t>Certification of the Company’s President and Chief Executive Officer pursuant to 18 U.S.C. Section 1350, as adopted pursuant to Section 906</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of the Sarbanes-Oxley Act of 2002.</w:t>
            </w:r>
          </w:p>
        </w:tc>
        <w:tc>
          <w:tcPr>
            <w:tcW w:w="0" w:type="dxa"/>
            <w:vAlign w:val="bottom"/>
          </w:tcPr>
          <w:p>
            <w:pPr>
              <w:spacing w:after="0"/>
              <w:rPr>
                <w:sz w:val="1"/>
                <w:szCs w:val="1"/>
                <w:color w:val="auto"/>
              </w:rPr>
            </w:pPr>
          </w:p>
        </w:tc>
      </w:tr>
      <w:tr>
        <w:trPr>
          <w:trHeight w:val="318"/>
        </w:trPr>
        <w:tc>
          <w:tcPr>
            <w:tcW w:w="520" w:type="dxa"/>
            <w:vAlign w:val="bottom"/>
          </w:tcPr>
          <w:p>
            <w:pPr>
              <w:jc w:val="center"/>
              <w:spacing w:after="0"/>
              <w:rPr>
                <w:sz w:val="20"/>
                <w:szCs w:val="20"/>
                <w:color w:val="auto"/>
              </w:rPr>
            </w:pPr>
            <w:r>
              <w:rPr>
                <w:rFonts w:ascii="Arial" w:cs="Arial" w:eastAsia="Arial" w:hAnsi="Arial"/>
                <w:sz w:val="18"/>
                <w:szCs w:val="18"/>
                <w:color w:val="auto"/>
                <w:w w:val="95"/>
              </w:rPr>
              <w:t>32.2*</w:t>
            </w:r>
          </w:p>
        </w:tc>
        <w:tc>
          <w:tcPr>
            <w:tcW w:w="8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0"/>
              </w:rPr>
              <w:t>Certification of the Company’s Senior Vice President, Treasurer and Chief Financial Officer pursuant to 18 U.S.C. Section 1350, as adopted</w:t>
            </w: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pursuant to Section 906 of the 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right="2440" w:firstLine="8"/>
        <w:spacing w:after="0" w:line="268" w:lineRule="auto"/>
        <w:tabs>
          <w:tab w:leader="none" w:pos="446"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from exhibits filed with the Company’s current report on Form 8-K, filed on October 31, 2006. * Filed herewith.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PC CONNECTION, INC. AND SUBSIDIARIES</w:t>
      </w:r>
    </w:p>
    <w:p>
      <w:pPr>
        <w:spacing w:after="0" w:line="231" w:lineRule="exact"/>
        <w:rPr>
          <w:sz w:val="20"/>
          <w:szCs w:val="20"/>
          <w:color w:val="auto"/>
        </w:rPr>
      </w:pPr>
    </w:p>
    <w:p>
      <w:pPr>
        <w:spacing w:after="0"/>
        <w:tabs>
          <w:tab w:leader="none" w:pos="6060" w:val="left"/>
          <w:tab w:leader="none" w:pos="8100" w:val="left"/>
        </w:tabs>
        <w:rPr>
          <w:sz w:val="20"/>
          <w:szCs w:val="20"/>
          <w:color w:val="auto"/>
        </w:rPr>
      </w:pPr>
      <w:r>
        <w:rPr>
          <w:rFonts w:ascii="Arial" w:cs="Arial" w:eastAsia="Arial" w:hAnsi="Arial"/>
          <w:sz w:val="18"/>
          <w:szCs w:val="18"/>
          <w:color w:val="auto"/>
        </w:rPr>
        <w:t>Date: November 14,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w:t>
      </w:r>
      <w:r>
        <w:rPr>
          <w:rFonts w:ascii="Arial" w:cs="Arial" w:eastAsia="Arial" w:hAnsi="Arial"/>
          <w:sz w:val="13"/>
          <w:szCs w:val="13"/>
          <w:color w:val="auto"/>
        </w:rPr>
        <w:t>ATRICIA</w:t>
      </w:r>
      <w:r>
        <w:rPr>
          <w:rFonts w:ascii="Arial" w:cs="Arial" w:eastAsia="Arial" w:hAnsi="Arial"/>
          <w:sz w:val="16"/>
          <w:szCs w:val="16"/>
          <w:color w:val="auto"/>
        </w:rPr>
        <w:t xml:space="preserve"> G</w:t>
      </w:r>
      <w:r>
        <w:rPr>
          <w:rFonts w:ascii="Arial" w:cs="Arial" w:eastAsia="Arial" w:hAnsi="Arial"/>
          <w:sz w:val="13"/>
          <w:szCs w:val="13"/>
          <w:color w:val="auto"/>
        </w:rPr>
        <w:t>ALLUP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10795</wp:posOffset>
            </wp:positionV>
            <wp:extent cx="31045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jc w:val="center"/>
        <w:ind w:left="6640"/>
        <w:spacing w:after="0"/>
        <w:rPr>
          <w:sz w:val="20"/>
          <w:szCs w:val="20"/>
          <w:color w:val="auto"/>
        </w:rPr>
      </w:pPr>
      <w:r>
        <w:rPr>
          <w:rFonts w:ascii="Arial" w:cs="Arial" w:eastAsia="Arial" w:hAnsi="Arial"/>
          <w:sz w:val="14"/>
          <w:szCs w:val="14"/>
          <w:b w:val="1"/>
          <w:bCs w:val="1"/>
          <w:color w:val="auto"/>
        </w:rPr>
        <w:t>Patricia Gallup</w:t>
      </w:r>
    </w:p>
    <w:p>
      <w:pPr>
        <w:spacing w:after="0" w:line="1"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Chairman and Chief Executive Officer</w:t>
      </w:r>
    </w:p>
    <w:p>
      <w:pPr>
        <w:spacing w:after="0" w:line="195" w:lineRule="exact"/>
        <w:rPr>
          <w:sz w:val="20"/>
          <w:szCs w:val="20"/>
          <w:color w:val="auto"/>
        </w:rPr>
      </w:pPr>
    </w:p>
    <w:p>
      <w:pPr>
        <w:spacing w:after="0"/>
        <w:tabs>
          <w:tab w:leader="none" w:pos="6060" w:val="left"/>
          <w:tab w:leader="none" w:pos="8160" w:val="left"/>
        </w:tabs>
        <w:rPr>
          <w:sz w:val="20"/>
          <w:szCs w:val="20"/>
          <w:color w:val="auto"/>
        </w:rPr>
      </w:pPr>
      <w:r>
        <w:rPr>
          <w:rFonts w:ascii="Arial" w:cs="Arial" w:eastAsia="Arial" w:hAnsi="Arial"/>
          <w:sz w:val="18"/>
          <w:szCs w:val="18"/>
          <w:color w:val="auto"/>
        </w:rPr>
        <w:t>Date: November 14,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w:t>
      </w:r>
      <w:r>
        <w:rPr>
          <w:rFonts w:ascii="Arial" w:cs="Arial" w:eastAsia="Arial" w:hAnsi="Arial"/>
          <w:sz w:val="13"/>
          <w:szCs w:val="13"/>
          <w:color w:val="auto"/>
        </w:rPr>
        <w:t>ACK</w:t>
      </w:r>
      <w:r>
        <w:rPr>
          <w:rFonts w:ascii="Arial" w:cs="Arial" w:eastAsia="Arial" w:hAnsi="Arial"/>
          <w:sz w:val="16"/>
          <w:szCs w:val="16"/>
          <w:color w:val="auto"/>
        </w:rPr>
        <w:t xml:space="preserve"> F</w:t>
      </w:r>
      <w:r>
        <w:rPr>
          <w:rFonts w:ascii="Arial" w:cs="Arial" w:eastAsia="Arial" w:hAnsi="Arial"/>
          <w:sz w:val="13"/>
          <w:szCs w:val="13"/>
          <w:color w:val="auto"/>
        </w:rPr>
        <w:t>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10795</wp:posOffset>
            </wp:positionV>
            <wp:extent cx="31045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jc w:val="center"/>
        <w:ind w:left="6640"/>
        <w:spacing w:after="0"/>
        <w:rPr>
          <w:sz w:val="20"/>
          <w:szCs w:val="20"/>
          <w:color w:val="auto"/>
        </w:rPr>
      </w:pPr>
      <w:r>
        <w:rPr>
          <w:rFonts w:ascii="Arial" w:cs="Arial" w:eastAsia="Arial" w:hAnsi="Arial"/>
          <w:sz w:val="14"/>
          <w:szCs w:val="14"/>
          <w:b w:val="1"/>
          <w:bCs w:val="1"/>
          <w:color w:val="auto"/>
        </w:rPr>
        <w:t>Jack Ferguson</w:t>
      </w:r>
    </w:p>
    <w:p>
      <w:pPr>
        <w:jc w:val="center"/>
        <w:ind w:left="6640"/>
        <w:spacing w:after="0" w:line="223" w:lineRule="auto"/>
        <w:rPr>
          <w:sz w:val="20"/>
          <w:szCs w:val="20"/>
          <w:color w:val="auto"/>
        </w:rPr>
      </w:pPr>
      <w:r>
        <w:rPr>
          <w:rFonts w:ascii="Arial" w:cs="Arial" w:eastAsia="Arial" w:hAnsi="Arial"/>
          <w:sz w:val="14"/>
          <w:szCs w:val="14"/>
          <w:b w:val="1"/>
          <w:bCs w:val="1"/>
          <w:color w:val="auto"/>
        </w:rPr>
        <w:t>Senior Vice President, Treasurer and</w:t>
      </w:r>
    </w:p>
    <w:p>
      <w:pPr>
        <w:jc w:val="center"/>
        <w:ind w:left="6640"/>
        <w:spacing w:after="0"/>
        <w:rPr>
          <w:sz w:val="20"/>
          <w:szCs w:val="20"/>
          <w:color w:val="auto"/>
        </w:rPr>
      </w:pPr>
      <w:r>
        <w:rPr>
          <w:rFonts w:ascii="Arial" w:cs="Arial" w:eastAsia="Arial" w:hAnsi="Arial"/>
          <w:sz w:val="14"/>
          <w:szCs w:val="14"/>
          <w:b w:val="1"/>
          <w:bCs w:val="1"/>
          <w:color w:val="auto"/>
        </w:rPr>
        <w:t>Chief Financial Officer</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15</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13, 2006</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PC Connection,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730 Milford Road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Merrimack, NH</w:t>
      </w:r>
    </w:p>
    <w:p>
      <w:pPr>
        <w:spacing w:after="0" w:line="16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have reviewed, in accordance with the standards of the Public Company Accounting Oversight Board (United States), the unaudited interim financial information of PC Connection, Inc. and subsidiaries for the periods ended September 30, 2006 and 2005, as indicated in our report dated November 13, 2006; because we did not perform an audit, we expressed no opinion on that information.</w:t>
      </w:r>
    </w:p>
    <w:p>
      <w:pPr>
        <w:spacing w:after="0" w:line="14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are aware that our report referred to above, which is included in your Quarterly Report on Form 10-Q for the quarter ended September 30, 2006, is incorporated by reference in Registration Statement Nos. 333-40172, 333-50845, 333-50847, 333-66450, 333-69981, 333-83943, 333-91584, 333-106652, and 333-130389 on Form S-8.</w:t>
      </w:r>
    </w:p>
    <w:p>
      <w:pPr>
        <w:spacing w:after="0" w:line="14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Patricia Gallup, certify that:</w:t>
      </w:r>
    </w:p>
    <w:p>
      <w:pPr>
        <w:spacing w:after="0" w:line="9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PC Connection,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3"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900" w:hanging="446"/>
        <w:spacing w:after="0"/>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900" w:right="100" w:hanging="446"/>
        <w:spacing w:after="0" w:line="281" w:lineRule="auto"/>
        <w:tabs>
          <w:tab w:leader="none" w:pos="9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5"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54"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00" w:right="60" w:hanging="446"/>
        <w:spacing w:after="0" w:line="261"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Date:  November 14, 2006</w:t>
            </w:r>
          </w:p>
        </w:tc>
        <w:tc>
          <w:tcPr>
            <w:tcW w:w="6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Patricia Gallup</w:t>
            </w:r>
          </w:p>
        </w:tc>
      </w:tr>
      <w:tr>
        <w:trPr>
          <w:trHeight w:val="202"/>
        </w:trPr>
        <w:tc>
          <w:tcPr>
            <w:tcW w:w="5160" w:type="dxa"/>
            <w:vAlign w:val="bottom"/>
          </w:tcPr>
          <w:p>
            <w:pPr>
              <w:spacing w:after="0"/>
              <w:rPr>
                <w:sz w:val="17"/>
                <w:szCs w:val="17"/>
                <w:color w:val="auto"/>
              </w:rPr>
            </w:pPr>
          </w:p>
        </w:tc>
        <w:tc>
          <w:tcPr>
            <w:tcW w:w="6260" w:type="dxa"/>
            <w:vAlign w:val="bottom"/>
          </w:tcPr>
          <w:p>
            <w:pPr>
              <w:ind w:left="100"/>
              <w:spacing w:after="0" w:line="202" w:lineRule="exact"/>
              <w:rPr>
                <w:sz w:val="20"/>
                <w:szCs w:val="20"/>
                <w:color w:val="auto"/>
              </w:rPr>
            </w:pPr>
            <w:r>
              <w:rPr>
                <w:rFonts w:ascii="Arial" w:cs="Arial" w:eastAsia="Arial" w:hAnsi="Arial"/>
                <w:sz w:val="18"/>
                <w:szCs w:val="18"/>
                <w:color w:val="auto"/>
              </w:rPr>
              <w:t>Patricia Gallup</w:t>
            </w:r>
          </w:p>
        </w:tc>
      </w:tr>
      <w:tr>
        <w:trPr>
          <w:trHeight w:val="222"/>
        </w:trPr>
        <w:tc>
          <w:tcPr>
            <w:tcW w:w="5160" w:type="dxa"/>
            <w:vAlign w:val="bottom"/>
          </w:tcPr>
          <w:p>
            <w:pPr>
              <w:spacing w:after="0"/>
              <w:rPr>
                <w:sz w:val="19"/>
                <w:szCs w:val="19"/>
                <w:color w:val="auto"/>
              </w:rPr>
            </w:pPr>
          </w:p>
        </w:tc>
        <w:tc>
          <w:tcPr>
            <w:tcW w:w="626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Jack Ferguson, certify that:</w:t>
      </w:r>
    </w:p>
    <w:p>
      <w:pPr>
        <w:spacing w:after="0" w:line="9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PC Connection,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3"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900" w:hanging="446"/>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900" w:right="100" w:hanging="446"/>
        <w:spacing w:after="0" w:line="281" w:lineRule="auto"/>
        <w:tabs>
          <w:tab w:leader="none" w:pos="9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5"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54"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00" w:right="60" w:hanging="446"/>
        <w:spacing w:after="0" w:line="261"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Date:  November 14, 2006</w:t>
            </w:r>
          </w:p>
        </w:tc>
        <w:tc>
          <w:tcPr>
            <w:tcW w:w="6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Jack Ferguson</w:t>
            </w:r>
          </w:p>
        </w:tc>
      </w:tr>
      <w:tr>
        <w:trPr>
          <w:trHeight w:val="202"/>
        </w:trPr>
        <w:tc>
          <w:tcPr>
            <w:tcW w:w="5160" w:type="dxa"/>
            <w:vAlign w:val="bottom"/>
          </w:tcPr>
          <w:p>
            <w:pPr>
              <w:spacing w:after="0"/>
              <w:rPr>
                <w:sz w:val="17"/>
                <w:szCs w:val="17"/>
                <w:color w:val="auto"/>
              </w:rPr>
            </w:pPr>
          </w:p>
        </w:tc>
        <w:tc>
          <w:tcPr>
            <w:tcW w:w="6260" w:type="dxa"/>
            <w:vAlign w:val="bottom"/>
          </w:tcPr>
          <w:p>
            <w:pPr>
              <w:ind w:left="100"/>
              <w:spacing w:after="0" w:line="202" w:lineRule="exact"/>
              <w:rPr>
                <w:sz w:val="20"/>
                <w:szCs w:val="20"/>
                <w:color w:val="auto"/>
              </w:rPr>
            </w:pPr>
            <w:r>
              <w:rPr>
                <w:rFonts w:ascii="Arial" w:cs="Arial" w:eastAsia="Arial" w:hAnsi="Arial"/>
                <w:sz w:val="18"/>
                <w:szCs w:val="18"/>
                <w:color w:val="auto"/>
              </w:rPr>
              <w:t>Jack Ferguson</w:t>
            </w:r>
          </w:p>
        </w:tc>
      </w:tr>
      <w:tr>
        <w:trPr>
          <w:trHeight w:val="222"/>
        </w:trPr>
        <w:tc>
          <w:tcPr>
            <w:tcW w:w="5160" w:type="dxa"/>
            <w:vAlign w:val="bottom"/>
          </w:tcPr>
          <w:p>
            <w:pPr>
              <w:spacing w:after="0"/>
              <w:rPr>
                <w:sz w:val="19"/>
                <w:szCs w:val="19"/>
                <w:color w:val="auto"/>
              </w:rPr>
            </w:pPr>
          </w:p>
        </w:tc>
        <w:tc>
          <w:tcPr>
            <w:tcW w:w="6260" w:type="dxa"/>
            <w:vAlign w:val="bottom"/>
          </w:tcPr>
          <w:p>
            <w:pPr>
              <w:ind w:left="100"/>
              <w:spacing w:after="0"/>
              <w:rPr>
                <w:sz w:val="20"/>
                <w:szCs w:val="20"/>
                <w:color w:val="auto"/>
              </w:rPr>
            </w:pPr>
            <w:r>
              <w:rPr>
                <w:rFonts w:ascii="Arial" w:cs="Arial" w:eastAsia="Arial" w:hAnsi="Arial"/>
                <w:sz w:val="18"/>
                <w:szCs w:val="18"/>
                <w:color w:val="auto"/>
              </w:rPr>
              <w:t>Senior Vice President, Treasurer and Chief Financial Officer</w:t>
            </w:r>
          </w:p>
        </w:tc>
      </w:tr>
    </w:tbl>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left="460" w:right="20" w:firstLine="438"/>
        <w:spacing w:after="0" w:line="259" w:lineRule="auto"/>
        <w:rPr>
          <w:sz w:val="20"/>
          <w:szCs w:val="20"/>
          <w:color w:val="auto"/>
        </w:rPr>
      </w:pPr>
      <w:r>
        <w:rPr>
          <w:rFonts w:ascii="Arial" w:cs="Arial" w:eastAsia="Arial" w:hAnsi="Arial"/>
          <w:sz w:val="18"/>
          <w:szCs w:val="18"/>
          <w:color w:val="auto"/>
        </w:rPr>
        <w:t>In connection with the Quarterly Report on Form 10-Q of PC Connection, Inc. (the “Company”) for the period ended September 30, 2006 as filed with the Securities and Exchange Commission on the date hereof (the “Report”), the undersigned, Patricia Gallup, President and Chief Executive Officer of the Company, hereby certifies, pursuant to 18 U.S.C. Section 1350, that:</w:t>
      </w:r>
    </w:p>
    <w:p>
      <w:pPr>
        <w:spacing w:after="0" w:line="59" w:lineRule="exact"/>
        <w:rPr>
          <w:sz w:val="20"/>
          <w:szCs w:val="20"/>
          <w:color w:val="auto"/>
        </w:rPr>
      </w:pPr>
    </w:p>
    <w:p>
      <w:pPr>
        <w:ind w:left="1580" w:hanging="239"/>
        <w:spacing w:after="0"/>
        <w:tabs>
          <w:tab w:leader="none" w:pos="1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20" w:right="460" w:firstLine="421"/>
        <w:spacing w:after="0" w:line="268" w:lineRule="auto"/>
        <w:tabs>
          <w:tab w:leader="none" w:pos="15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Date: November 14, 2006</w:t>
            </w:r>
          </w:p>
        </w:tc>
        <w:tc>
          <w:tcPr>
            <w:tcW w:w="6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Patricia Gallup</w:t>
            </w:r>
          </w:p>
        </w:tc>
      </w:tr>
      <w:tr>
        <w:trPr>
          <w:trHeight w:val="202"/>
        </w:trPr>
        <w:tc>
          <w:tcPr>
            <w:tcW w:w="5160" w:type="dxa"/>
            <w:vAlign w:val="bottom"/>
          </w:tcPr>
          <w:p>
            <w:pPr>
              <w:spacing w:after="0"/>
              <w:rPr>
                <w:sz w:val="17"/>
                <w:szCs w:val="17"/>
                <w:color w:val="auto"/>
              </w:rPr>
            </w:pPr>
          </w:p>
        </w:tc>
        <w:tc>
          <w:tcPr>
            <w:tcW w:w="6260" w:type="dxa"/>
            <w:vAlign w:val="bottom"/>
          </w:tcPr>
          <w:p>
            <w:pPr>
              <w:ind w:left="100"/>
              <w:spacing w:after="0" w:line="202" w:lineRule="exact"/>
              <w:rPr>
                <w:sz w:val="20"/>
                <w:szCs w:val="20"/>
                <w:color w:val="auto"/>
              </w:rPr>
            </w:pPr>
            <w:r>
              <w:rPr>
                <w:rFonts w:ascii="Arial" w:cs="Arial" w:eastAsia="Arial" w:hAnsi="Arial"/>
                <w:sz w:val="18"/>
                <w:szCs w:val="18"/>
                <w:color w:val="auto"/>
              </w:rPr>
              <w:t>Patricia Gallup</w:t>
            </w:r>
          </w:p>
        </w:tc>
      </w:tr>
      <w:tr>
        <w:trPr>
          <w:trHeight w:val="222"/>
        </w:trPr>
        <w:tc>
          <w:tcPr>
            <w:tcW w:w="5160" w:type="dxa"/>
            <w:vAlign w:val="bottom"/>
          </w:tcPr>
          <w:p>
            <w:pPr>
              <w:spacing w:after="0"/>
              <w:rPr>
                <w:sz w:val="19"/>
                <w:szCs w:val="19"/>
                <w:color w:val="auto"/>
              </w:rPr>
            </w:pPr>
          </w:p>
        </w:tc>
        <w:tc>
          <w:tcPr>
            <w:tcW w:w="626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left="460" w:right="260" w:firstLine="438"/>
        <w:spacing w:after="0" w:line="306" w:lineRule="auto"/>
        <w:rPr>
          <w:sz w:val="20"/>
          <w:szCs w:val="20"/>
          <w:color w:val="auto"/>
        </w:rPr>
      </w:pPr>
      <w:r>
        <w:rPr>
          <w:rFonts w:ascii="Arial" w:cs="Arial" w:eastAsia="Arial" w:hAnsi="Arial"/>
          <w:sz w:val="16"/>
          <w:szCs w:val="16"/>
          <w:color w:val="auto"/>
        </w:rPr>
        <w:t>In connection with the Quarterly Report on Form 10-Q of PC Connection, Inc. (the “Company”) for the period ended September 30, 2006 as filed with the Securities and Exchange Commission on the date hereof (the “Report”), the undersigned, Jack Ferguson, Senior Vice President, Treasurer and Chief Financial Officer of the Company, hereby certifies, pursuant to 18 U.S.C. Section 1350, that:</w:t>
      </w:r>
    </w:p>
    <w:p>
      <w:pPr>
        <w:spacing w:after="0" w:line="26" w:lineRule="exact"/>
        <w:rPr>
          <w:sz w:val="20"/>
          <w:szCs w:val="20"/>
          <w:color w:val="auto"/>
        </w:rPr>
      </w:pPr>
    </w:p>
    <w:p>
      <w:pPr>
        <w:ind w:left="1580" w:hanging="239"/>
        <w:spacing w:after="0"/>
        <w:tabs>
          <w:tab w:leader="none" w:pos="1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20" w:right="460" w:firstLine="421"/>
        <w:spacing w:after="0" w:line="268" w:lineRule="auto"/>
        <w:tabs>
          <w:tab w:leader="none" w:pos="15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Date: November 14, 2006</w:t>
            </w:r>
          </w:p>
        </w:tc>
        <w:tc>
          <w:tcPr>
            <w:tcW w:w="6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Jack Ferguson</w:t>
            </w:r>
          </w:p>
        </w:tc>
      </w:tr>
      <w:tr>
        <w:trPr>
          <w:trHeight w:val="202"/>
        </w:trPr>
        <w:tc>
          <w:tcPr>
            <w:tcW w:w="5160" w:type="dxa"/>
            <w:vAlign w:val="bottom"/>
          </w:tcPr>
          <w:p>
            <w:pPr>
              <w:spacing w:after="0"/>
              <w:rPr>
                <w:sz w:val="17"/>
                <w:szCs w:val="17"/>
                <w:color w:val="auto"/>
              </w:rPr>
            </w:pPr>
          </w:p>
        </w:tc>
        <w:tc>
          <w:tcPr>
            <w:tcW w:w="6260" w:type="dxa"/>
            <w:vAlign w:val="bottom"/>
          </w:tcPr>
          <w:p>
            <w:pPr>
              <w:ind w:left="100"/>
              <w:spacing w:after="0" w:line="202" w:lineRule="exact"/>
              <w:rPr>
                <w:sz w:val="20"/>
                <w:szCs w:val="20"/>
                <w:color w:val="auto"/>
              </w:rPr>
            </w:pPr>
            <w:r>
              <w:rPr>
                <w:rFonts w:ascii="Arial" w:cs="Arial" w:eastAsia="Arial" w:hAnsi="Arial"/>
                <w:sz w:val="18"/>
                <w:szCs w:val="18"/>
                <w:color w:val="auto"/>
              </w:rPr>
              <w:t>Jack Ferguson</w:t>
            </w:r>
          </w:p>
        </w:tc>
      </w:tr>
      <w:tr>
        <w:trPr>
          <w:trHeight w:val="222"/>
        </w:trPr>
        <w:tc>
          <w:tcPr>
            <w:tcW w:w="5160" w:type="dxa"/>
            <w:vAlign w:val="bottom"/>
          </w:tcPr>
          <w:p>
            <w:pPr>
              <w:spacing w:after="0"/>
              <w:rPr>
                <w:sz w:val="19"/>
                <w:szCs w:val="19"/>
                <w:color w:val="auto"/>
              </w:rPr>
            </w:pPr>
          </w:p>
        </w:tc>
        <w:tc>
          <w:tcPr>
            <w:tcW w:w="6260" w:type="dxa"/>
            <w:vAlign w:val="bottom"/>
          </w:tcPr>
          <w:p>
            <w:pPr>
              <w:ind w:left="100"/>
              <w:spacing w:after="0"/>
              <w:rPr>
                <w:sz w:val="20"/>
                <w:szCs w:val="20"/>
                <w:color w:val="auto"/>
              </w:rPr>
            </w:pPr>
            <w:r>
              <w:rPr>
                <w:rFonts w:ascii="Arial" w:cs="Arial" w:eastAsia="Arial" w:hAnsi="Arial"/>
                <w:sz w:val="18"/>
                <w:szCs w:val="18"/>
                <w:color w:val="auto"/>
              </w:rPr>
              <w:t>Senior Vice President, Treasurer and Chief Financial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lowerLetter"/>
      <w:start w:val="2"/>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lowerLetter"/>
      <w:start w:val="5"/>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2019-12-14T17:28:57Z</dcterms:created>
  <dcterms:modified xsi:type="dcterms:W3CDTF">2019-12-14T17:28:57Z</dcterms:modified>
</cp:coreProperties>
</file>