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6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5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0-23827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PC CONNECTION,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460" w:type="dxa"/>
        <w:tblCellMar>
          <w:top w:w="0" w:type="dxa"/>
          <w:left w:w="0" w:type="dxa"/>
          <w:bottom w:w="0" w:type="dxa"/>
          <w:right w:w="0" w:type="dxa"/>
        </w:tblCellMar>
      </w:tblPr>
      <w:tr>
        <w:trPr>
          <w:trHeight w:val="218"/>
        </w:trPr>
        <w:tc>
          <w:tcPr>
            <w:tcW w:w="6220" w:type="dxa"/>
            <w:vAlign w:val="bottom"/>
          </w:tcPr>
          <w:p>
            <w:pPr>
              <w:jc w:val="center"/>
              <w:ind w:right="3342"/>
              <w:spacing w:after="0"/>
              <w:rPr>
                <w:sz w:val="20"/>
                <w:szCs w:val="20"/>
                <w:color w:val="auto"/>
              </w:rPr>
            </w:pPr>
            <w:r>
              <w:rPr>
                <w:rFonts w:ascii="Arial" w:cs="Arial" w:eastAsia="Arial" w:hAnsi="Arial"/>
                <w:sz w:val="18"/>
                <w:szCs w:val="18"/>
                <w:b w:val="1"/>
                <w:bCs w:val="1"/>
                <w:color w:val="auto"/>
                <w:w w:val="96"/>
              </w:rPr>
              <w:t>DELAWARE</w:t>
            </w:r>
          </w:p>
        </w:tc>
        <w:tc>
          <w:tcPr>
            <w:tcW w:w="1540" w:type="dxa"/>
            <w:vAlign w:val="bottom"/>
          </w:tcPr>
          <w:p>
            <w:pPr>
              <w:jc w:val="right"/>
              <w:ind w:right="44"/>
              <w:spacing w:after="0"/>
              <w:rPr>
                <w:sz w:val="20"/>
                <w:szCs w:val="20"/>
                <w:color w:val="auto"/>
              </w:rPr>
            </w:pPr>
            <w:r>
              <w:rPr>
                <w:rFonts w:ascii="Arial" w:cs="Arial" w:eastAsia="Arial" w:hAnsi="Arial"/>
                <w:sz w:val="18"/>
                <w:szCs w:val="18"/>
                <w:b w:val="1"/>
                <w:bCs w:val="1"/>
                <w:color w:val="auto"/>
              </w:rPr>
              <w:t>02-0513618</w:t>
            </w:r>
          </w:p>
        </w:tc>
      </w:tr>
      <w:tr>
        <w:trPr>
          <w:trHeight w:val="149"/>
        </w:trPr>
        <w:tc>
          <w:tcPr>
            <w:tcW w:w="6220" w:type="dxa"/>
            <w:vAlign w:val="bottom"/>
          </w:tcPr>
          <w:p>
            <w:pPr>
              <w:jc w:val="center"/>
              <w:ind w:right="33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4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20" w:type="dxa"/>
            <w:vAlign w:val="bottom"/>
          </w:tcPr>
          <w:p>
            <w:pPr>
              <w:jc w:val="center"/>
              <w:ind w:right="3322"/>
              <w:spacing w:after="0"/>
              <w:rPr>
                <w:sz w:val="20"/>
                <w:szCs w:val="20"/>
                <w:color w:val="auto"/>
              </w:rPr>
            </w:pPr>
            <w:r>
              <w:rPr>
                <w:rFonts w:ascii="Arial" w:cs="Arial" w:eastAsia="Arial" w:hAnsi="Arial"/>
                <w:sz w:val="14"/>
                <w:szCs w:val="14"/>
                <w:b w:val="1"/>
                <w:bCs w:val="1"/>
                <w:color w:val="auto"/>
                <w:w w:val="89"/>
              </w:rPr>
              <w:t>Incorporation or Organization)</w:t>
            </w:r>
          </w:p>
        </w:tc>
        <w:tc>
          <w:tcPr>
            <w:tcW w:w="154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6220" w:type="dxa"/>
            <w:vAlign w:val="bottom"/>
          </w:tcPr>
          <w:p>
            <w:pPr>
              <w:jc w:val="center"/>
              <w:ind w:right="3342"/>
              <w:spacing w:after="0"/>
              <w:rPr>
                <w:sz w:val="20"/>
                <w:szCs w:val="20"/>
                <w:color w:val="auto"/>
              </w:rPr>
            </w:pPr>
            <w:r>
              <w:rPr>
                <w:rFonts w:ascii="Arial" w:cs="Arial" w:eastAsia="Arial" w:hAnsi="Arial"/>
                <w:sz w:val="18"/>
                <w:szCs w:val="18"/>
                <w:b w:val="1"/>
                <w:bCs w:val="1"/>
                <w:color w:val="auto"/>
                <w:w w:val="97"/>
              </w:rPr>
              <w:t>730 MILFORD ROAD,</w:t>
            </w:r>
          </w:p>
        </w:tc>
        <w:tc>
          <w:tcPr>
            <w:tcW w:w="1540" w:type="dxa"/>
            <w:vAlign w:val="bottom"/>
          </w:tcPr>
          <w:p>
            <w:pPr>
              <w:spacing w:after="0"/>
              <w:rPr>
                <w:sz w:val="24"/>
                <w:szCs w:val="24"/>
                <w:color w:val="auto"/>
              </w:rPr>
            </w:pPr>
          </w:p>
        </w:tc>
      </w:tr>
      <w:tr>
        <w:trPr>
          <w:trHeight w:val="231"/>
        </w:trPr>
        <w:tc>
          <w:tcPr>
            <w:tcW w:w="6220" w:type="dxa"/>
            <w:vAlign w:val="bottom"/>
          </w:tcPr>
          <w:p>
            <w:pPr>
              <w:jc w:val="center"/>
              <w:ind w:right="3342"/>
              <w:spacing w:after="0"/>
              <w:rPr>
                <w:sz w:val="20"/>
                <w:szCs w:val="20"/>
                <w:color w:val="auto"/>
              </w:rPr>
            </w:pPr>
            <w:r>
              <w:rPr>
                <w:rFonts w:ascii="Arial" w:cs="Arial" w:eastAsia="Arial" w:hAnsi="Arial"/>
                <w:sz w:val="18"/>
                <w:szCs w:val="18"/>
                <w:b w:val="1"/>
                <w:bCs w:val="1"/>
                <w:color w:val="auto"/>
              </w:rPr>
              <w:t>MERRIMACK, NEW HAMPSHIRE</w:t>
            </w:r>
          </w:p>
        </w:tc>
        <w:tc>
          <w:tcPr>
            <w:tcW w:w="1540" w:type="dxa"/>
            <w:vAlign w:val="bottom"/>
          </w:tcPr>
          <w:p>
            <w:pPr>
              <w:jc w:val="right"/>
              <w:ind w:right="244"/>
              <w:spacing w:after="0"/>
              <w:rPr>
                <w:sz w:val="20"/>
                <w:szCs w:val="20"/>
                <w:color w:val="auto"/>
              </w:rPr>
            </w:pPr>
            <w:r>
              <w:rPr>
                <w:rFonts w:ascii="Arial" w:cs="Arial" w:eastAsia="Arial" w:hAnsi="Arial"/>
                <w:sz w:val="18"/>
                <w:szCs w:val="18"/>
                <w:b w:val="1"/>
                <w:bCs w:val="1"/>
                <w:color w:val="auto"/>
              </w:rPr>
              <w:t>03054</w:t>
            </w:r>
          </w:p>
        </w:tc>
      </w:tr>
      <w:tr>
        <w:trPr>
          <w:trHeight w:val="174"/>
        </w:trPr>
        <w:tc>
          <w:tcPr>
            <w:tcW w:w="6220" w:type="dxa"/>
            <w:vAlign w:val="bottom"/>
          </w:tcPr>
          <w:p>
            <w:pPr>
              <w:jc w:val="center"/>
              <w:ind w:right="33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54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220" w:type="dxa"/>
            <w:vAlign w:val="bottom"/>
          </w:tcPr>
          <w:p>
            <w:pPr>
              <w:jc w:val="right"/>
              <w:ind w:right="1342"/>
              <w:spacing w:after="0"/>
              <w:rPr>
                <w:sz w:val="20"/>
                <w:szCs w:val="20"/>
                <w:color w:val="auto"/>
              </w:rPr>
            </w:pPr>
            <w:r>
              <w:rPr>
                <w:rFonts w:ascii="Arial" w:cs="Arial" w:eastAsia="Arial" w:hAnsi="Arial"/>
                <w:sz w:val="18"/>
                <w:szCs w:val="18"/>
                <w:b w:val="1"/>
                <w:bCs w:val="1"/>
                <w:color w:val="auto"/>
              </w:rPr>
              <w:t>(603) 683-2000</w:t>
            </w:r>
          </w:p>
        </w:tc>
        <w:tc>
          <w:tcPr>
            <w:tcW w:w="1540" w:type="dxa"/>
            <w:vAlign w:val="bottom"/>
          </w:tcPr>
          <w:p>
            <w:pPr>
              <w:spacing w:after="0"/>
              <w:rPr>
                <w:sz w:val="24"/>
                <w:szCs w:val="24"/>
                <w:color w:val="auto"/>
              </w:rPr>
            </w:pPr>
          </w:p>
        </w:tc>
      </w:tr>
      <w:tr>
        <w:trPr>
          <w:trHeight w:val="174"/>
        </w:trPr>
        <w:tc>
          <w:tcPr>
            <w:tcW w:w="6220" w:type="dxa"/>
            <w:vAlign w:val="bottom"/>
          </w:tcPr>
          <w:p>
            <w:pPr>
              <w:jc w:val="center"/>
              <w:ind w:left="2222"/>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5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8340" w:val="left"/>
          <w:tab w:leader="none" w:pos="91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18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$.01 par value, as of June 30, 2005 was 25,224,048.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vMerge w:val="restart"/>
          </w:tcPr>
          <w:p>
            <w:pPr>
              <w:spacing w:after="0"/>
              <w:rPr>
                <w:sz w:val="8"/>
                <w:szCs w:val="8"/>
                <w:color w:val="auto"/>
              </w:rPr>
            </w:pPr>
          </w:p>
        </w:tc>
        <w:tc>
          <w:tcPr>
            <w:tcW w:w="2960" w:type="dxa"/>
            <w:vAlign w:val="bottom"/>
            <w:gridSpan w:val="10"/>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4140" w:type="dxa"/>
            <w:vAlign w:val="bottom"/>
            <w:gridSpan w:val="4"/>
            <w:vMerge w:val="restart"/>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960" w:type="dxa"/>
            <w:vAlign w:val="bottom"/>
            <w:tcBorders>
              <w:bottom w:val="single" w:sz="8" w:color="0000EE"/>
            </w:tcBorders>
            <w:gridSpan w:val="10"/>
            <w:vMerge w:val="continue"/>
          </w:tcPr>
          <w:p>
            <w:pPr>
              <w:spacing w:after="0"/>
              <w:rPr>
                <w:sz w:val="24"/>
                <w:szCs w:val="24"/>
                <w:color w:val="auto"/>
              </w:rPr>
            </w:pPr>
          </w:p>
        </w:tc>
        <w:tc>
          <w:tcPr>
            <w:tcW w:w="41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
              <w:r>
                <w:rPr>
                  <w:rFonts w:ascii="Arial" w:cs="Arial" w:eastAsia="Arial" w:hAnsi="Arial"/>
                  <w:sz w:val="18"/>
                  <w:szCs w:val="18"/>
                  <w:color w:val="0000EE"/>
                </w:rPr>
                <w:t>Financial Statements:</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4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4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June 30, 2005 and December 31, 2004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104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 Three and six months ended June 30, 2005 and 2004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75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Stockholders’ Equity – Six months ended June 30, 2005</w:t>
              </w:r>
            </w:hyperlink>
          </w:p>
        </w:tc>
        <w:tc>
          <w:tcPr>
            <w:tcW w:w="2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1048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 Six months ended June 30, 2005 and 2004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678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7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3">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62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gridSpan w:val="13"/>
          </w:tcPr>
          <w:p>
            <w:pPr>
              <w:jc w:val="center"/>
              <w:ind w:right="4300"/>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Unregistered Sales of Equity Securities and Use of Proceeds</w:t>
              </w:r>
            </w:hyperlink>
          </w:p>
        </w:tc>
        <w:tc>
          <w:tcPr>
            <w:tcW w:w="62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1048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3080" w:type="dxa"/>
            <w:vAlign w:val="bottom"/>
            <w:tcBorders>
              <w:top w:val="single" w:sz="8" w:color="0000EE"/>
            </w:tcBorders>
            <w:gridSpan w:val="5"/>
          </w:tcPr>
          <w:p>
            <w:pPr>
              <w:spacing w:after="0"/>
              <w:rPr>
                <w:sz w:val="24"/>
                <w:szCs w:val="24"/>
                <w:color w:val="auto"/>
              </w:rPr>
            </w:pPr>
          </w:p>
        </w:tc>
        <w:tc>
          <w:tcPr>
            <w:tcW w:w="68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7">
              <w:r>
                <w:rPr>
                  <w:rFonts w:ascii="Arial" w:cs="Arial" w:eastAsia="Arial" w:hAnsi="Arial"/>
                  <w:sz w:val="18"/>
                  <w:szCs w:val="18"/>
                  <w:b w:val="1"/>
                  <w:bCs w:val="1"/>
                  <w:color w:val="0000EE"/>
                  <w:w w:val="94"/>
                </w:rPr>
                <w:t>SIGNATURES</w:t>
              </w:r>
            </w:hyperlink>
          </w:p>
        </w:tc>
        <w:tc>
          <w:tcPr>
            <w:tcW w:w="100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New Hampshire</w:t>
      </w:r>
    </w:p>
    <w:p>
      <w:pPr>
        <w:spacing w:after="0" w:line="15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reviewed the accompanying condensed consolidated balance sheet of PC Connection, Inc. and subsidiaries (the “Company”) as of June 30, 2005, and the related condensed consolidated statements of income for the three-month and six-month periods ended June 30, 2005 and 2004, and the condensed consolidated statement of changes in stockholders’ equity for the six-month period ended June 30, 2005, and the condensed consolidated statements of cash flows for the six-month periods ended June 30, 2005 and 2004. These interim financial statements are the responsibility of the Company’s management.</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reviews in accordance with the standards of the Public Company Accounting Oversight Board (United States). A review of interim financial information consists principally of applying analytical procedures to financial data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2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PC Connection, Inc. and subsidiaries as of December 31, 2004, and the related consolidated statements of income, stockholders’ equity, and cash flows for the year then ended (not presented herein); and in our report dated March 21, 2005, we expressed an unqualified opinion on those consolidated financial statements. In our opinion, the information set forth in the accompanying condensed consolidated balance sheet as of December 31, 2004 is fairly stated, in all material respects, in relation to the consolidated balance sheet from which it has been derived.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15,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6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(unaudited)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16,502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123,743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61,593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2,956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4,491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210,896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16,406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51,687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intangibles,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282,186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 affiliate</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third party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Note payable—bank</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17,406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earn-out obligation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103,066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maturities: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affiliate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 third party</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112,920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77,686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93,610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(2,286)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169,266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282,186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vMerge w:val="restart"/>
          </w:tcPr>
          <w:p>
            <w:pPr>
              <w:jc w:val="center"/>
              <w:ind w:left="1832"/>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gridSpan w:val="2"/>
          </w:tcPr>
          <w:p>
            <w:pPr>
              <w:jc w:val="right"/>
              <w:ind w:right="357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-4674235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-4674235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-4674235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-4674235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-4674235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-4674235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-557530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-557530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-557530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-557530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350,710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335,335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674,561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sales</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310,346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299,173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596,863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592,883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Gross profit</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37,379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72,795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Income from operations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(285)</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Income before taxes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(1,186)</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(1,859)</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 average common shares outstanding:</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Basic</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25,157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25,142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Basic</w:t>
            </w:r>
          </w:p>
        </w:tc>
        <w:tc>
          <w:tcPr>
            <w:tcW w:w="4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0" w:type="dxa"/>
            <w:vAlign w:val="bottom"/>
            <w:gridSpan w:val="2"/>
          </w:tcPr>
          <w:p>
            <w:pPr>
              <w:jc w:val="center"/>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300" w:type="dxa"/>
            <w:vAlign w:val="bottom"/>
          </w:tcPr>
          <w:p>
            <w:pPr>
              <w:jc w:val="right"/>
              <w:ind w:right="189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-2032635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-2032635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-2032635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-2032635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-2032635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-2032635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-2032635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-2032635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-2032635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-2032635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-2032635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-2032635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-1595120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-1595120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-1595120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-1595120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-1595120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-1595120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-1595120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-1595120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-1595120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-1595120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-1595120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-1595120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-1295400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-1295400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-1295400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-1295400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-1295400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-1295400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-1295400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-1295400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-1295400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-1295400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-1295400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-1295400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-857885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-857885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-857885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-857885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-857885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-857885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-857885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-857885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-857885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-857885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-857885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-557530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-557530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-557530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-557530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-557530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-557530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-557530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-557530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-557530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ind w:left="120"/>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Additional</w:t>
            </w:r>
          </w:p>
        </w:tc>
        <w:tc>
          <w:tcPr>
            <w:tcW w:w="200" w:type="dxa"/>
            <w:vAlign w:val="bottom"/>
            <w:vMerge w:val="restart"/>
          </w:tcPr>
          <w:p>
            <w:pPr>
              <w:spacing w:after="0"/>
              <w:rPr>
                <w:sz w:val="8"/>
                <w:szCs w:val="8"/>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9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Paid-In Capital</w:t>
            </w:r>
          </w:p>
        </w:tc>
        <w:tc>
          <w:tcPr>
            <w:tcW w:w="20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Balance—December 31, 2004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25,462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255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$(2,286)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240"/>
              <w:spacing w:after="0"/>
              <w:rPr>
                <w:sz w:val="20"/>
                <w:szCs w:val="20"/>
                <w:color w:val="auto"/>
              </w:rPr>
            </w:pPr>
            <w:r>
              <w:rPr>
                <w:rFonts w:ascii="Arial" w:cs="Arial" w:eastAsia="Arial" w:hAnsi="Arial"/>
                <w:sz w:val="15"/>
                <w:szCs w:val="15"/>
                <w:color w:val="auto"/>
                <w:w w:val="71"/>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8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Balance—June 30, 2005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25,586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256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$93,610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(362)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$(2,286)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$169,266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94576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4576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47"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60325</wp:posOffset>
            </wp:positionV>
            <wp:extent cx="12433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2,512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16,797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Income tax benefits from 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(2,222)</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Payment of acquisition earn-out obligation</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(6,921)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escrow distributed for acquisition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(9,130)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125,205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174,121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8"/>
              </w:rPr>
              <w:t>(130,015)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Issuance of stock under employee stock purchase plan</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financing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(4,701)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6,829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80" w:type="dxa"/>
            <w:vAlign w:val="bottom"/>
          </w:tcPr>
          <w:p>
            <w:pPr>
              <w:jc w:val="center"/>
              <w:ind w:left="1912"/>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00" w:type="dxa"/>
            <w:vAlign w:val="bottom"/>
            <w:gridSpan w:val="2"/>
          </w:tcPr>
          <w:p>
            <w:pPr>
              <w:jc w:val="right"/>
              <w:ind w:right="349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-557530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-557530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PC Connection, Inc. and its subsidiaries (“PC Connection,”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2004 filed with the Securities and Exchange Commission.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operating results for the three and six months ended June 30, 2005 may not be indicative of the results expected for any succeeding quarter or the entire year ending December 31, 2005.</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to the customer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 Should such returns no longer prove estimable, we believe that the impact on our financials would not necessarily be significant since the return privilege expires thirty days after shipment.</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amounts billed to a customer in a sale transaction related to shipping and handling, if any, represent revenues earned for the goods provided and have been classified as “net sales.” Costs related to such shipping and handling billings are classified as “cost of sales.”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for third party service contracts are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9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equipment manufacturers directly to our customers and receive agency fees for such transactions. We do not take title to the products in these transactions; title is passed directly from the supplier to our customer.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expenses. Total costs of this nature included in selling, general, and administrative expenses for the periods reported are shown below:</w:t>
      </w:r>
    </w:p>
    <w:p>
      <w:pPr>
        <w:spacing w:after="0" w:line="9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320" w:type="dxa"/>
            <w:vAlign w:val="bottom"/>
          </w:tcPr>
          <w:p>
            <w:pPr>
              <w:spacing w:after="0"/>
              <w:rPr>
                <w:sz w:val="15"/>
                <w:szCs w:val="15"/>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2,255</w:t>
            </w:r>
          </w:p>
        </w:tc>
        <w:tc>
          <w:tcPr>
            <w:tcW w:w="7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June 30, 2004</w:t>
            </w:r>
          </w:p>
        </w:tc>
        <w:tc>
          <w:tcPr>
            <w:tcW w:w="4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2,262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 and Reimbursements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Costs of producing and distributing catalogs are deferred and charged to expense over the period that each catalog remains the most current selling vehicle (generally one to two months) which approximates the period of probable benefits. Other advertising costs are expensed as incurred. Vendors have the ability to place advertisements in the catalogs for which we receive advertising allowances. These vendor allowances, to the extent that they represent reimbursements of such specific, incremental, and identifiable costs, are offset against selling, general, and administrative expense on the condensed consolidated statements of income. Advertising reimbursements that cannot be associated with a specific program funded by an individual vendor or that exceed the fair value of the advertising expense associated with that program are reclassified to cost of sales in accordance with EITF 02-16.</w:t>
      </w:r>
    </w:p>
    <w:p>
      <w:pPr>
        <w:spacing w:after="0" w:line="10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Advertising costs charged to expense were $6,199 and $5,693 for the three months ended June 30, 2005 and 2004, respectively. Gross advertising reimbursements received from vendors were $7,362 and $7,794 for the three months ended June 30, 2005 and 2004, respectively. We reclassified $4,165 and $512 of these reimbursements to cost of sales or inventory for the three months ended June 30, 2005 and 2004, respectively.</w:t>
      </w:r>
    </w:p>
    <w:p>
      <w:pPr>
        <w:spacing w:after="0" w:line="9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Advertising costs charged to expense were $11,896 and $10,173 for the six months ended June 30, 2005 and 2004, respectively. Gross advertising reimbursements received from vendors were $13,981 and $13,975 for the six months ended June 30, 2005 and 2004, respectively. We reclassified $7,314 and $1,075 of these reimbursements to cost of sales or inventory for the six months ended June 30, 2005 and 2004, respectively.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Intangible assets subject to amortization, consisting of customer lists, were $1,674 and $1,850 at June 30, 2005 and December 31, 2004, respectively (net of accumulated amortization of $1,146 and $970, respectively). For each of the three-month periods ended June 30, 2005 and 2004, we recorded amortization expense of $88. For each of the six-month periods ended June 30, 2005 and 2004, we recorded amortization expense of $176.</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for each of the five succeeding years and thereafter is as follows:</w:t>
      </w:r>
    </w:p>
    <w:p>
      <w:pPr>
        <w:spacing w:after="0" w:line="1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7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2006</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2008</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2010 and thereafter</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estimated amortization expense for the six months ending December 31, 2005.</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designated January 1 of each year as the date we perform our annual impairment tests relative to goodwill. This test was completed in the first quarter of 2005, and no impairment was recorded.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consolidated financial statements. Actual results could differ from those estimates.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Compensation expense associated with awards of stock or options to employees and directors is measured using the intrinsic value method in accordance with APB Opinion No. 25, “Accounting for Stock Issued to Employees.” The intrinsic value method requires that compensation expense, if any, be measured by the difference between the fair value of our common stock and the strike price of the option as of a measurement date. This measurement date is generally when both the number of shares and the strike price of the options are determined. Information concerning the impact of the utilization of the fair market value model prescribed by SFAS No. 123, “Accounting for Stock-Based Compensation,” is shown below.</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did not record any compensation expense under the intrinsic value method in the three and six months ended June 30, 2005 and 2004. Had we recorded compensation expense using the fair value method under SFAS No. 123, pro forma net income and diluted net income per share for the periods indicated would have been as follows: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50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1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$ 1,564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$2,512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Compensation expense, net of taxes, under SFAS No. 123</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under SFAS No. 123</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2,230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Basic net income per share, as reported</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 under SFAS No. 123</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Diluted net income per share, as reported</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 under SFAS No. 123</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measured the fair value of options on their grant date using the Black/Scholes option-pricing model. The key weighted-average assumptions we used to apply this pricing model were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1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9"/>
              </w:rPr>
              <w:t>Three Months Ended</w:t>
            </w: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57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75.37%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96.80%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75.75%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 grants</w:t>
            </w:r>
          </w:p>
        </w:tc>
        <w:tc>
          <w:tcPr>
            <w:tcW w:w="10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6"/>
              </w:rPr>
              <w:t>4 years</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4 years</w:t>
            </w:r>
          </w:p>
        </w:tc>
        <w:tc>
          <w:tcPr>
            <w:tcW w:w="10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83"/>
              </w:rPr>
              <w:t>4 years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1"/>
              </w:rPr>
              <w:t>4 years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weighted-average fair values of the stock options granted in the three months ended June 30, 2005 and 2004 were $3.51 and $4.91, respectively. The weighted-average fair values of the stock options granted in the six months ended June 30, 2005 and 2004 were $4.56 and $5.62,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common share is computed using the weighted average number of shares outstanding adjusted for the incremental shares attributed to options outstanding to purchase common stock, if dilutive.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2,256</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Denominator for basic earnings per share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25,157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25,142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Dilutive effect of unexercised employee 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25,211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25,274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-1624330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-1624330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-1624330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-1624330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-1624330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-1624330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-1624330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-1624330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-1624330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-1624330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-1624330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-1624330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-766445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-766445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-766445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-766445</wp:posOffset>
            </wp:positionV>
            <wp:extent cx="37274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-766445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-766445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-766445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-766445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-766445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-766445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-329565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-329565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-329565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-329565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-329565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-329565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-329565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-329565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-329565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37274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7274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unexercised stock options were excluded from the computation of diluted earnings per share for the three and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2005 and 2004 because the exercise prices of these options were generally greater than the average market price of common shares during the respective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48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5"/>
                <w:szCs w:val="15"/>
                <w:color w:val="auto"/>
              </w:rPr>
            </w:pPr>
          </w:p>
        </w:tc>
        <w:tc>
          <w:tcPr>
            <w:tcW w:w="134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jc w:val="right"/>
              <w:ind w:right="8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rPr>
              <w:t>2004</w:t>
            </w:r>
          </w:p>
        </w:tc>
        <w:tc>
          <w:tcPr>
            <w:tcW w:w="820" w:type="dxa"/>
            <w:vAlign w:val="bottom"/>
            <w:gridSpan w:val="2"/>
          </w:tcPr>
          <w:p>
            <w:pPr>
              <w:ind w:left="440"/>
              <w:spacing w:after="0"/>
              <w:rPr>
                <w:sz w:val="20"/>
                <w:szCs w:val="20"/>
                <w:color w:val="auto"/>
              </w:rPr>
            </w:pPr>
            <w:r>
              <w:rPr>
                <w:rFonts w:ascii="Arial" w:cs="Arial" w:eastAsia="Arial" w:hAnsi="Arial"/>
                <w:sz w:val="14"/>
                <w:szCs w:val="14"/>
                <w:b w:val="1"/>
                <w:bCs w:val="1"/>
                <w:color w:val="auto"/>
              </w:rPr>
              <w:t>2005</w:t>
            </w:r>
          </w:p>
        </w:tc>
        <w:tc>
          <w:tcPr>
            <w:tcW w:w="840" w:type="dxa"/>
            <w:vAlign w:val="bottom"/>
            <w:gridSpan w:val="2"/>
          </w:tcPr>
          <w:p>
            <w:pPr>
              <w:ind w:left="46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84"/>
              </w:rPr>
              <w:t>1,845</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4"/>
              </w:rPr>
              <w:t>1,471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3—New Accounting Pronouncements</w:t>
      </w:r>
    </w:p>
    <w:p>
      <w:pPr>
        <w:spacing w:after="0" w:line="8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 December 2004, the Financial Accounting Standards Board issued SFAS No. 123(R), “Share-Based Payment” (SFAS 123(R)). This Statement is a revision of SFAS 123, “Accounting for Stock-Based Compensation,” and supersedes APB Opinion No. 25, “Accounting for Stock Issued to Employees,” and its related implementation guidance. SFAS 123(R) requires a company to measure the grant date fair value of equity awards given to employees in exchange for services and recognize that cost over the period that such services are performed. SFAS 123(R) was deferred by the Securities and Exchange Commission in April 2005 and is now effective for the beginning of the first fiscal year after June 15, 2005 and will be effective for our interim quarter ending March 31, 2006. We are evaluating the two methods of adoption allowed by SFAS 123(R): the modified-prospective transition method and the modified-retrospective transition method. Adoption of SFAS 123(R) may materially increase stock compensation expense and decrease net income. In addition, SFAS 123(R) requires that the excess tax benefits related to stock compensation be reported as a cash inflow from financing activities rather than as a reduction of taxes paid in cash from operations.</w:t>
      </w:r>
    </w:p>
    <w:p>
      <w:pPr>
        <w:spacing w:after="0" w:line="95"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May 2005, the FASB issued SFAS No. 154, “Accounting Changes and Error Corrections,” (“FAS 154”) which is a replacement of APB Opinion No. 20, “Accounting Changes” and FASB Statement No. 3, “Reporting Accounting Changes in Interim Financial Statements.” FAS 154 changes the requirements for the accounting and reporting of accounting changes by requiring retrospective application to prior period financial statements unless impracticable. This statement is effective in fiscal years beginning after December 15, 2005. We do not expect the adoption of FAS 154 to have a material impact on our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“Public Sector” segment, which serves federal, state, and local government organizations and educational institutions, and the “Large Account” segment, which serves medium-to-large corporations.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information applicable to our reportable operating segments for the three and six months ended June 30, 2005 and 2004 is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9"/>
          </w:tcPr>
          <w:p>
            <w:pPr>
              <w:ind w:left="360"/>
              <w:spacing w:after="0"/>
              <w:rPr>
                <w:sz w:val="20"/>
                <w:szCs w:val="20"/>
                <w:color w:val="auto"/>
              </w:rPr>
            </w:pPr>
            <w:r>
              <w:rPr>
                <w:rFonts w:ascii="Arial" w:cs="Arial" w:eastAsia="Arial" w:hAnsi="Arial"/>
                <w:sz w:val="14"/>
                <w:szCs w:val="14"/>
                <w:b w:val="1"/>
                <w:bCs w:val="1"/>
                <w:color w:val="auto"/>
              </w:rPr>
              <w:t>Three Months Ended June 30, 2005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SMB</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6"/>
              </w:rPr>
              <w:t>Large Acct.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Segment</w:t>
            </w:r>
          </w:p>
        </w:tc>
        <w:tc>
          <w:tcPr>
            <w:tcW w:w="12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Segment</w:t>
            </w:r>
          </w:p>
        </w:tc>
        <w:tc>
          <w:tcPr>
            <w:tcW w:w="80" w:type="dxa"/>
            <w:vAlign w:val="bottom"/>
          </w:tcPr>
          <w:p>
            <w:pPr>
              <w:spacing w:after="0"/>
              <w:rPr>
                <w:sz w:val="15"/>
                <w:szCs w:val="15"/>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1"/>
              </w:rPr>
              <w:t>Segment</w:t>
            </w:r>
          </w:p>
        </w:tc>
        <w:tc>
          <w:tcPr>
            <w:tcW w:w="30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207,296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78,457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Transfers between segments</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56,155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(56,155)</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263,451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78,457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(56,155)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(15,952)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Allocations</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11,912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(15,952)</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and other—net</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2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1,652</w:t>
            </w: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9"/>
          </w:tcPr>
          <w:p>
            <w:pPr>
              <w:ind w:left="360"/>
              <w:spacing w:after="0"/>
              <w:rPr>
                <w:sz w:val="20"/>
                <w:szCs w:val="20"/>
                <w:color w:val="auto"/>
              </w:rPr>
            </w:pPr>
            <w:r>
              <w:rPr>
                <w:rFonts w:ascii="Arial" w:cs="Arial" w:eastAsia="Arial" w:hAnsi="Arial"/>
                <w:sz w:val="14"/>
                <w:szCs w:val="14"/>
                <w:b w:val="1"/>
                <w:bCs w:val="1"/>
                <w:color w:val="auto"/>
              </w:rPr>
              <w:t>Three Months Ended June 30, 2004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SMB</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6"/>
              </w:rPr>
              <w:t>Large Acct.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Segment</w:t>
            </w:r>
          </w:p>
        </w:tc>
        <w:tc>
          <w:tcPr>
            <w:tcW w:w="12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Segment</w:t>
            </w:r>
          </w:p>
        </w:tc>
        <w:tc>
          <w:tcPr>
            <w:tcW w:w="80" w:type="dxa"/>
            <w:vAlign w:val="bottom"/>
          </w:tcPr>
          <w:p>
            <w:pPr>
              <w:spacing w:after="0"/>
              <w:rPr>
                <w:sz w:val="15"/>
                <w:szCs w:val="15"/>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1"/>
              </w:rPr>
              <w:t>Segment</w:t>
            </w:r>
          </w:p>
        </w:tc>
        <w:tc>
          <w:tcPr>
            <w:tcW w:w="30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194,058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77,942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Transfers between segments</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58,781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(58,781)</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252,839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77,942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(58,781)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(15,941)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Allocations</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11,814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(15,941)</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and other—net</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2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1,582</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20" w:type="dxa"/>
            <w:vAlign w:val="bottom"/>
          </w:tcPr>
          <w:p>
            <w:pPr>
              <w:jc w:val="right"/>
              <w:ind w:right="33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-4725670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-4725670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-4725670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-4725670</wp:posOffset>
            </wp:positionV>
            <wp:extent cx="258572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8572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-3584575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-3584575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-3584575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-3584575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-3584575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-3584575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-3584575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-3584575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-3584575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-3584575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-3584575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-3584575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-3584575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-3584575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-3584575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-1878330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-1878330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-1878330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-1878330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-1878330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-1878330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-1878330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-1878330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-1878330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-1878330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-1878330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-1878330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-1878330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-1878330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-1878330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-737870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-737870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-737870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-737870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-737870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-737870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-737870</wp:posOffset>
            </wp:positionV>
            <wp:extent cx="4330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-737870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-737870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-737870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-737870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-737870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-737870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Six Months Ended June 30, 2005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SMB</w:t>
            </w:r>
          </w:p>
        </w:tc>
        <w:tc>
          <w:tcPr>
            <w:tcW w:w="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Large Acct.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Segment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Segment</w:t>
            </w:r>
          </w:p>
        </w:tc>
        <w:tc>
          <w:tcPr>
            <w:tcW w:w="220" w:type="dxa"/>
            <w:vAlign w:val="bottom"/>
          </w:tcPr>
          <w:p>
            <w:pPr>
              <w:spacing w:after="0"/>
              <w:rPr>
                <w:sz w:val="15"/>
                <w:szCs w:val="15"/>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6"/>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407,621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112,117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$154,823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(102,399)</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510,020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112,117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$154,823</w:t>
            </w:r>
          </w:p>
        </w:tc>
        <w:tc>
          <w:tcPr>
            <w:tcW w:w="12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(102,399)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Allocations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(31,112)</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Interest and other—net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Balance Sheet Data: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52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189,774</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51,465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99,704</w:t>
            </w:r>
          </w:p>
        </w:tc>
        <w:tc>
          <w:tcPr>
            <w:tcW w:w="32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(58,757)</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282,186</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Six Months Ended June 30, 2004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SMB</w:t>
            </w:r>
          </w:p>
        </w:tc>
        <w:tc>
          <w:tcPr>
            <w:tcW w:w="2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Public Sector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Large Acct.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Segment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Segment</w:t>
            </w:r>
          </w:p>
        </w:tc>
        <w:tc>
          <w:tcPr>
            <w:tcW w:w="220" w:type="dxa"/>
            <w:vAlign w:val="bottom"/>
          </w:tcPr>
          <w:p>
            <w:pPr>
              <w:spacing w:after="0"/>
              <w:rPr>
                <w:sz w:val="15"/>
                <w:szCs w:val="15"/>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6"/>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401,482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117,187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$144,301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105,629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(105,629)</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507,111</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117,187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$144,301</w:t>
            </w:r>
          </w:p>
        </w:tc>
        <w:tc>
          <w:tcPr>
            <w:tcW w:w="12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(105,629)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before allocations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Allocations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23,784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(31,670)</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Interest and other—net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640" w:type="dxa"/>
            <w:vAlign w:val="bottom"/>
            <w:gridSpan w:val="4"/>
          </w:tcPr>
          <w:p>
            <w:pPr>
              <w:spacing w:after="0"/>
              <w:rPr>
                <w:sz w:val="20"/>
                <w:szCs w:val="20"/>
                <w:color w:val="auto"/>
              </w:rPr>
            </w:pPr>
            <w:r>
              <w:rPr>
                <w:rFonts w:ascii="Arial" w:cs="Arial" w:eastAsia="Arial" w:hAnsi="Arial"/>
                <w:sz w:val="18"/>
                <w:szCs w:val="18"/>
                <w:color w:val="auto"/>
              </w:rPr>
              <w:t>Balance Sheet Data: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200,759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Goodwill,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-5459730</wp:posOffset>
            </wp:positionV>
            <wp:extent cx="301434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1434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-4319270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-4319270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-4319270</wp:posOffset>
            </wp:positionV>
            <wp:extent cx="25939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9397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-2132330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-2132330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-2132330</wp:posOffset>
            </wp:positionV>
            <wp:extent cx="25939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9397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-991870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-991870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-991870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-991870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-991870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-991870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-991870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-991870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-991870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-991870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-991870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-991870</wp:posOffset>
            </wp:positionV>
            <wp:extent cx="7073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7390" cy="29845"/>
                    </a:xfrm>
                    <a:prstGeom prst="rect">
                      <a:avLst/>
                    </a:prstGeom>
                    <a:noFill/>
                  </pic:spPr>
                </pic:pic>
              </a:graphicData>
            </a:graphic>
          </wp:anchor>
        </w:drawing>
      </w:r>
    </w:p>
    <w:p>
      <w:pPr>
        <w:spacing w:after="0" w:line="11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General and administrative expenses were charged to the reportable operating segments, based on their estimated usage of the underlying functions. Interest and other expense was charged to the segments, based on the actual costs incurred by each segment, net of interest and other income generated. The amount shown above representing total assets eliminated consists of inter-segment receivables, resulting primarily from inter-segment sales transfers reported above and from inter-segment service charges.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segment, sales channel, and product mix are presented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5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980" w:type="dxa"/>
            <w:vAlign w:val="bottom"/>
            <w:gridSpan w:val="6"/>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5"/>
              </w:rPr>
              <w:t>Segment (excludes transfers between segments)</w:t>
            </w:r>
          </w:p>
        </w:tc>
        <w:tc>
          <w:tcPr>
            <w:tcW w:w="4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SMB</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207,296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194,058</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$ 407,621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$ 401,482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63,335</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112,117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78,457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77,942</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154,823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350,710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335,335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$ 674,561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$ 662,970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Sales Channel</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Outbound Telemarketing and Field Sales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246,088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244,859</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$ 473,321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$ 492,682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Internet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69,724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163,932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Inbound Telesales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18,907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20,752</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37,308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350,710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335,335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$ 674,561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$ 662,970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Product Mix</w:t>
            </w:r>
          </w:p>
        </w:tc>
        <w:tc>
          <w:tcPr>
            <w:tcW w:w="708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Notebooks and PDAs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63,615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67,413</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$ 124,465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$ 136,150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Desktop/Servers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46,228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99,677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Storage Devices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28,739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26,710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57,600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39,435</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80,811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Net/Com Products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23,680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52,701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Printers and Printer Supplies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39,737</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72,114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Video, Imaging, and Sound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43,165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42,157</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80,730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Memory and System Enhancements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17,593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35,227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5"/>
          </w:tcPr>
          <w:p>
            <w:pPr>
              <w:ind w:left="420"/>
              <w:spacing w:after="0"/>
              <w:rPr>
                <w:sz w:val="20"/>
                <w:szCs w:val="20"/>
                <w:color w:val="auto"/>
              </w:rPr>
            </w:pPr>
            <w:r>
              <w:rPr>
                <w:rFonts w:ascii="Arial" w:cs="Arial" w:eastAsia="Arial" w:hAnsi="Arial"/>
                <w:sz w:val="18"/>
                <w:szCs w:val="18"/>
                <w:color w:val="auto"/>
              </w:rPr>
              <w:t>Accessories/Other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37,908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32,382</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71,236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350,710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335,335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$ 674,561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$ 662,970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-2842260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-2842260</wp:posOffset>
            </wp:positionV>
            <wp:extent cx="213931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3931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-1847215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-1847215</wp:posOffset>
            </wp:positionV>
            <wp:extent cx="213931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3931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56464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6464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Substantially all of our net sales for the six months ended June 30, 2005 and 2004 were made to customers located in the United States. Shipments to customers located in foreign countries aggregated less than 2% in each of those respective periods. All of our assets at June 30, 2005 and December 31, 2004 were located in the United States. Our primary target customers are small- to medium-sized businesses comprised of 20 to 500 employees, federal, state, and local governmental agencies, educational institutions, and medium-to-large corporate accounts. Except for the federal government, no single customer accounted for more than 2% of total net sales in the three and six months ended June 30, 2005 and 2004. Net sales to the federal government accounted for $15,532, or 4.4% of total net sales for the three months ended June 30, 2005, and $11,001, or 3.3% of total net sales for the three months ended June 30, 2004. Net sales to the federal government accounted for $25,562, or 3.8% of total net sales for the six months ended June 30, 2005, and $25,468, or 3.8% of total net sales for the six months ended June 30,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5—Special Charges</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did not record any special charges in the three and six months ended June 30, 2005. In the three months ended June 30, 2004, we recorded special charges of $26 related to staff reductions, $688 related to the General Services Administration (“GSA”) contract cancellation, and $39 related to additional costs incurred as a result of a 2003 employee defalcation. In the six months ended June 30, 2004, we recorded special charges of $575 related to staff reductions, $1,127 related to the GSA contract cancellation, and $81 related to additional costs incurred as a result of a 2003 employee defalcation.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rollforward of restructuring reserves for the six months ended June 30, 2005 is shown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8"/>
              </w:rPr>
              <w:t>Litigation</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GSA</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Matters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Review</w:t>
            </w: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 and adjustments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June 30, 2005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200</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at June 30, 2005 and December 31, 2004 are included in accrued expenses and other liabilities on the balance sheet.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 of MoreDirect, Inc.</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April 5, 2002, we completed the acquisition of MoreDirect, Inc. Our Annual Report on Form 10-K for the year ended December 31, 2004 details this transaction. Under the terms of the agreement, MoreDirect’s shareholder continued to be eligible to earn additional consideration based upon MoreDirect achieving targeted levels of annual earnings before income taxes through December 31, 2004. For the years ended December 31, 2004, 2003, and 2002, we paid earn-out consideration owed to MoreDirect’s shareholder of $6,921, $11,095, and $10,829, respectively. The payment for the year ended December 31, 2004 was the final payment required under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are subject to various legal proceedings and claims which have arisen during the ordinary course of business. These claims include a patent infringement action filed in the U.S. District Court for the Southern District of Ohio (the “Ohio Action”). We deny the allegations made in the Ohio Action, intend to vigorously defend the Ohio Action, and have filed a motion to dismiss it. The parties also have participated in a non-binding mediation session, and the plaintiff has proposed a settlement of $2,200. We accrued $200 in the fourth quarter of 2004. In the opinion of management, the outcome of all these matters including the Ohio Action is not expected to have a material effect on our financial position, results of operations, and cash flows.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also subject to audit by various government agencies relating to sales under certain government contracts. As noted in our Annual Report on Form 10-K for the year ended December 31, 2004, the GSA, in the fourth quarter of 2003, canceled the contract that our subsidiary, GovConnection, Inc. (“GovConnection”), had with that agency. Although the GSA awarded GovConnection a new contract in August 2004, we have not received an audit report or received a claim from the GSA concerning amounts that might be owed pursuant to that agency’s audit. We believe that we have provided adequate reserves to cover any claims as they relate to payment of fees required under the contract. In light of additional information that came to our attention, we have, for the quarter ended June 30, 2005, increased the reserve for such fees or any penalties assessed from $800 to $1,050. We will continue to evaluate such reserves in light of additional information that comes to our attention.</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matter has been referred to the Department of Justice for its review, and we are cooperating in that review. Such a referral exposes us to possible civil damages for non-compliance with the GSA contract. Such damages can be substantial. No reserves have been provided for such a claim because of the preliminary nature of this matter. We will continue to evaluate our reserves—as they relate both to the GSA audit and the Department of Justice investigation—in light of additional information that comes to our attention. The ultimate outcome of these matters cannot be determined. Future events may result in conclusions that could have a material impact, either positively or negatively, on our results of operations or financial condition. We have no indication of intentional wrongdoing by GovConnection regarding the GSA contract. In order to assist in this evaluation, we engaged outside counsel and an independent consulting firm to review our systems, policies, and procedures relative to its federal, state, and local government contracts. That review has been substantially completed.</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accruals for certain state and federal tax contingencies when, despite our belief that our tax return positions are fully supported, we believe that certain positions are probable of being successfully challenged. These accruals relate primarily to various state tax jurisdictional issues concerning the nature and extent of our operations and activities in those states. The tax contingency accruals are adjusted in light of changing facts and circumstances. Net increases in these accruals were $23 and $9 for the three and six months ended June 30, 2005, respectively. Total tax contingency reserves were $1,206 at June 30,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8—Bank Borrowing and Trade Credit Arrangements</w:t>
      </w:r>
    </w:p>
    <w:p>
      <w:pPr>
        <w:spacing w:after="0" w:line="8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On June 29, 2005, we secured a new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(6.25% at June 30, 2005). The credit facility includes various customary financial and operating covenants, including minimum net worth and maximum funded debt ratio requirements, and restrictions on the payment of dividends, and default acceleration provisions, none of which we believe significantly restricts our operations. The maximum allowable funded debt ratio under the agreement is 2.0 to 1.0; our actual funded debt ratio at June 30, 2005 was 0.2 to 1.0. Funded debt ratio is the ratio of average outstanding advances under the facility to EBITDA (Earnings Before Interest Expense, Taxes, Depreciation, and Amortization). Borrowing availability under the agreement was $50,000 at June 30, 2005. This facility replaced a similar $45,000 facility which was in place previously.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borrowings were outstanding under this credit facility as of June 30, 2005. Borrowings of $4,810 were outstanding under the previous credit facility at December 31, 2004. The credit facility matures on June 29, 2008, at which time amounts outstanding, if any, become due.</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June 30, 2005 and December 31, 2004, we had security agreements with two financial institutions to facilitate the purchase of inventory from various suppliers under certain terms and conditions. The agreements allow a collateralized position in inventory financed by the financial institutions up to an aggregated amount of $45,000. The cost of such financing under these agreements is borne by the suppliers by discounting their invoices to the financial institutions as an incentive for us to purchase their products. We do not pay any interest or discount fees on such inventory financing. At June 30, 2005 and December 31, 2004, accounts payable included $11,913 and $8,215, respectively, owed to these financial institutions.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contains forward-looking statements based on management’s current expectations, estimates, and projections about our industry, management’s beliefs, and certain assumptions made by management All statements, trends, analyses, and other information contained in this report relative to trends in net sales, gross margin, and anticipated expense levels, as well as other statements, including words such as “anticipate,” “believe,” “plan,” “estimate,” “expect,” “may,” “project,” “will,” “would,” and “intend” and other similar expressions, constitute forward-looking statements. These forward-looking statements involve risks and uncertainties, and actual results may differ materially from those anticipated or expressed in such statements. Potential risks and uncertainties include, among others, those set forth under the caption “Factors That May Affect Future Results and Financial Condition” included within this section. Particular attention should be paid to the cautionary statements involving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Except as required by law, we undertake no obligation to update any forward-looking statement, whether as a result of new information, future events, or otherwise. Readers, however, should carefully review the factors set forth in other reports or documents that we file from time to time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PC Connection, Inc. (“we,” “us,” or “our”) is a national direct marketer of a wide range of information technology products and services—including computer systems, software and peripheral equipment, networking communications, and other products and accessories that we purchase from manufacturers, distributors, and other suppliers. We also offer a growing range of repair, installation, and other services performed by third-party providers. We operate through three primary business segments: (1) consumers and small- to medium-sized businesses (“SMB”) through our PC Connection Sales subsidiary, (2) federal, state, and local government and educational institutions (“Public Sector”) through our GovConnection subsidiary, and (3) large corporate accounts (“Large Account”) through our MoreDirect subsidiary.</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our sales representing less than 1% of the overall approximately $200 billion United States Information Technology (“IT”) market, we believe we have an excellent opportunity to grow and gain a larger share of this market. We anticipate that most of this additional market share will come from smaller value-added resellers who have the largest share of the current IT market. We expect our expanding service offerings to compete effectively with these historical service providers.</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noted in our 2004 Annual Report on Form 10-K, the General Services Administration (“GSA”) canceled its contract with GovConnection in November 2003, following its review of that subsidiary’s contract management system and procedures and the possibility of the sale of unqualified items and underpayment of required fees. Although we received a new contract in August 2004, we saw a significant year-over-year decline in our federal government sales. Our federal government revenues may continue to be negatively impacted as GovConnection seeks to regain sales under the new GSA contract. This matter is further discussed below in the section entitled “Factors That May Affect Future Results and Financial Condition.”</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primary challenges we face in effectively managing our business are: (1) increasing our SMB and Public Sector revenues while continuing to improve our gross profit margins in all three sales subsidiaries, (2) recruiting, retaining, and improving the productivity of our sales personnel, and (3) effectively managing and leveraging our selling, general, and administrative (“SG&amp;A”) expenses over a higher sales base. With only modest growth projected in the overall IT industry, any significant sales growth for us must come through increased market share. Competition is expected to be even more intense in the future, which could put more pressure on margins.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derived from our statements of income expressed as a percentage of net sales for the periods indicated.</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5"/>
                <w:szCs w:val="15"/>
                <w:color w:val="auto"/>
              </w:rPr>
            </w:pPr>
          </w:p>
        </w:tc>
        <w:tc>
          <w:tcPr>
            <w:tcW w:w="168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4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20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6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(in millions)</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$350.7</w:t>
            </w:r>
          </w:p>
        </w:tc>
        <w:tc>
          <w:tcPr>
            <w:tcW w:w="3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$ 335.3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$674.6</w:t>
            </w: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11.5</w:t>
            </w:r>
          </w:p>
        </w:tc>
        <w:tc>
          <w:tcPr>
            <w:tcW w:w="3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3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3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3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-781685</wp:posOffset>
            </wp:positionV>
            <wp:extent cx="34734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-781685</wp:posOffset>
            </wp:positionV>
            <wp:extent cx="3556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-781685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-781685</wp:posOffset>
            </wp:positionV>
            <wp:extent cx="34734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overall increase in sales resulted from year-over-year sales growth achieved in all three business segments. The year-over-year increases in our gross margins and substantially all of the increases in our SG&amp;A expenses as a percentage of net sales are attributable to a reclassification of certain vendor consideration amounts. As noted in our Annual Report on Form 10-K for the year ended December 31, 2004, we revised our estimates relating to vendor consideration as a result of Emerging Issues Task Force Issue No. 02-16, “Accounting by a Customer (Including a Reseller) for Certain Consideration Received from a Vendor” (“EITF 02-16”). Most product manufacturers provide us with co-op advertising support in exchange for product coverage in our catalogs as well as other advertising promotions. This pronouncement requires that such consideration be recorded as a reduction of cost of sales unless the consideration represents reimbursement for costs incurred for a specific advertising program funded by an individual vendor. In the three- and six-month periods ended June 30, 2005, we reclassified $3.7 million and $6.5 million, respectively, of additional advertising reimbursements in excess of advertising costs incurred from SG&amp;A expenses to cost of goods sold and inventory. We reclassified $3.6 million and $6.2 million of these respective amounts to cost of goods sold, and the respective balances were deducted from inventory. Such excess advertising reimbursements had previously been recorded as offsets to SG&amp;A expense. For the three months ended June 30, 2005, this reclassification resulted in an increase, on a consolidated basis, of 1.0% in both gross margin and in SG&amp;A expenses as a percentage of net sales. For the six months ended June 30, 2005, this reclassification resulted in an increase, on a consolidated basis, of 0.9% in gross margin and 1.0% in SG&amp;A expenses as a percentage of net sales.</w:t>
      </w:r>
    </w:p>
    <w:p>
      <w:pPr>
        <w:spacing w:after="0" w:line="10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SG&amp;A rates were also adversely impacted by increased catalog circulation and Internet advertising costs and by our investment in federal sales representatives in our Public Sector segment.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sales channel, and product mix: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560" w:type="dxa"/>
            <w:vAlign w:val="bottom"/>
            <w:gridSpan w:val="6"/>
          </w:tcPr>
          <w:p>
            <w:pPr>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7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3"/>
              </w:rPr>
              <w:t>Business Segment</w:t>
            </w:r>
          </w:p>
        </w:tc>
        <w:tc>
          <w:tcPr>
            <w:tcW w:w="6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SMB</w:t>
            </w:r>
          </w:p>
        </w:tc>
        <w:tc>
          <w:tcPr>
            <w:tcW w:w="1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60%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Large Account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9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Sales Channel</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Outbound Telemarketing and Field Sales</w:t>
            </w:r>
          </w:p>
        </w:tc>
        <w:tc>
          <w:tcPr>
            <w:tcW w:w="1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73%</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70%</w:t>
            </w: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Internet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Inbound Telesales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9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Product Mix</w:t>
            </w:r>
          </w:p>
        </w:tc>
        <w:tc>
          <w:tcPr>
            <w:tcW w:w="6660" w:type="dxa"/>
            <w:vAlign w:val="bottom"/>
            <w:tcBorders>
              <w:bottom w:val="single" w:sz="8" w:color="CCEEFF"/>
            </w:tcBorders>
            <w:gridSpan w:val="3"/>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Notebooks and PDAs</w:t>
            </w:r>
          </w:p>
        </w:tc>
        <w:tc>
          <w:tcPr>
            <w:tcW w:w="1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Desktop/Servers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Storage Devices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Software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Net/Com Products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Printers and Printer Supplies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Videos, Imaging, and Sound</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Memory and System Enhancements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gridSpan w:val="5"/>
          </w:tcPr>
          <w:p>
            <w:pPr>
              <w:ind w:left="420"/>
              <w:spacing w:after="0"/>
              <w:rPr>
                <w:sz w:val="20"/>
                <w:szCs w:val="20"/>
                <w:color w:val="auto"/>
              </w:rPr>
            </w:pPr>
            <w:r>
              <w:rPr>
                <w:rFonts w:ascii="Arial" w:cs="Arial" w:eastAsia="Arial" w:hAnsi="Arial"/>
                <w:sz w:val="18"/>
                <w:szCs w:val="18"/>
                <w:color w:val="auto"/>
              </w:rPr>
              <w:t>Accessories/Other</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9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-2842260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-2842260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-2842260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-2842260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-2842260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-2842260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-2842260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-2842260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-1847215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-1847215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-1847215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-1847215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-1847215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-1847215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-1847215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-1847215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including those pursuant to EITF 02-16. Direct operating expenses relating to our purchasing function and receiving, inspection, internal transfer, warehousing, packing and shipping, and other expenses of our distribution center are included in selling, general, and administrative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9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2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0.64%</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6"/>
              </w:rPr>
              <w:t>0.64%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June 30, 2004</w:t>
            </w:r>
          </w:p>
        </w:tc>
        <w:tc>
          <w:tcPr>
            <w:tcW w:w="1220" w:type="dxa"/>
            <w:vAlign w:val="bottom"/>
          </w:tcPr>
          <w:p>
            <w:pPr>
              <w:ind w:left="920"/>
              <w:spacing w:after="0"/>
              <w:rPr>
                <w:sz w:val="20"/>
                <w:szCs w:val="20"/>
                <w:color w:val="auto"/>
              </w:rPr>
            </w:pPr>
            <w:r>
              <w:rPr>
                <w:rFonts w:ascii="Arial" w:cs="Arial" w:eastAsia="Arial" w:hAnsi="Arial"/>
                <w:sz w:val="18"/>
                <w:szCs w:val="18"/>
                <w:color w:val="auto"/>
                <w:w w:val="79"/>
              </w:rPr>
              <w:t>0.67</w:t>
            </w:r>
          </w:p>
        </w:tc>
        <w:tc>
          <w:tcPr>
            <w:tcW w:w="800" w:type="dxa"/>
            <w:vAlign w:val="bottom"/>
          </w:tcPr>
          <w:p>
            <w:pPr>
              <w:spacing w:after="0"/>
              <w:rPr>
                <w:sz w:val="19"/>
                <w:szCs w:val="19"/>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w w:val="79"/>
              </w:rPr>
              <w:t>0.67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overall gross profit margins, as a percentage of net sales, over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9"/>
              </w:rPr>
              <w:t>Three Months Ended</w:t>
            </w: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28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4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2"/>
                <w:szCs w:val="22"/>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w:t>
            </w:r>
          </w:p>
        </w:tc>
        <w:tc>
          <w:tcPr>
            <w:tcW w:w="4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5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12.4%</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5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color w:val="auto"/>
              </w:rPr>
              <w:t>Large Account</w:t>
            </w:r>
          </w:p>
        </w:tc>
        <w:tc>
          <w:tcPr>
            <w:tcW w:w="53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10.5</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9.8</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10.5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60" w:type="dxa"/>
            <w:vAlign w:val="bottom"/>
          </w:tcPr>
          <w:p>
            <w:pPr>
              <w:jc w:val="right"/>
              <w:ind w:right="1836"/>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discussed previously, our revised estimates relating to EITF 02-16 resulted in a 1.0% overall improvement in gross margin rate for the second quarter of 2005. Specifically, on a segment basis for the three months ended June 30, 2005, our revised estimates relating to EITF 02-16 resulted in 1.2% and 1.7% increases in our SMB and Public Sector gross margin rates, respectively. For the six-month period ended June 30, 2005, this same revision resulted in 1.2% and 1.0% increases in our respective SMB and Public Sector gross margin rates. Partially offsetting the effect of such revision, gross margin rates for our SMB segment decreased modestly for both the three- and six-month periods ending June 30, 2005, as a result of an increasingly competitive environment. Similar competitive pressures also affected our Public Sector segment. However, favorable changes in MoreDirect’s customer mix and increased supplier rebates led to year-over-year increases in our Large Account segment’s margin rate for the three and six months ended June 30, 2005.</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periods indicated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5"/>
                <w:szCs w:val="15"/>
                <w:color w:val="auto"/>
              </w:rPr>
            </w:pPr>
          </w:p>
        </w:tc>
        <w:tc>
          <w:tcPr>
            <w:tcW w:w="13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95"/>
        </w:trPr>
        <w:tc>
          <w:tcPr>
            <w:tcW w:w="540" w:type="dxa"/>
            <w:vAlign w:val="bottom"/>
            <w:gridSpan w:val="2"/>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0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4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44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$ 24.7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$ 48.3</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$ 46.0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Advertising, net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4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Credit card fees</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4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Bad debts</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4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$ 37.4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$ 72.8</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Percentage of net sales</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-329565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-329565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-329565</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-329565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-329565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-329565</wp:posOffset>
            </wp:positionV>
            <wp:extent cx="29591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3302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30416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25"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Personnel costs continue to represent the majority of our operating expenses, with sales personnel representing the largest portion of these costs. Our other operating costs, except for credit card fees and bad debts, tend to be relatively fixed over changing sales levels. Net advertising increased due to increases in our catalog circulation and Internet advertising and as a result of a revision of the estimates employed while implementing EITF 02-16, discussed earlier.</w:t>
      </w:r>
    </w:p>
    <w:p>
      <w:pPr>
        <w:spacing w:after="0" w:line="7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the three months ended June 30, 2005 and 2004, we recorded gross advertising expense of $6.2 million and $5.7 million, respectively, and received total vendor advertising funding of $7.4 million and $7.8 million, respectively. We reclassified $4.2 million and $0.5 million, respectively, of this funding to cost of sales and inventory. As discussed earlier, we revised our estimates used to determine excess vendor advertising in 2004, and accordingly, $3.7 million of the second quarter 2005 reclassification relates to this revision in our estimates. Consequently, our reported net advertising expense increased year over year in the second quarter of 2005.</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six months ended June 30, 2005 and 2004, we recorded gross advertising expense of $11.9 million and $10.2 million, respectively, and received total vendor advertising funding of $14.0 million in each period. We reclassified $7.3 million and $1.1 million, respectively, of these reimbursements to cost of sales and inventory. As discussed earlier, we revised our estimates used to determine excess vendor advertising in 2004, and accordingly, $6.5 million of the 2005 reclassification relates to this revision in our estimates, which accounts for the majority of our net advertising expense increase in the six months ended June 30, 2005.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Although the level of vendor co-op advertising support available to us from certain manufacturers has declined from previous years, and may decline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further in the future, the overall level of co-op advertising support has remained consistent with our levels of spending for catalog and other advertising programs.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overall levels of co-op advertising support available over the next twelve months will be consistent with our planned advertising programs.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June 30, 2005 Compared to Three Months Ended June 30, 2004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9"/>
              </w:rPr>
              <w:t>2005</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 of Net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 of Net</w:t>
            </w: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Sales</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207.3</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194.1</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57.9%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350.7</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335.3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22.8</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-1021715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-1021715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-1021715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-1021715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-1021715</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-1021715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-1021715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-1021715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-1021715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-1021715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-27305</wp:posOffset>
            </wp:positionV>
            <wp:extent cx="32131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-27305</wp:posOffset>
            </wp:positionV>
            <wp:extent cx="32131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for the second quarter of 2005 increased compared to the second quarter of 2004 in all three of our segments, as explained by the following:</w:t>
      </w:r>
    </w:p>
    <w:p>
      <w:pPr>
        <w:spacing w:after="0" w:line="100" w:lineRule="exact"/>
        <w:rPr>
          <w:sz w:val="20"/>
          <w:szCs w:val="20"/>
          <w:color w:val="auto"/>
        </w:rPr>
      </w:pPr>
    </w:p>
    <w:p>
      <w:pPr>
        <w:ind w:left="340" w:hanging="332"/>
        <w:spacing w:after="0" w:line="30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sales for our SMB segment increased due to an increase in sales representatives and the implementation of customer acquisition initiatives, including free shipping for Internet orders above specified order amounts. Sales representatives for our SMB segment totaled 424 at June 30, 2005, an increase from 377 at June 30, 2004. Sales productivity decreased modestly year over year as the increase in sales representatives outpaced the increase in net sales.</w:t>
      </w:r>
    </w:p>
    <w:p>
      <w:pPr>
        <w:spacing w:after="0" w:line="12" w:lineRule="exact"/>
        <w:rPr>
          <w:rFonts w:ascii="Arial" w:cs="Arial" w:eastAsia="Arial" w:hAnsi="Arial"/>
          <w:sz w:val="16"/>
          <w:szCs w:val="16"/>
          <w:color w:val="auto"/>
        </w:rPr>
      </w:pPr>
    </w:p>
    <w:p>
      <w:pPr>
        <w:ind w:left="340" w:right="6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Public Sector segment increased due to a 41.2% increase in sales to the federal government, partially offset by a 5.6% decline in sales to state and local government units and educational organizations. Our federal government revenues increased due to the successful negotiation of new contract vehicles and the increase in the number of vendors on our new GSA schedule, which was awarded in August 2004. Sales representatives for our Public Sector segment totaled 109 at June 30, 2005, a decline from 110 at June 30, 2004.</w:t>
      </w:r>
    </w:p>
    <w:p>
      <w:pPr>
        <w:spacing w:after="0" w:line="48" w:lineRule="exact"/>
        <w:rPr>
          <w:rFonts w:ascii="Arial" w:cs="Arial" w:eastAsia="Arial" w:hAnsi="Arial"/>
          <w:sz w:val="18"/>
          <w:szCs w:val="18"/>
          <w:color w:val="auto"/>
        </w:rPr>
      </w:pPr>
    </w:p>
    <w:p>
      <w:pPr>
        <w:ind w:left="340" w:right="180" w:hanging="332"/>
        <w:spacing w:after="0" w:line="30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sales for our Large Account segment increased for the sixth consecutive quarter year over year. Average annualized sales productivity increased 10.7% compared to the prior year quarter as its sales representatives increased revenues from existing customers as well as acquired new accounts in the large corporate market. Sales representatives for our Large Account segment totaled 69 at June 30, 2005, down from 76 at June 30, 2004.</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second quarter of 2005 increased compared to the second quarter of 2004 in both dollars and gross margin rates in all three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as explained by the following:</w:t>
      </w:r>
    </w:p>
    <w:p>
      <w:pPr>
        <w:spacing w:after="0" w:line="37" w:lineRule="exact"/>
        <w:rPr>
          <w:sz w:val="20"/>
          <w:szCs w:val="20"/>
          <w:color w:val="auto"/>
        </w:rPr>
      </w:pPr>
    </w:p>
    <w:p>
      <w:pPr>
        <w:ind w:left="340" w:right="80" w:hanging="332"/>
        <w:spacing w:after="0" w:line="29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profit for our SMB segment increased primarily as a result of the revision of estimates used to reclassify excess vendor consideration from SG&amp;A to cost of goods sold. For our SMB segment, we reclassified an additional $2.5 million of vendor consideration to cost of goods sold in the second quarter of 2005 as compared to the second quarter of 2004, representing a 1.2% improvement in our SMB segment’s gross margin. Gross margins were negatively impacted by increased competitive pricing pressures. However, due to the gross margin initiatives begun in 2004, we were able to mitigate the decline in gross profit rates. These initiatives included more stringent management of discounting, more extensive and focused sales training on costs and margins, and targeted improvements in sales pricing, sales incentives, and account management.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80" w:hanging="332"/>
        <w:spacing w:after="0" w:line="30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Gross profit for our Public Sector segment increased due primarily to the EITF 02-16 reclassification of $1.1 million from SG&amp;A to cost of goods sold. This reclassification resulted in a 1.7% improvement in our Public Sector segment’s gross margin rate. Partially offsetting this increase was a 0.4% decrease attributable to increased competitive pressures and a 0.4% decrease due to the increase in our reserve for GSA fees.</w:t>
      </w:r>
    </w:p>
    <w:p>
      <w:pPr>
        <w:spacing w:after="0" w:line="12"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corresponding increases in sales and gross margin rates. The addition of higher margin business, as well as increased supplier reimbursements, contributed to its margin improvement.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for the second quarter of 2005 and also increased as a percentage of sales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2004. As noted earlier, the increase was due primarily to the EITF 02-16 reclassification of $3.7 million from SG&amp;A to cost of goods sold and inventory.</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concentrated our efforts on managing our overall operating costs. Personnel costs generally account for over two-thirds of our SG&amp;A expenses, as shown earlier in the table of SG&amp;A expenses. While we plan to continue our focus on controlling discretionary expenditures, we expect that our SG&amp;A expense may vary depending on changes in sales volume, as well as the levels of continued investments in key growth initiatives such as hiring more experienced outbound sales account managers, improving marketing programs, implementing improvements in our information systems, and deploying next generation Internet technology to support our sales organization.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37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 of Net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 of Net</w:t>
            </w: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Amount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5"/>
                <w:szCs w:val="15"/>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24.6</w:t>
            </w:r>
          </w:p>
        </w:tc>
        <w:tc>
          <w:tcPr>
            <w:tcW w:w="1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20.0</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Public Sector</w:t>
            </w:r>
          </w:p>
        </w:tc>
        <w:tc>
          <w:tcPr>
            <w:tcW w:w="110" w:type="dxa"/>
            <w:vAlign w:val="bottom"/>
          </w:tcPr>
          <w:p>
            <w:pPr>
              <w:spacing w:after="0"/>
              <w:rPr>
                <w:sz w:val="18"/>
                <w:szCs w:val="18"/>
                <w:color w:val="auto"/>
              </w:rPr>
            </w:pPr>
          </w:p>
        </w:tc>
        <w:tc>
          <w:tcPr>
            <w:tcW w:w="37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13.7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Large Account</w:t>
            </w: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37.4</w:t>
            </w:r>
          </w:p>
        </w:tc>
        <w:tc>
          <w:tcPr>
            <w:tcW w:w="1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31.5</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340" w:right="20" w:hanging="332"/>
        <w:spacing w:after="0" w:line="30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our SMB segment increased for the second quarter of 2005 compared to the second quarter of 2004 primarily due to an increase in net advertising expense. This increase was due to the previously discussed vendor consideration reclassification and an increase in Internet advertising costs. Our investments in making our sales support systems more responsive and flexible also contributed to this segment’s SG&amp;A expenses.</w:t>
      </w:r>
    </w:p>
    <w:p>
      <w:pPr>
        <w:spacing w:after="0" w:line="12" w:lineRule="exact"/>
        <w:rPr>
          <w:rFonts w:ascii="Arial" w:cs="Arial" w:eastAsia="Arial" w:hAnsi="Arial"/>
          <w:sz w:val="16"/>
          <w:szCs w:val="16"/>
          <w:color w:val="auto"/>
        </w:rPr>
      </w:pPr>
    </w:p>
    <w:p>
      <w:pPr>
        <w:ind w:left="340" w:right="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our Public Sector segment increased in the second quarter of 2005 and were higher as a percentage of net sales compared to the second quarter of 2004. Similar to the SMB segment, net advertising increased as a result of the previously discussed vendor consideration reclassification as well as investments made in making our sales support systems more responsive and flexible.</w:t>
      </w:r>
    </w:p>
    <w:p>
      <w:pPr>
        <w:spacing w:after="0" w:line="45" w:lineRule="exact"/>
        <w:rPr>
          <w:rFonts w:ascii="Arial" w:cs="Arial" w:eastAsia="Arial" w:hAnsi="Arial"/>
          <w:sz w:val="18"/>
          <w:szCs w:val="18"/>
          <w:color w:val="auto"/>
        </w:rPr>
      </w:pPr>
    </w:p>
    <w:p>
      <w:pPr>
        <w:jc w:val="both"/>
        <w:ind w:left="340" w:right="8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our Large Account segment decreased in the second quarter of 2005 in dollars and as a percentage of net sales. SG&amp;A expenses for our Large Account segment represent the lowest of our three segments as a percentage of net sales, reflecting the nature and efficiency of this segment’s variable cost field sales and drop-shipping operating model.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record any special charges in the three months ended June 30, 2005, and there were no changes in estimates in any of the periods presented.</w:t>
      </w:r>
    </w:p>
    <w:p>
      <w:pPr>
        <w:spacing w:after="0" w:line="18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three months ended June 30, 2004, we recorded a special charge of $0.7 million related to the 2003 GSA contract cancellation and special charges aggregating $0.05 million for workforce reductions and a 2003 employee defalcation.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decreased by $0.9 million to $3.0 million for the second quarter of 2005 from $3.9 million for the second quarter of 2004.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as a percentage of net sales decreased to 0.9% for the second quarter of 2005 from 1.2% for the second quarter of 2004. This decrease was attributable to the changes in net sales, gross margin, and SG&amp;A expenses as discussed above.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decreased due to lower average borrowings outstanding in the second quarter of 2005 as compared to the second quarter of 2004.</w:t>
      </w:r>
    </w:p>
    <w:p>
      <w:pPr>
        <w:spacing w:after="0" w:line="18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effective tax rate was 43.1% for the second quarter of 2005 and 38.0% for the second quarter of 2004. The increase was due primarily to state tax loss carryforwards in certain jurisdictions not recognizable as offsets to state tax charges in other jurisdictions.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decreased by $0.7 million to $1.6 million for the second quarter of 2005 from $2.3 million for the second quarter of 2004, principally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decrease in income from operations. Subsequent to the announcement on July 28, 2005 of our results for the three months ended June 30, 2005, we received additional information in connection with the GSA contract review that indicated an increase of the reserve for fees or penalties assessed from $0.8 million to $1.1 million was required.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2005 Compared to Six Months Ended June 30, 2004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9"/>
              </w:rPr>
              <w:t>2005</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 of Net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 of Net</w:t>
            </w: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Sales</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407.7</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401.5</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60.5%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154.8</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674.6</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663.0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45.5</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Sector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-1024255</wp:posOffset>
            </wp:positionV>
            <wp:extent cx="32131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-1024255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-1024255</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-1024255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-1024255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-1024255</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-1024255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-1024255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six months ended June 30, 2005 increased compared to the six months ended June 30, 2004 due to increases in our SMB and Large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segments, partially offset by a decrease in our Public Sector, as explained by the following:</w:t>
      </w:r>
    </w:p>
    <w:p>
      <w:pPr>
        <w:spacing w:after="0" w:line="37" w:lineRule="exact"/>
        <w:rPr>
          <w:sz w:val="20"/>
          <w:szCs w:val="20"/>
          <w:color w:val="auto"/>
        </w:rPr>
      </w:pPr>
    </w:p>
    <w:p>
      <w:pPr>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our SMB segment increased due to an increase in sales representatives and the implementation of customer acquisition initiatives, including free shipping for Internet orders above specified order amounts. Sales representatives for our SMB segment totaled 424 at June 30, 2005, an increase from 377 at June 30, 2004.</w:t>
      </w:r>
    </w:p>
    <w:p>
      <w:pPr>
        <w:spacing w:after="0" w:line="45" w:lineRule="exact"/>
        <w:rPr>
          <w:rFonts w:ascii="Arial" w:cs="Arial" w:eastAsia="Arial" w:hAnsi="Arial"/>
          <w:sz w:val="18"/>
          <w:szCs w:val="18"/>
          <w:color w:val="auto"/>
        </w:rPr>
      </w:pPr>
    </w:p>
    <w:p>
      <w:pPr>
        <w:ind w:left="340" w:right="6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our Public Sector segment decreased due to a 5.6% year-over-year decline in sales to state and local government units and educational organizations. Our federal government revenues were largely unchanged year over year as we continue to rebuild this business. During the six months ended June 30, 2005, we added several new vendors to our current GSA schedule. Sales representatives for our Public Sector segment totaled 109 at June 30, 2005, a decline from 110 at June 30, 2004.</w:t>
      </w:r>
    </w:p>
    <w:p>
      <w:pPr>
        <w:spacing w:after="0" w:line="48" w:lineRule="exact"/>
        <w:rPr>
          <w:rFonts w:ascii="Arial" w:cs="Arial" w:eastAsia="Arial" w:hAnsi="Arial"/>
          <w:sz w:val="18"/>
          <w:szCs w:val="18"/>
          <w:color w:val="auto"/>
        </w:rPr>
      </w:pPr>
    </w:p>
    <w:p>
      <w:pPr>
        <w:ind w:left="340" w:right="100" w:hanging="332"/>
        <w:spacing w:after="0" w:line="33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sales for our Large Account segment increased primarily to penetration of existing accounts as well as new account acquisitions, offsetting a decrease in the number of sales representatives. Sales representatives for this segment totaled 69 at June 30, 2005, down from 76 at June 30, 2004.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six months ended June 30, 2005 increased in both dollars and gross margin rates in all three sales subsidiaries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2004, as explained by the following:</w:t>
      </w:r>
    </w:p>
    <w:p>
      <w:pPr>
        <w:spacing w:after="0" w:line="37" w:lineRule="exact"/>
        <w:rPr>
          <w:sz w:val="20"/>
          <w:szCs w:val="20"/>
          <w:color w:val="auto"/>
        </w:rPr>
      </w:pPr>
    </w:p>
    <w:p>
      <w:pPr>
        <w:ind w:left="340" w:right="120" w:hanging="332"/>
        <w:spacing w:after="0" w:line="29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Gross profit for our SMB segment increased primarily as a result of the revision of estimates used to reclassify excess vendor consideration from SG&amp;A to cost of goods sold. As discussed earlier, we reclassified an additional $5.0 million of vendor consideration to cost of goods sold in the six-month period ended June 30, 2005 as compared to the six months ended June 30, 2004, representing a 1.2% improvement in this segment’s gross margin. Gross margins were negatively impacted by increased shipping costs and tighter competitive pricing pressures. However, due to the gross margin initiatives begun in 2004, we were able to mitigate the decline in gross profit rates. These initiatives included more stringent management of discounting, more extensive and focused sales training on costs and margins, and targeted improvements in sales pricing, sales incentives, and account management.</w:t>
      </w:r>
    </w:p>
    <w:p>
      <w:pPr>
        <w:spacing w:after="0" w:line="25"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in both dollars and as a percentage of sales due primarily to the EITF 02-16 reclassification of $1.1 million of vendor consideration from SG&amp;A to cost of goods sold. This reclassification accounted for the dollar increase and resulted in a 1.0% improvement in this segment’s gross margin rate. We have implemented margin improvements similar to those discussed above, which have partially offset this segment’s increasingly competitive pricing pressures. These margin improvement initiatives include increasing add-on sales of accessories and other companion products to our system sales, as well as increasing service and agency revenues. Since we are not the primary obligor in an agency sale, the fees paid to us by the third party service provider are recorded as revenue, with no cost of goods sold, thus leaving the entire gross profit as the reported net sale for the transaction.</w:t>
      </w:r>
    </w:p>
    <w:p>
      <w:pPr>
        <w:spacing w:after="0" w:line="52" w:lineRule="exact"/>
        <w:rPr>
          <w:rFonts w:ascii="Arial" w:cs="Arial" w:eastAsia="Arial" w:hAnsi="Arial"/>
          <w:sz w:val="18"/>
          <w:szCs w:val="18"/>
          <w:color w:val="auto"/>
        </w:rPr>
      </w:pPr>
    </w:p>
    <w:p>
      <w:pPr>
        <w:ind w:left="340" w:right="34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corresponding increases in both sales and gross margin rates. The addition of higher margin business, as well as increased supplier reimbursements, contributed to its margin improvement.</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for the six months ending June 30, 2005 and also increased as a percentage of sales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ending June 30, 2004. As noted earlier, the dollar increase was partly related to the EITF 02-16 reclassification of $6.5 million from SG&amp;A to cost of goods sold and inventory in our SMB and Public Sector segments.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concentrated our efforts on managing our overall operating costs. Personnel costs generally account for over two-thirds of our SG&amp;A expenses, as shown earlier in the table of SG&amp;A expenses. While we plan to continue our focus on controlling discretionary expenditures, we expect that our SG&amp;A expense may vary depending on changes in sales volume, as well as the levels of continued investments in key growth initiatives such as hiring more experienced outbound sales account managers, improving marketing programs, implementing improvements in our information systems, and deploying next generation Internet technology to support our sales organization.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37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7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 of Net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 of Net</w:t>
            </w: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Amount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5"/>
                <w:szCs w:val="15"/>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48.0</w:t>
            </w:r>
          </w:p>
        </w:tc>
        <w:tc>
          <w:tcPr>
            <w:tcW w:w="1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Public Sector</w:t>
            </w:r>
          </w:p>
        </w:tc>
        <w:tc>
          <w:tcPr>
            <w:tcW w:w="110" w:type="dxa"/>
            <w:vAlign w:val="bottom"/>
          </w:tcPr>
          <w:p>
            <w:pPr>
              <w:spacing w:after="0"/>
              <w:rPr>
                <w:sz w:val="18"/>
                <w:szCs w:val="18"/>
                <w:color w:val="auto"/>
              </w:rPr>
            </w:pPr>
          </w:p>
        </w:tc>
        <w:tc>
          <w:tcPr>
            <w:tcW w:w="370" w:type="dxa"/>
            <w:vAlign w:val="bottom"/>
          </w:tcPr>
          <w:p>
            <w:pPr>
              <w:jc w:val="right"/>
              <w:spacing w:after="0"/>
              <w:rPr>
                <w:sz w:val="20"/>
                <w:szCs w:val="20"/>
                <w:color w:val="auto"/>
              </w:rPr>
            </w:pPr>
            <w:r>
              <w:rPr>
                <w:rFonts w:ascii="Arial" w:cs="Arial" w:eastAsia="Arial" w:hAnsi="Arial"/>
                <w:sz w:val="18"/>
                <w:szCs w:val="18"/>
                <w:b w:val="1"/>
                <w:bCs w:val="1"/>
                <w:color w:val="auto"/>
                <w:w w:val="96"/>
              </w:rPr>
              <w:t>16.9</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Large Account</w:t>
            </w: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72.8</w:t>
            </w:r>
          </w:p>
        </w:tc>
        <w:tc>
          <w:tcPr>
            <w:tcW w:w="14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1305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25" w:lineRule="exact"/>
        <w:rPr>
          <w:sz w:val="20"/>
          <w:szCs w:val="20"/>
          <w:color w:val="auto"/>
        </w:rPr>
      </w:pPr>
    </w:p>
    <w:p>
      <w:pPr>
        <w:ind w:left="340" w:right="120" w:hanging="332"/>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SG&amp;A expenses for our SMB segment increased due primarily to an increase in net advertising expense. Net advertising expense increased due primarily to the previously discussed vendor consideration reclassification as well as increased catalog circulation and Internet advertising costs. Our investments in making our sales support systems more responsive and flexible also contributed to this segment’s SG&amp;A expenses.</w:t>
      </w:r>
    </w:p>
    <w:p>
      <w:pPr>
        <w:spacing w:after="0" w:line="12" w:lineRule="exact"/>
        <w:rPr>
          <w:rFonts w:ascii="Arial" w:cs="Arial" w:eastAsia="Arial" w:hAnsi="Arial"/>
          <w:sz w:val="16"/>
          <w:szCs w:val="16"/>
          <w:color w:val="auto"/>
        </w:rPr>
      </w:pPr>
    </w:p>
    <w:p>
      <w:pPr>
        <w:ind w:left="340" w:right="100" w:hanging="332"/>
        <w:spacing w:after="0" w:line="323"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SG&amp;A expenses for our Public Sector segment increased slightly in the six months ended June 30, 2005, but were significantly higher as a percentage of net sales compared to the six months ended June 30, 2004. The decrease in our state and local government sales described above contributed to the increase in our Public Sector segment’s SG&amp;A expense as a percentage of net sales. This segment’s SG&amp;A expenses as a percentage of net sales have been higher the last year as we took steps to retain our experienced federal sales personnel in anticipation of our new GSA contract, which was awarded in August 2004.</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00" w:hanging="332"/>
        <w:spacing w:after="0" w:line="30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SG&amp;A expenses for our Large Account segment increased in the six months ended June 30, 2005 in dollars but remained unchanged as a percentage of net sales compared to the six months ended June 30, 2004. SG&amp;A expenses for this segment represent the lowest of the three segments as a percentage of net sales, reflecting the nature and efficiency of this segment’s variable cost field sales and drop-shipping operating model.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record any special charges in the six months ended June 30, 2005. A roll forward of special charges for the period presented is shown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estimates in any of the periods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1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Litigation</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GSA</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14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Matters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Review</w:t>
            </w:r>
          </w:p>
        </w:tc>
        <w:tc>
          <w:tcPr>
            <w:tcW w:w="74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 and adjustments</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3"/>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June 30, 2005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37274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the six months ended June 30, 2004, we recorded special charges of $0.6 million related to staff reductions, $1.1 million related to the 2003 GSA contract cancellation, and $0.1 million related to additional costs incurred as a result of a 2003 employee defalcation.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decreased by $1.2 million to $4.9 million for the six months ended June 30, 2005 from $6.1 million for the six months ended June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30, 2004. Income from operations as a percentage of net sales decreased to 0.7% for the six months ended June 30, 2005 from 0.9% for the six months ended June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30, 2004. This decrease was attributable to the changes in net sales, gross margin, and SG&amp;A expenses as discussed above.</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decreased due to lower average borrowings outstanding in the six months ended June 30, 2005 as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30, 2004.</w:t>
      </w:r>
    </w:p>
    <w:p>
      <w:pPr>
        <w:spacing w:after="0" w:line="118"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Our effective tax rate was 42.5% for the six months ended June 30, 2005 and 38.0% for the six months ended June 30, 2004. The increase was due primarily to state tax loss carryforwards in certain jurisdictions not recognizable as offsets to state tax charges in other jurisdictions.</w:t>
      </w:r>
    </w:p>
    <w:p>
      <w:pPr>
        <w:spacing w:after="0" w:line="7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decreased by $0.9 million to $2.5 million for the six months ended June 30, 2005 from $3.4 million for the six months ended June 30, 2004,</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as a result of the decrease in income from operations. Subsequent to the announcement on July 28, 2005 of our results for the six months ended June 30, 2005, we received additional information in connection with the GSA contract review that indicated an increase of the reserve for fees or penalties assessed from $0.8 million to $1.1 million was required.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Our primary sources of liquidity have historically been internally generated funds from operations and borrowings under our bank line of credit. We have used those funds to meet our capital requirements, which consist primarily of operational needs, capital expenditures for computer equipment and software used in our business, and during the last three years, earn-out payments required under our 2002 agreement with MoreDirect.</w:t>
      </w:r>
    </w:p>
    <w:p>
      <w:pPr>
        <w:spacing w:after="0" w:line="93" w:lineRule="exact"/>
        <w:rPr>
          <w:sz w:val="20"/>
          <w:szCs w:val="20"/>
          <w:color w:val="auto"/>
        </w:rPr>
      </w:pPr>
    </w:p>
    <w:p>
      <w:pPr>
        <w:ind w:right="440" w:firstLine="456"/>
        <w:spacing w:after="0" w:line="255" w:lineRule="auto"/>
        <w:rPr>
          <w:sz w:val="20"/>
          <w:szCs w:val="20"/>
          <w:color w:val="auto"/>
        </w:rPr>
      </w:pPr>
      <w:r>
        <w:rPr>
          <w:rFonts w:ascii="Arial" w:cs="Arial" w:eastAsia="Arial" w:hAnsi="Arial"/>
          <w:sz w:val="18"/>
          <w:szCs w:val="18"/>
          <w:color w:val="auto"/>
        </w:rPr>
        <w:t>We believe that funds generated from operations, together with available credit under our bank line of credit, will be sufficient to finance our working capital, capital expenditure, and other requirements at least for the next twelve months. We expect our capital needs for the next twelve months to consist primarily of capital expenditures of approximately $12.0 million and payments on capital and operating lease obligations of approximately $4.0 million. We expect to meet our cash requirements for the next twelve months through a combination of cash on hand, cash generated from operations, and, if necessary, additional borrowings on our bank line of credit.</w:t>
      </w:r>
    </w:p>
    <w:p>
      <w:pPr>
        <w:spacing w:after="0" w:line="129"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under “Factors That May Affect Future Results and Financial Condition.”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Sources and Uses of Cash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7"/>
          </w:tcPr>
          <w:p>
            <w:pPr>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95"/>
        </w:trPr>
        <w:tc>
          <w:tcPr>
            <w:tcW w:w="640" w:type="dxa"/>
            <w:vAlign w:val="bottom"/>
            <w:gridSpan w:val="2"/>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01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6"/>
              </w:rPr>
              <w:t>23.5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-29210</wp:posOffset>
            </wp:positionV>
            <wp:extent cx="32131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Cash provided by operations </w:t>
      </w:r>
      <w:r>
        <w:rPr>
          <w:rFonts w:ascii="Arial" w:cs="Arial" w:eastAsia="Arial" w:hAnsi="Arial"/>
          <w:sz w:val="18"/>
          <w:szCs w:val="18"/>
          <w:color w:val="auto"/>
        </w:rPr>
        <w:t>increased in the six months ended June 30, 2005 primarily due to an increase in payables and a decrease in inventory levels,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an increase in receivables. Recent supply chain initiatives contributed substantially to the reduced inventory levels. Although receivables increased due to increased sales, our overall Days Sales Outstanding for the six months ended June 30, 2005 was unchanged at 41 days from June 30, 2004, and improved from 43 days at March 31, 2005.</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June 30, 2005, we had $84.9 million in outstanding accounts payable. Such accounts are generally paid within 30 days of incurrence and will be financed by cash flows from operations or short-term borrowings under the line of credit. This amount included $11.9 million payable to two financial institutions under security agreements to facilitate the purchase of inventory. We believe we will be able to meet our obligations under our accounts payable with cash flows from operations and our existing line of credit.</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Cash used for investing activities </w:t>
      </w:r>
      <w:r>
        <w:rPr>
          <w:rFonts w:ascii="Arial" w:cs="Arial" w:eastAsia="Arial" w:hAnsi="Arial"/>
          <w:sz w:val="16"/>
          <w:szCs w:val="16"/>
          <w:color w:val="auto"/>
        </w:rPr>
        <w:t>include our capital expenditures in periods presented, primarily for computer equipment and capitalization of internally-developed software. Additionally, according to the terms of our 2002 agreement with MoreDirect, we used cash to fund earn-out payments due to the former shareholder of MoreDirect. We paid $6.9 million and $11.1 million in earn-out consideration in the six months ending June 30, 2005 and 2004, respectively. The payment made in the six months ended June 30, 2005 was the final payment required under the agreement.</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Cash used for financing activities </w:t>
      </w:r>
      <w:r>
        <w:rPr>
          <w:rFonts w:ascii="Arial" w:cs="Arial" w:eastAsia="Arial" w:hAnsi="Arial"/>
          <w:sz w:val="18"/>
          <w:szCs w:val="18"/>
          <w:color w:val="auto"/>
        </w:rPr>
        <w:t>related to decreases in our net borrowings of $4.8 million and $5.6 million under our bank line of credit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2005 and 2004,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consolidated financial statements and the accompanying notes included in this quarterly report.</w:t>
      </w:r>
    </w:p>
    <w:p>
      <w:pPr>
        <w:spacing w:after="0" w:line="99" w:lineRule="exact"/>
        <w:rPr>
          <w:sz w:val="20"/>
          <w:szCs w:val="20"/>
          <w:color w:val="auto"/>
        </w:rPr>
      </w:pPr>
    </w:p>
    <w:p>
      <w:pPr>
        <w:ind w:right="440" w:firstLine="456"/>
        <w:spacing w:after="0" w:line="283"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We recently secured an increased bank line of credit which provides us with a borrowing capacity of up to $50 million,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levels of trade receivables to meet borrowing base requirements, and depending on meeting minimum EBITDA (earnings before interest, taxes, depreciation, and amortization) and equity requirements, described below under “Factors Affecting Sources of Liquidity.” This facility includes an option to increase our borrowings by an additional $20 million at substantially the same terms. Amounts outstanding under this facility bear interest at the prime rate</w:t>
      </w:r>
    </w:p>
    <w:p>
      <w:pPr>
        <w:spacing w:after="0" w:line="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(6.25% at June 30, 2005). No borrowings were outstanding under this credit facility at June 30, 2005. Substantially all of our assets are collateralized as security for this facility, and all of our subsidiaries are guarantors under the line of credit. Borrowing availability under the line was $50.0 million at June 30, 2005. The credit facility matures on June 29, 2008, at which time amounts outstanding, if any, become due.</w:t>
      </w:r>
    </w:p>
    <w:p>
      <w:pPr>
        <w:spacing w:after="0" w:line="1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facility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27"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i w:val="1"/>
          <w:iCs w:val="1"/>
          <w:color w:val="auto"/>
        </w:rPr>
        <w:t xml:space="preserve">Inventory Trade Credit Arrangements. </w:t>
      </w:r>
      <w:r>
        <w:rPr>
          <w:rFonts w:ascii="Arial" w:cs="Arial" w:eastAsia="Arial" w:hAnsi="Arial"/>
          <w:sz w:val="18"/>
          <w:szCs w:val="18"/>
          <w:color w:val="auto"/>
        </w:rPr>
        <w:t>We have security agreements with two financial institutions to facilitate the purchase of inventory from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under certain terms and conditions. These agreements allow a collateralized first position in certain branded products inventory financed by these financial institutions. Although the agreements provide for financing up to an aggregate of $45 million, any outstanding financing must be fully secured by available inventory. We do not pay any interest or discount fees on such inventory financing; such costs are borne by the suppliers as an incentive for us to purchase their products.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Liquidity Table for Contractual Obligations. </w:t>
      </w:r>
      <w:r>
        <w:rPr>
          <w:rFonts w:ascii="Arial" w:cs="Arial" w:eastAsia="Arial" w:hAnsi="Arial"/>
          <w:sz w:val="18"/>
          <w:szCs w:val="18"/>
          <w:color w:val="auto"/>
        </w:rPr>
        <w:t>The following table sets forth information with respect to our long-term obligations payable in cash as of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2005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6"/>
              </w:rPr>
              <w:t>Payments Due by Period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Less Than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0"/>
                <w:szCs w:val="20"/>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5"/>
                <w:szCs w:val="15"/>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Capital lease obligations(¹)</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1,467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$2,677</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$2,231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7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$4,941</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$2,993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-172720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-172720</wp:posOffset>
            </wp:positionV>
            <wp:extent cx="231076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1076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Including interest, excluding taxes, insurance, and common area maintenance charges.</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Capital Leases. </w:t>
      </w:r>
      <w:r>
        <w:rPr>
          <w:rFonts w:ascii="Arial" w:cs="Arial" w:eastAsia="Arial" w:hAnsi="Arial"/>
          <w:sz w:val="15"/>
          <w:szCs w:val="15"/>
          <w:color w:val="auto"/>
        </w:rPr>
        <w:t>We have a fifteen-year lease for our corporate headquarters with an affiliated company related through common ownership. We also have a</w:t>
      </w:r>
      <w:r>
        <w:rPr>
          <w:rFonts w:ascii="Arial" w:cs="Arial" w:eastAsia="Arial" w:hAnsi="Arial"/>
          <w:sz w:val="15"/>
          <w:szCs w:val="15"/>
          <w:i w:val="1"/>
          <w:iCs w:val="1"/>
          <w:color w:val="auto"/>
        </w:rPr>
        <w:t xml:space="preserve"> </w:t>
      </w:r>
      <w:r>
        <w:rPr>
          <w:rFonts w:ascii="Arial" w:cs="Arial" w:eastAsia="Arial" w:hAnsi="Arial"/>
          <w:sz w:val="15"/>
          <w:szCs w:val="15"/>
          <w:color w:val="auto"/>
        </w:rPr>
        <w:t>three-year lease for certain computer equipment with an unrelated party. These leases require us to make lease payments aggregating from $1.1 million to $1.5 million per year. In addition to the rent payable under the facility lease, we are required to pay real estate taxes, insurance, and common area maintenance charges.</w:t>
      </w:r>
    </w:p>
    <w:p>
      <w:pPr>
        <w:spacing w:after="0" w:line="7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See the above “Liquidity Table for Contractual Obligations” for lease commitments under these leases.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Earn-out Provisions of MoreDirect Agreement. </w:t>
      </w:r>
      <w:r>
        <w:rPr>
          <w:rFonts w:ascii="Arial" w:cs="Arial" w:eastAsia="Arial" w:hAnsi="Arial"/>
          <w:sz w:val="16"/>
          <w:szCs w:val="16"/>
          <w:color w:val="auto"/>
        </w:rPr>
        <w:t>We completed the acquisition of MoreDirect in April 2002. Under the terms of this agreement, we were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make additional payments to the former shareholder of MoreDirect if certain earnings levels were achieved through December 31, 2004. Earn-out payments aggregating $6.9 million, $11.l million, and $10.8 million were made in 2005, 2004, and 2003, based on MoreDirect’s 2004, 2003, and 2002 earnings, respectively. We made the 2004 earn-out payment of $6.9 million, which represents the final payment required under the agreement, in April 2005.</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do not have any other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Internally Generated Funds. </w:t>
      </w:r>
      <w:r>
        <w:rPr>
          <w:rFonts w:ascii="Arial" w:cs="Arial" w:eastAsia="Arial" w:hAnsi="Arial"/>
          <w:sz w:val="16"/>
          <w:szCs w:val="16"/>
          <w:color w:val="auto"/>
        </w:rPr>
        <w:t>The key factors affecting our internally generated funds are our ability to minimize costs and fully achieve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efficiencies and profitable operations, timely collection of our customer receivables, and management of our inventory levels.</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debt, guarantees,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49" w:lineRule="exact"/>
        <w:rPr>
          <w:sz w:val="20"/>
          <w:szCs w:val="20"/>
          <w:color w:val="auto"/>
        </w:rPr>
      </w:pPr>
    </w:p>
    <w:p>
      <w:pPr>
        <w:ind w:left="340" w:right="20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EBITDA for the trailing four quarters) must not be more than 2.0 to 1.0. Our actual funded debt ratio at June 30, 2005 was 0.2 to 1.0.</w:t>
      </w:r>
    </w:p>
    <w:p>
      <w:pPr>
        <w:spacing w:after="0" w:line="37" w:lineRule="exact"/>
        <w:rPr>
          <w:rFonts w:ascii="Arial" w:cs="Arial" w:eastAsia="Arial" w:hAnsi="Arial"/>
          <w:sz w:val="18"/>
          <w:szCs w:val="18"/>
          <w:color w:val="auto"/>
        </w:rPr>
      </w:pPr>
    </w:p>
    <w:p>
      <w:pPr>
        <w:ind w:left="340" w:right="120" w:hanging="332"/>
        <w:spacing w:after="0" w:line="33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Minimum Consolidated Net Worth must be at least $150.0 million, plus 50% of consolidated net income for each quarter, beginning with the quarter ending March 31, 2006 (loss quarters not counted). Our actual consolidated stockholders’ equity at June 30, 2005 was $169.4 million.</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June 30, 2005, $50.0 million of the facility was available for additional borrowings.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Capital Markets. </w:t>
      </w:r>
      <w:r>
        <w:rPr>
          <w:rFonts w:ascii="Arial" w:cs="Arial" w:eastAsia="Arial" w:hAnsi="Arial"/>
          <w:sz w:val="16"/>
          <w:szCs w:val="16"/>
          <w:color w:val="auto"/>
        </w:rPr>
        <w:t>Our ability to raise additional funds in the capital market depends upon, among other things, general economic conditions, the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Information Technology industry, our financial performance and stock price, and the state of the capital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83"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In December 2004, the Financial Accounting Standards Board issued SFAS No. 123(R), “Share-Based Payment” (SFAS 123(R)). This Statement is a revision of SFAS 123, “Accounting for Stock-Based Compensation,” and supersedes APB Opinion No. 25, “Accounting for Stock Issued to Employees,” and its related implementation guidance. SFAS 123(R) requires a company to measure the grant date fair value of equity awards given to employees in exchange for services and recognize that cost over the period that such services are performed. SFAS 123(R) was deferred by the Securities and Exchange Commission in April 2005 and is now effective for the beginning of the first fiscal year after June 15, 2005 and will be effective for our interim quarter ending March 31, 2006. We are evaluating the two methods of adoption allowed by SFAS 123(R): the modified-prospective transition method and the modified-retrospective transition method. Adoption of SFAS 123(R) may materially increase stock compensation expense and decrease net income. In addition, SFAS 123(R) requires that the excess tax benefits related to stock compensation be reported as a cash inflow from financing activities rather than as a reduction of taxes paid in cash from operations.</w:t>
      </w:r>
    </w:p>
    <w:p>
      <w:pPr>
        <w:spacing w:after="0" w:line="9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May 2005, the FASB issued SFAS No. 154, “Accounting Changes and Error Corrections,” (“FAS 154”) which is a replacement of APB Opinion No. 20, “Accounting Changes” and FASB Statement No. 3, “Reporting Accounting Changes in Interim Financial Statements.” FAS 154 changes the requirements for the accounting and reporting of accounting changes by requiring retrospective application to prior period financial statements unless impracticable. This statement is effective in fiscal years beginning after December 15, 2005. We do not expect the adoption of FAS 154 to have a material impact on our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future results and financial condition are dependent on our ability to continue to successfully market, sell, and distribute information technology products and services, including computers, hardware, and software. Inherent in this process are a number of factors that we must successfully manage in order to achieve a favorable financial condition and favorable operating results. Potential risks and uncertainties that could affect our future financial condition and operating results include, without limitation, the following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3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new merchandise and catalog offerings;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shifts in the timing of holidays;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product offerings;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demand for information technology products; and</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customer response rates for our catalogs and other marketing vehicles are subject to variations. The first and last quarters of the year generally have higher response rates while the two middle quarters typically have lower response rates.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Despite our August 2004 award of an authorization to sell to the federal government under a new General Services Administration schedule, our sales to that organization may not regain prior years’ sales levels, which would negatively impact our business.</w:t>
      </w:r>
    </w:p>
    <w:p>
      <w:pPr>
        <w:spacing w:after="0" w:line="3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has been referred to the Department of Justice for review, and we are cooperating in that review. While we were awarded authorization in August 2004 to resume selling to the federal government under a new GSA schedule, we experienced significant declines in our 2004 and 2005 federal government sales from 2003 levels. Accordingly, our revenues may continue to be adversely impacted as we attempt to regain this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8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“build-to-order”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0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67% and 63% of our total product purchases in the six months ended June 30, 2005 and 2004, respectively. Among these five vendors, purchases from Ingram Micro, Inc. (“Ingram”) represented 24% and 27% of our total product purchases in the six months ended June 30, 2005 and 2004, respectively. Purchases from Tech Data Corporation (“Tech Data”) comprised 23% and 14% of our total product purchases in the six months ended June 30, 2005 and 2004, respectively. Purchases from Hewlett-Packard Company (“HP”) represented 9% and 11% of our total product purchases in the three months ended June 30, 2005 and 2004, respectively. No other vendor supplied more than 10% of our total product purchases in the six months ended June 30, 2005 and 2004, respectively. If we were unable to acquire products from Ingram, HP, or Tech Data, we could experience a short-term disruption in the availability of products, and such disruption could have a material adverse effect on our results of operations and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June 30, 2005 was $84.9 million. Termination, interruption, or contraction of relationships with our vendors, including a reduction in the level of trade credit provided to us, could have a material adverse effect on our financial position.</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product manufacturers either do not permit us to sell the full line of their products or limit the number of product units available to direct marketers such as us.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83"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Many product suppliers provide us with co-op advertising support, and in exchange, we feature their products in our catalogs. This support significantly defrays our catalog production expense. In the past, we have experienced a decrease in the level of co-op advertising support available to us from certain manufacturers. The level of co-op advertising support we receive from some manufacturers may further decline in the future. Such a decline could decrease our gross margin and increase our SG&amp;A expenses as a percentage of sales and have a material adverse effect on our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an increasing number of Internet retailers. Certain hardware and software vendors, such as HP, Lenovo, and Apple, who provide products to us, are also selling their products directly to end users through their own catalogs and over the Internet. We compete not only for customers, but also for co-op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0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0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3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management information systems require continual upgrades to most effectively manage our operations and customer database.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had an increasing level of sales made over the Internet in part because of the growing use and acceptance of the Internet by end users. No one can be certain that acceptance and use of the Internet will continue to develop or that a sufficiently broad base of consumers will adopt and continue to use the Internet and other online services as a medium of commerce. Sales of computer products over the Internet do not currently represent a significant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success in growing our Internet business will depend in large part upon the development of an infrastructure for providing Internet access and services. If the number of Internet users or their use of Internet resources continues to grow rapidly, such growth may overwhelm the existing Internet infrastructure. Our ability to increase the speed with which we provide services to customers and to increase the scope of such services ultimately is limited by, and reliant upon, the speed and reliability of the networks operated by third parties, and these networks may not continue to be developed.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8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ship approximately 50% of our products to customers by DHL Worldwide Express (“DHL”), with the remainder being shipped by United Parcel Service, Inc. and other overnight delivery and surface services. A strike or other interruption in service by these shippers could adversely affect our ability to market or deliver products to customers on a timely basis.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3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whereby DHL ships products to our customers.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8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presently collect sales and use tax on sales of products to residents in many states. During the six months ended June 30, 2005, we collected sales and use tax on approximately 20% of our net sales.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 Moreover, due to our presence on various forms of electronic 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constitutionality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68%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us.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No borrowings were outstanding pursuant to our credit agreement as of June 30, 2005. We believe that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as noted above, no borrowings were outstanding on the credit agreement at June 30, 2005, and the average outstanding borrowings during the six-month period ended June 30, 2005 were not material. A change in earnings resulting from a hypothetical 10% increase or decrease in interest rates is not material.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4 – CONTROLS AND PROCEDURES</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Interim Chief Financial Officer, evaluated the effectiveness of our disclosure controls and procedures as of June 30, 2005.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as of June 30, 2005, our Chief Executive Officer and Interim Chief Financial Officer concluded that, as of such date, our disclosure controls and procedures were effective at the reasonable assurance level.</w:t>
      </w:r>
    </w:p>
    <w:p>
      <w:pPr>
        <w:spacing w:after="0" w:line="11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June 30, 2005 that has materially affected, or is reasonably likely to materially affect, our internal control over financial reporting.</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83" w:lineRule="exact"/>
        <w:rPr>
          <w:sz w:val="20"/>
          <w:szCs w:val="20"/>
          <w:color w:val="auto"/>
        </w:rPr>
      </w:pPr>
    </w:p>
    <w:p>
      <w:pPr>
        <w:ind w:left="900" w:right="5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table provides information about purchases by the Company during the quarter ended June 30, 2005 of equity securities that are registered by the Company pursuant to Section 12 of the Exchange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7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7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7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7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7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7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7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(or Unit)</w:t>
            </w:r>
          </w:p>
        </w:tc>
        <w:tc>
          <w:tcPr>
            <w:tcW w:w="7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7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Program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04/01/05–04/30/05</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87"/>
              </w:rPr>
              <w:t>$12,714,000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05/01/05–05/31/05</w:t>
            </w:r>
          </w:p>
        </w:tc>
        <w:tc>
          <w:tcPr>
            <w:tcW w:w="98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632"/>
              <w:spacing w:after="0"/>
              <w:rPr>
                <w:sz w:val="20"/>
                <w:szCs w:val="20"/>
                <w:color w:val="auto"/>
              </w:rPr>
            </w:pPr>
            <w:r>
              <w:rPr>
                <w:rFonts w:ascii="Arial" w:cs="Arial" w:eastAsia="Arial" w:hAnsi="Arial"/>
                <w:sz w:val="18"/>
                <w:szCs w:val="18"/>
                <w:color w:val="auto"/>
                <w:w w:val="87"/>
              </w:rPr>
              <w:t>$12,714,000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06/01/05–06/30/05</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87"/>
              </w:rPr>
              <w:t>$12,714,000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632"/>
              <w:spacing w:after="0"/>
              <w:rPr>
                <w:sz w:val="20"/>
                <w:szCs w:val="20"/>
                <w:color w:val="auto"/>
              </w:rPr>
            </w:pPr>
            <w:r>
              <w:rPr>
                <w:rFonts w:ascii="Arial" w:cs="Arial" w:eastAsia="Arial" w:hAnsi="Arial"/>
                <w:sz w:val="18"/>
                <w:szCs w:val="18"/>
                <w:color w:val="auto"/>
                <w:w w:val="87"/>
              </w:rPr>
              <w:t>$12,714,000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approved the repurchase by us of shares of our common stock having a value of up to $15.0 million in the aggregate pursuant to a repurchase program announced on March 28, 2001.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4—Submission of Matters to a Vote of Security Holders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At the 2005 Annual Meeting of Stockholders of the Company (the “Annual Meeting”) on June 9, 2005, the following matters were acted upon by the stockholders of the Company:</w:t>
      </w:r>
    </w:p>
    <w:p>
      <w:pPr>
        <w:spacing w:after="0" w:line="3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election of six Directors.</w:t>
      </w:r>
    </w:p>
    <w:p>
      <w:pPr>
        <w:spacing w:after="0" w:line="76" w:lineRule="exact"/>
        <w:rPr>
          <w:rFonts w:ascii="Arial" w:cs="Arial" w:eastAsia="Arial" w:hAnsi="Arial"/>
          <w:sz w:val="18"/>
          <w:szCs w:val="18"/>
          <w:color w:val="auto"/>
        </w:rPr>
      </w:pPr>
    </w:p>
    <w:p>
      <w:pPr>
        <w:ind w:left="460" w:right="60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Approval of an amendment to the Company’s 1997 Employee Stock Purchase Plan, as amended, to increase the number of shares of common stock authorized for issuance thereunder from 637,500 to 837,500 shares, representing an increase of 200,000 shares.</w:t>
      </w:r>
    </w:p>
    <w:p>
      <w:pPr>
        <w:spacing w:after="0" w:line="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ratification of the selection by the Audit Committee of Deloitte &amp; Touche LLP as the Company’s independent registered public accounting firm for the current fiscal year.</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number of shares of common stock issued, outstanding, and eligible to vote as of the record date of April 22, 2005 was 25,135,721. The results of the voting on each of the matters presented to stockholders at the Annual Meeting are set forth below:</w:t>
      </w:r>
    </w:p>
    <w:p>
      <w:pPr>
        <w:spacing w:after="0" w:line="11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Nominees</w:t>
            </w:r>
          </w:p>
        </w:tc>
        <w:tc>
          <w:tcPr>
            <w:tcW w:w="250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Votes For</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Votes 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Gallup</w:t>
            </w:r>
          </w:p>
        </w:tc>
        <w:tc>
          <w:tcPr>
            <w:tcW w:w="3460" w:type="dxa"/>
            <w:vAlign w:val="bottom"/>
            <w:gridSpan w:val="3"/>
            <w:shd w:val="clear" w:color="auto" w:fill="CCEEFF"/>
          </w:tcPr>
          <w:p>
            <w:pPr>
              <w:jc w:val="center"/>
              <w:ind w:left="2072"/>
              <w:spacing w:after="0"/>
              <w:rPr>
                <w:sz w:val="20"/>
                <w:szCs w:val="20"/>
                <w:color w:val="auto"/>
              </w:rPr>
            </w:pPr>
            <w:r>
              <w:rPr>
                <w:rFonts w:ascii="Arial" w:cs="Arial" w:eastAsia="Arial" w:hAnsi="Arial"/>
                <w:sz w:val="18"/>
                <w:szCs w:val="18"/>
                <w:color w:val="auto"/>
                <w:w w:val="86"/>
              </w:rPr>
              <w:t>23,717,323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David Hall</w:t>
            </w:r>
          </w:p>
        </w:tc>
        <w:tc>
          <w:tcPr>
            <w:tcW w:w="3460" w:type="dxa"/>
            <w:vAlign w:val="bottom"/>
            <w:gridSpan w:val="3"/>
          </w:tcPr>
          <w:p>
            <w:pPr>
              <w:jc w:val="center"/>
              <w:ind w:left="2072"/>
              <w:spacing w:after="0"/>
              <w:rPr>
                <w:sz w:val="20"/>
                <w:szCs w:val="20"/>
                <w:color w:val="auto"/>
              </w:rPr>
            </w:pPr>
            <w:r>
              <w:rPr>
                <w:rFonts w:ascii="Arial" w:cs="Arial" w:eastAsia="Arial" w:hAnsi="Arial"/>
                <w:sz w:val="18"/>
                <w:szCs w:val="18"/>
                <w:color w:val="auto"/>
                <w:w w:val="86"/>
              </w:rPr>
              <w:t>23,717,310</w:t>
            </w:r>
          </w:p>
        </w:tc>
        <w:tc>
          <w:tcPr>
            <w:tcW w:w="1020" w:type="dxa"/>
            <w:vAlign w:val="bottom"/>
          </w:tcPr>
          <w:p>
            <w:pPr>
              <w:jc w:val="right"/>
              <w:spacing w:after="0"/>
              <w:rPr>
                <w:sz w:val="20"/>
                <w:szCs w:val="20"/>
                <w:color w:val="auto"/>
              </w:rPr>
            </w:pPr>
            <w:r>
              <w:rPr>
                <w:rFonts w:ascii="Arial" w:cs="Arial" w:eastAsia="Arial" w:hAnsi="Arial"/>
                <w:sz w:val="18"/>
                <w:szCs w:val="18"/>
                <w:color w:val="auto"/>
              </w:rPr>
              <w:t>1,214,839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Barone</w:t>
            </w:r>
          </w:p>
        </w:tc>
        <w:tc>
          <w:tcPr>
            <w:tcW w:w="3460" w:type="dxa"/>
            <w:vAlign w:val="bottom"/>
            <w:gridSpan w:val="3"/>
            <w:shd w:val="clear" w:color="auto" w:fill="CCEEFF"/>
          </w:tcPr>
          <w:p>
            <w:pPr>
              <w:jc w:val="center"/>
              <w:ind w:left="2072"/>
              <w:spacing w:after="0"/>
              <w:rPr>
                <w:sz w:val="20"/>
                <w:szCs w:val="20"/>
                <w:color w:val="auto"/>
              </w:rPr>
            </w:pPr>
            <w:r>
              <w:rPr>
                <w:rFonts w:ascii="Arial" w:cs="Arial" w:eastAsia="Arial" w:hAnsi="Arial"/>
                <w:sz w:val="18"/>
                <w:szCs w:val="18"/>
                <w:color w:val="auto"/>
                <w:w w:val="86"/>
              </w:rPr>
              <w:t>24,770,713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David Beffa-Negrini</w:t>
            </w:r>
          </w:p>
        </w:tc>
        <w:tc>
          <w:tcPr>
            <w:tcW w:w="3460" w:type="dxa"/>
            <w:vAlign w:val="bottom"/>
            <w:gridSpan w:val="3"/>
          </w:tcPr>
          <w:p>
            <w:pPr>
              <w:jc w:val="center"/>
              <w:ind w:left="2072"/>
              <w:spacing w:after="0"/>
              <w:rPr>
                <w:sz w:val="20"/>
                <w:szCs w:val="20"/>
                <w:color w:val="auto"/>
              </w:rPr>
            </w:pPr>
            <w:r>
              <w:rPr>
                <w:rFonts w:ascii="Arial" w:cs="Arial" w:eastAsia="Arial" w:hAnsi="Arial"/>
                <w:sz w:val="18"/>
                <w:szCs w:val="18"/>
                <w:color w:val="auto"/>
                <w:w w:val="86"/>
              </w:rPr>
              <w:t>24,768,438</w:t>
            </w:r>
          </w:p>
        </w:tc>
        <w:tc>
          <w:tcPr>
            <w:tcW w:w="1020" w:type="dxa"/>
            <w:vAlign w:val="bottom"/>
          </w:tcPr>
          <w:p>
            <w:pPr>
              <w:jc w:val="right"/>
              <w:spacing w:after="0"/>
              <w:rPr>
                <w:sz w:val="20"/>
                <w:szCs w:val="20"/>
                <w:color w:val="auto"/>
              </w:rPr>
            </w:pPr>
            <w:r>
              <w:rPr>
                <w:rFonts w:ascii="Arial" w:cs="Arial" w:eastAsia="Arial" w:hAnsi="Arial"/>
                <w:sz w:val="18"/>
                <w:szCs w:val="18"/>
                <w:color w:val="auto"/>
              </w:rPr>
              <w:t>163,711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Baute</w:t>
            </w:r>
          </w:p>
        </w:tc>
        <w:tc>
          <w:tcPr>
            <w:tcW w:w="3460" w:type="dxa"/>
            <w:vAlign w:val="bottom"/>
            <w:gridSpan w:val="3"/>
            <w:shd w:val="clear" w:color="auto" w:fill="CCEEFF"/>
          </w:tcPr>
          <w:p>
            <w:pPr>
              <w:jc w:val="center"/>
              <w:ind w:left="2072"/>
              <w:spacing w:after="0"/>
              <w:rPr>
                <w:sz w:val="20"/>
                <w:szCs w:val="20"/>
                <w:color w:val="auto"/>
              </w:rPr>
            </w:pPr>
            <w:r>
              <w:rPr>
                <w:rFonts w:ascii="Arial" w:cs="Arial" w:eastAsia="Arial" w:hAnsi="Arial"/>
                <w:sz w:val="18"/>
                <w:szCs w:val="18"/>
                <w:color w:val="auto"/>
                <w:w w:val="86"/>
              </w:rPr>
              <w:t>23,715,635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Donald Weatherson</w:t>
            </w:r>
          </w:p>
        </w:tc>
        <w:tc>
          <w:tcPr>
            <w:tcW w:w="3460" w:type="dxa"/>
            <w:vAlign w:val="bottom"/>
            <w:gridSpan w:val="3"/>
          </w:tcPr>
          <w:p>
            <w:pPr>
              <w:jc w:val="center"/>
              <w:ind w:left="2072"/>
              <w:spacing w:after="0"/>
              <w:rPr>
                <w:sz w:val="20"/>
                <w:szCs w:val="20"/>
                <w:color w:val="auto"/>
              </w:rPr>
            </w:pPr>
            <w:r>
              <w:rPr>
                <w:rFonts w:ascii="Arial" w:cs="Arial" w:eastAsia="Arial" w:hAnsi="Arial"/>
                <w:sz w:val="18"/>
                <w:szCs w:val="18"/>
                <w:color w:val="auto"/>
                <w:w w:val="86"/>
              </w:rPr>
              <w:t>23,472,082</w:t>
            </w:r>
          </w:p>
        </w:tc>
        <w:tc>
          <w:tcPr>
            <w:tcW w:w="1020" w:type="dxa"/>
            <w:vAlign w:val="bottom"/>
          </w:tcPr>
          <w:p>
            <w:pPr>
              <w:jc w:val="right"/>
              <w:spacing w:after="0"/>
              <w:rPr>
                <w:sz w:val="20"/>
                <w:szCs w:val="20"/>
                <w:color w:val="auto"/>
              </w:rPr>
            </w:pPr>
            <w:r>
              <w:rPr>
                <w:rFonts w:ascii="Arial" w:cs="Arial" w:eastAsia="Arial" w:hAnsi="Arial"/>
                <w:sz w:val="18"/>
                <w:szCs w:val="18"/>
                <w:color w:val="auto"/>
              </w:rPr>
              <w:t>1,460,067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00" w:type="dxa"/>
            <w:vAlign w:val="bottom"/>
          </w:tcPr>
          <w:p>
            <w:pPr>
              <w:jc w:val="right"/>
              <w:ind w:right="1212"/>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an amendment to the Company’s 1997 Employee Stock Purchase Plan:</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860" w:type="dxa"/>
            <w:vAlign w:val="bottom"/>
          </w:tcPr>
          <w:p>
            <w:pPr>
              <w:spacing w:after="0"/>
              <w:rPr>
                <w:sz w:val="20"/>
                <w:szCs w:val="20"/>
                <w:color w:val="auto"/>
              </w:rPr>
            </w:pPr>
            <w:r>
              <w:rPr>
                <w:rFonts w:ascii="Arial" w:cs="Arial" w:eastAsia="Arial" w:hAnsi="Arial"/>
                <w:sz w:val="14"/>
                <w:szCs w:val="14"/>
                <w:b w:val="1"/>
                <w:bCs w:val="1"/>
                <w:color w:val="auto"/>
              </w:rPr>
              <w:t>Votes For</w:t>
            </w:r>
          </w:p>
        </w:tc>
        <w:tc>
          <w:tcPr>
            <w:tcW w:w="1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7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Votes Abstained</w:t>
            </w:r>
          </w:p>
        </w:tc>
        <w:tc>
          <w:tcPr>
            <w:tcW w:w="86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Unvoted</w:t>
            </w:r>
          </w:p>
        </w:tc>
      </w:tr>
      <w:tr>
        <w:trPr>
          <w:trHeight w:val="95"/>
        </w:trPr>
        <w:tc>
          <w:tcPr>
            <w:tcW w:w="8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w w:val="93"/>
              </w:rPr>
              <w:t>22,457,067</w:t>
            </w:r>
          </w:p>
        </w:tc>
        <w:tc>
          <w:tcPr>
            <w:tcW w:w="2240" w:type="dxa"/>
            <w:vAlign w:val="bottom"/>
            <w:gridSpan w:val="2"/>
          </w:tcPr>
          <w:p>
            <w:pPr>
              <w:jc w:val="right"/>
              <w:ind w:right="212"/>
              <w:spacing w:after="0"/>
              <w:rPr>
                <w:sz w:val="20"/>
                <w:szCs w:val="20"/>
                <w:color w:val="auto"/>
              </w:rPr>
            </w:pPr>
            <w:r>
              <w:rPr>
                <w:rFonts w:ascii="Arial" w:cs="Arial" w:eastAsia="Arial" w:hAnsi="Arial"/>
                <w:sz w:val="18"/>
                <w:szCs w:val="18"/>
                <w:color w:val="auto"/>
              </w:rPr>
              <w:t>62,859</w:t>
            </w:r>
          </w:p>
        </w:tc>
        <w:tc>
          <w:tcPr>
            <w:tcW w:w="1920" w:type="dxa"/>
            <w:vAlign w:val="bottom"/>
            <w:gridSpan w:val="2"/>
          </w:tcPr>
          <w:p>
            <w:pPr>
              <w:jc w:val="right"/>
              <w:ind w:right="332"/>
              <w:spacing w:after="0"/>
              <w:rPr>
                <w:sz w:val="20"/>
                <w:szCs w:val="20"/>
                <w:color w:val="auto"/>
              </w:rPr>
            </w:pPr>
            <w:r>
              <w:rPr>
                <w:rFonts w:ascii="Arial" w:cs="Arial" w:eastAsia="Arial" w:hAnsi="Arial"/>
                <w:sz w:val="18"/>
                <w:szCs w:val="18"/>
                <w:color w:val="auto"/>
              </w:rPr>
              <w:t>6,556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2,405,667</w:t>
            </w:r>
          </w:p>
        </w:tc>
      </w:tr>
    </w:tbl>
    <w:p>
      <w:pPr>
        <w:spacing w:after="0" w:line="142"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Ratification of the selection of by the Audit Committee of Deloitte &amp; Touche LLP as the Company’s independent registered public accounting firm for the current fiscal year:</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860" w:type="dxa"/>
            <w:vAlign w:val="bottom"/>
          </w:tcPr>
          <w:p>
            <w:pPr>
              <w:spacing w:after="0"/>
              <w:rPr>
                <w:sz w:val="20"/>
                <w:szCs w:val="20"/>
                <w:color w:val="auto"/>
              </w:rPr>
            </w:pPr>
            <w:r>
              <w:rPr>
                <w:rFonts w:ascii="Arial" w:cs="Arial" w:eastAsia="Arial" w:hAnsi="Arial"/>
                <w:sz w:val="14"/>
                <w:szCs w:val="14"/>
                <w:b w:val="1"/>
                <w:bCs w:val="1"/>
                <w:color w:val="auto"/>
              </w:rPr>
              <w:t>Votes For</w:t>
            </w:r>
          </w:p>
        </w:tc>
        <w:tc>
          <w:tcPr>
            <w:tcW w:w="15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6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Votes Abstained</w:t>
            </w:r>
          </w:p>
        </w:tc>
      </w:tr>
      <w:tr>
        <w:trPr>
          <w:trHeight w:val="95"/>
        </w:trPr>
        <w:tc>
          <w:tcPr>
            <w:tcW w:w="8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w w:val="93"/>
              </w:rPr>
              <w:t>24,880,548</w:t>
            </w:r>
          </w:p>
        </w:tc>
        <w:tc>
          <w:tcPr>
            <w:tcW w:w="2620" w:type="dxa"/>
            <w:vAlign w:val="bottom"/>
            <w:gridSpan w:val="2"/>
          </w:tcPr>
          <w:p>
            <w:pPr>
              <w:jc w:val="right"/>
              <w:ind w:right="232"/>
              <w:spacing w:after="0"/>
              <w:rPr>
                <w:sz w:val="20"/>
                <w:szCs w:val="20"/>
                <w:color w:val="auto"/>
              </w:rPr>
            </w:pPr>
            <w:r>
              <w:rPr>
                <w:rFonts w:ascii="Arial" w:cs="Arial" w:eastAsia="Arial" w:hAnsi="Arial"/>
                <w:sz w:val="18"/>
                <w:szCs w:val="18"/>
                <w:color w:val="auto"/>
              </w:rPr>
              <w:t>40,579</w:t>
            </w:r>
          </w:p>
        </w:tc>
        <w:tc>
          <w:tcPr>
            <w:tcW w:w="2800" w:type="dxa"/>
            <w:vAlign w:val="bottom"/>
            <w:gridSpan w:val="2"/>
          </w:tcPr>
          <w:p>
            <w:pPr>
              <w:jc w:val="right"/>
              <w:ind w:right="292"/>
              <w:spacing w:after="0"/>
              <w:rPr>
                <w:sz w:val="20"/>
                <w:szCs w:val="20"/>
                <w:color w:val="auto"/>
              </w:rPr>
            </w:pPr>
            <w:r>
              <w:rPr>
                <w:rFonts w:ascii="Arial" w:cs="Arial" w:eastAsia="Arial" w:hAnsi="Arial"/>
                <w:sz w:val="18"/>
                <w:szCs w:val="18"/>
                <w:color w:val="auto"/>
              </w:rPr>
              <w:t>11,022</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60325</wp:posOffset>
            </wp:positionV>
            <wp:extent cx="10890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6"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 Letter on unaudited interim financial information.</w:t>
      </w:r>
    </w:p>
    <w:p>
      <w:pPr>
        <w:spacing w:after="0" w:line="117"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Certification of the Company’s President and Chief Executive Officer pursuant to Section 302 of the Sarbanes-Oxley Act of 2002.</w:t>
      </w:r>
    </w:p>
    <w:p>
      <w:pPr>
        <w:spacing w:after="0" w:line="117" w:lineRule="exact"/>
        <w:rPr>
          <w:sz w:val="20"/>
          <w:szCs w:val="20"/>
          <w:color w:val="auto"/>
        </w:rPr>
      </w:pPr>
    </w:p>
    <w:p>
      <w:pPr>
        <w:ind w:left="1260" w:right="620" w:hanging="674"/>
        <w:spacing w:after="0" w:line="268" w:lineRule="auto"/>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Company’s Treasurer and Interim Chief Financial Officer pursuant to Section 302 of the Sarbanes-Oxley Act of * 2002.</w:t>
      </w:r>
    </w:p>
    <w:p>
      <w:pPr>
        <w:spacing w:after="0" w:line="78" w:lineRule="exact"/>
        <w:rPr>
          <w:sz w:val="20"/>
          <w:szCs w:val="20"/>
          <w:color w:val="auto"/>
        </w:rPr>
      </w:pPr>
    </w:p>
    <w:p>
      <w:pPr>
        <w:ind w:left="1260" w:right="760" w:hanging="674"/>
        <w:spacing w:after="0" w:line="268" w:lineRule="auto"/>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Company’s President and Chief Executive Officer pursuant to 18 U.S.C. Section 1350, as adopted pursuant to * Section 906 of the Sarbanes-Oxley Act of 2002.</w:t>
      </w:r>
    </w:p>
    <w:p>
      <w:pPr>
        <w:spacing w:after="0" w:line="78"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Company’s Treasurer and Interim Chief Financial Officer pursuant to 18 U.S.C. Section 1350, as adopted</w:t>
      </w:r>
    </w:p>
    <w:p>
      <w:pPr>
        <w:spacing w:after="0" w:line="15" w:lineRule="exact"/>
        <w:rPr>
          <w:sz w:val="20"/>
          <w:szCs w:val="20"/>
          <w:color w:val="auto"/>
        </w:rPr>
      </w:pPr>
    </w:p>
    <w:p>
      <w:pPr>
        <w:ind w:left="1440" w:hanging="183"/>
        <w:spacing w:after="0"/>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pursuant to Section 906 of the Sarbanes-Oxley Act of 2002.</w:t>
      </w:r>
    </w:p>
    <w:p>
      <w:pPr>
        <w:spacing w:after="0" w:line="2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6000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PC CONNECTION, INC. AND SUBSIDIARIES</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15, 2005</w:t>
      </w:r>
      <w:r>
        <w:rPr>
          <w:sz w:val="20"/>
          <w:szCs w:val="20"/>
          <w:color w:val="auto"/>
        </w:rPr>
        <w:tab/>
      </w:r>
      <w:r>
        <w:rPr>
          <w:rFonts w:ascii="Arial" w:cs="Arial" w:eastAsia="Arial" w:hAnsi="Arial"/>
          <w:sz w:val="16"/>
          <w:szCs w:val="16"/>
          <w:color w:val="auto"/>
        </w:rPr>
        <w:t>By: /S/ PATRICIA GALLUP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Patricia Gallup</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15, 2005</w:t>
      </w:r>
      <w:r>
        <w:rPr>
          <w:sz w:val="20"/>
          <w:szCs w:val="20"/>
          <w:color w:val="auto"/>
        </w:rPr>
        <w:tab/>
      </w:r>
      <w:r>
        <w:rPr>
          <w:rFonts w:ascii="Arial" w:cs="Arial" w:eastAsia="Arial" w:hAnsi="Arial"/>
          <w:sz w:val="16"/>
          <w:szCs w:val="16"/>
          <w:color w:val="auto"/>
        </w:rPr>
        <w:t>By: /S/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Jack Ferguson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 and Interim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August 15,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NH 03054</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made a review, in accordance with the standards of the Public Company Accounting Oversight Board (United States), of the unaudited interim financial information of PC Connection, Inc. and subsidiaries for the periods ended June 30, 2005 and 2004, as indicated in our report dated August 15, 2005; because we did not perform an audit, we expressed no opinion on that information.</w:t>
      </w:r>
    </w:p>
    <w:p>
      <w:pPr>
        <w:spacing w:after="0" w:line="12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are aware that our report referred to above, which is included in your Quarterly Report on Form 10-Q for the quarter ended June 30, 2005, is incorporated by reference in Registration Statement Nos. 333-40172, 333-50845, 333-50847, 333-66450, 333-69981, 333-83943, 333-91584, and 333-106652 on Form S-8.</w:t>
      </w:r>
    </w:p>
    <w:p>
      <w:pPr>
        <w:spacing w:after="0" w:line="7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Patricia Gallup, certify that:</w:t>
      </w:r>
    </w:p>
    <w:p>
      <w:pPr>
        <w:spacing w:after="0" w:line="7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15, 2005</w:t>
      </w:r>
      <w:r>
        <w:rPr>
          <w:sz w:val="20"/>
          <w:szCs w:val="20"/>
          <w:color w:val="auto"/>
        </w:rPr>
        <w:tab/>
      </w:r>
      <w:r>
        <w:rPr>
          <w:rFonts w:ascii="Arial" w:cs="Arial" w:eastAsia="Arial" w:hAnsi="Arial"/>
          <w:sz w:val="16"/>
          <w:szCs w:val="16"/>
          <w:color w:val="auto"/>
        </w:rPr>
        <w:t>/S/ PATRICIA GALLUP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Patricia Gallup</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Jack Ferguson, certify that:</w:t>
      </w:r>
    </w:p>
    <w:p>
      <w:pPr>
        <w:spacing w:after="0" w:line="7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15, 2005</w:t>
      </w:r>
      <w:r>
        <w:rPr>
          <w:sz w:val="20"/>
          <w:szCs w:val="20"/>
          <w:color w:val="auto"/>
        </w:rPr>
        <w:tab/>
      </w:r>
      <w:r>
        <w:rPr>
          <w:rFonts w:ascii="Arial" w:cs="Arial" w:eastAsia="Arial" w:hAnsi="Arial"/>
          <w:sz w:val="16"/>
          <w:szCs w:val="16"/>
          <w:color w:val="auto"/>
        </w:rPr>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Jack Ferguson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Treasurer and Interim Chief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2005 as filed with the Securities and Exchange Commission on the date hereof (the “Report”), the undersigned, Patricia Gallup, President and Chief Executive Officer of the Company, hereby certifies, pursuant to 18 U.S.C. Section 350, that:</w:t>
      </w:r>
    </w:p>
    <w:p>
      <w:pPr>
        <w:spacing w:after="0" w:line="46" w:lineRule="exact"/>
        <w:rPr>
          <w:sz w:val="20"/>
          <w:szCs w:val="20"/>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0" w:lineRule="exact"/>
        <w:rPr>
          <w:rFonts w:ascii="Arial" w:cs="Arial" w:eastAsia="Arial" w:hAnsi="Arial"/>
          <w:sz w:val="16"/>
          <w:szCs w:val="16"/>
          <w:color w:val="auto"/>
        </w:rPr>
      </w:pPr>
    </w:p>
    <w:p>
      <w:pPr>
        <w:ind w:left="5820"/>
        <w:spacing w:after="0"/>
        <w:rPr>
          <w:rFonts w:ascii="Arial" w:cs="Arial" w:eastAsia="Arial" w:hAnsi="Arial"/>
          <w:sz w:val="16"/>
          <w:szCs w:val="16"/>
          <w:color w:val="auto"/>
        </w:rPr>
      </w:pPr>
      <w:r>
        <w:rPr>
          <w:rFonts w:ascii="Arial" w:cs="Arial" w:eastAsia="Arial" w:hAnsi="Arial"/>
          <w:sz w:val="18"/>
          <w:szCs w:val="18"/>
          <w:color w:val="auto"/>
        </w:rPr>
        <w:t>/S/ PATRICIA GALLUP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Dated: August 15, 2005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Patricia Gallup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720"/>
            <w:col w:w="5600"/>
          </w:cols>
          <w:pgMar w:left="240" w:top="125"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2005 as filed with the Securities and Exchange Commission on the date hereof (the “Report”), the undersigned, Jack Ferguson, Treasurer and Interim Chief Financial Officer of the Company, hereby certifies, pursuant to 18 U.S.C. Section 1350, that:</w:t>
      </w:r>
    </w:p>
    <w:p>
      <w:pPr>
        <w:spacing w:after="0" w:line="46" w:lineRule="exact"/>
        <w:rPr>
          <w:sz w:val="20"/>
          <w:szCs w:val="20"/>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0" w:lineRule="exact"/>
        <w:rPr>
          <w:rFonts w:ascii="Arial" w:cs="Arial" w:eastAsia="Arial" w:hAnsi="Arial"/>
          <w:sz w:val="16"/>
          <w:szCs w:val="16"/>
          <w:color w:val="auto"/>
        </w:rPr>
      </w:pPr>
    </w:p>
    <w:p>
      <w:pPr>
        <w:ind w:left="5820"/>
        <w:spacing w:after="0"/>
        <w:rPr>
          <w:rFonts w:ascii="Arial" w:cs="Arial" w:eastAsia="Arial" w:hAnsi="Arial"/>
          <w:sz w:val="16"/>
          <w:szCs w:val="16"/>
          <w:color w:val="auto"/>
        </w:rPr>
      </w:pPr>
      <w:r>
        <w:rPr>
          <w:rFonts w:ascii="Arial" w:cs="Arial" w:eastAsia="Arial" w:hAnsi="Arial"/>
          <w:sz w:val="18"/>
          <w:szCs w:val="18"/>
          <w:color w:val="auto"/>
        </w:rPr>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Dated: August 15, 2005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Jack Ferguson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Treasurer and Interim Chief Financial Officer</w:t>
      </w:r>
    </w:p>
    <w:sectPr>
      <w:pgSz w:w="11900" w:h="16838" w:orient="portrait"/>
      <w:cols w:equalWidth="0" w:num="2">
        <w:col w:w="5100" w:space="720"/>
        <w:col w:w="560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lowerLetter"/>
      <w:start w:val="5"/>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
      <w:numFmt w:val="bullet"/>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2019-12-14T18:58:59Z</dcterms:created>
  <dcterms:modified xsi:type="dcterms:W3CDTF">2019-12-14T18:58:59Z</dcterms:modified>
</cp:coreProperties>
</file>