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5"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380" w:right="60"/>
        <w:spacing w:after="0" w:line="25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-241300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86"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-694690</wp:posOffset>
            </wp:positionV>
            <wp:extent cx="128905"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5173345</wp:posOffset>
            </wp:positionH>
            <wp:positionV relativeFrom="paragraph">
              <wp:posOffset>4445</wp:posOffset>
            </wp:positionV>
            <wp:extent cx="59690" cy="670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70560"/>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4445</wp:posOffset>
            </wp:positionV>
            <wp:extent cx="59690" cy="670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670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7"/>
        </w:trPr>
        <w:tc>
          <w:tcPr>
            <w:tcW w:w="6160" w:type="dxa"/>
            <w:vAlign w:val="bottom"/>
            <w:vMerge w:val="restart"/>
          </w:tcPr>
          <w:p>
            <w:pPr>
              <w:jc w:val="center"/>
              <w:ind w:right="245"/>
              <w:spacing w:after="0" w:line="237"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4"/>
                <w:szCs w:val="4"/>
                <w:color w:val="auto"/>
              </w:rPr>
            </w:pPr>
          </w:p>
        </w:tc>
        <w:tc>
          <w:tcPr>
            <w:tcW w:w="2020" w:type="dxa"/>
            <w:vAlign w:val="bottom"/>
            <w:tcBorders>
              <w:top w:val="single" w:sz="8" w:color="808080"/>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6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tcBorders>
              <w:top w:val="single" w:sz="8" w:color="2C2C2C"/>
            </w:tcBorders>
            <w:gridSpan w:val="2"/>
          </w:tcPr>
          <w:p>
            <w:pPr>
              <w:ind w:left="300"/>
              <w:spacing w:after="0" w:line="170" w:lineRule="exact"/>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160" w:type="dxa"/>
            <w:vAlign w:val="bottom"/>
            <w:vMerge w:val="restart"/>
          </w:tcPr>
          <w:p>
            <w:pPr>
              <w:jc w:val="center"/>
              <w:ind w:right="265"/>
              <w:spacing w:after="0"/>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
        </w:trPr>
        <w:tc>
          <w:tcPr>
            <w:tcW w:w="6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6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160" w:type="dxa"/>
            <w:vAlign w:val="bottom"/>
            <w:vMerge w:val="restart"/>
          </w:tcPr>
          <w:p>
            <w:pPr>
              <w:jc w:val="center"/>
              <w:ind w:right="24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90"/>
        </w:trPr>
        <w:tc>
          <w:tcPr>
            <w:tcW w:w="6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center"/>
        <w:ind w:right="2460"/>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ind w:right="246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-1734185</wp:posOffset>
            </wp:positionH>
            <wp:positionV relativeFrom="paragraph">
              <wp:posOffset>771525</wp:posOffset>
            </wp:positionV>
            <wp:extent cx="7002145" cy="6563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6563360"/>
                    </a:xfrm>
                    <a:prstGeom prst="rect">
                      <a:avLst/>
                    </a:prstGeom>
                    <a:noFill/>
                  </pic:spPr>
                </pic:pic>
              </a:graphicData>
            </a:graphic>
          </wp:anchor>
        </w:drawing>
      </w:r>
    </w:p>
    <w:p>
      <w:pPr>
        <w:spacing w:after="0" w:line="1290" w:lineRule="exact"/>
        <w:rPr>
          <w:sz w:val="24"/>
          <w:szCs w:val="24"/>
          <w:color w:val="auto"/>
        </w:rPr>
      </w:pPr>
    </w:p>
    <w:p>
      <w:pPr>
        <w:sectPr>
          <w:pgSz w:w="11920" w:h="16838" w:orient="portrait"/>
          <w:cols w:equalWidth="0" w:num="2">
            <w:col w:w="2300" w:space="420"/>
            <w:col w:w="8280"/>
          </w:cols>
          <w:pgMar w:left="460" w:top="215" w:right="458"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40"/>
        <w:spacing w:after="0"/>
        <w:rPr>
          <w:rFonts w:ascii="Times New Roman" w:cs="Times New Roman" w:eastAsia="Times New Roman" w:hAnsi="Times New Roman"/>
          <w:sz w:val="22"/>
          <w:szCs w:val="22"/>
          <w:u w:val="single" w:color="auto"/>
          <w:color w:val="0000EE"/>
        </w:rPr>
      </w:pPr>
      <w:hyperlink r:id="rId13">
        <w:r>
          <w:rPr>
            <w:rFonts w:ascii="Times New Roman" w:cs="Times New Roman" w:eastAsia="Times New Roman" w:hAnsi="Times New Roman"/>
            <w:sz w:val="22"/>
            <w:szCs w:val="22"/>
            <w:u w:val="single" w:color="auto"/>
            <w:color w:val="0000EE"/>
          </w:rPr>
          <w:t>GALLUP PATRICIA</w:t>
        </w:r>
      </w:hyperlink>
    </w:p>
    <w:p>
      <w:pPr>
        <w:spacing w:after="0" w:line="303" w:lineRule="exact"/>
        <w:rPr>
          <w:sz w:val="24"/>
          <w:szCs w:val="24"/>
          <w:color w:val="auto"/>
        </w:rPr>
      </w:pPr>
    </w:p>
    <w:p>
      <w:pPr>
        <w:ind w:left="14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730 MILFORD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162"/>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PC CONNECTION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CNXN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06/23/2026</w:t>
      </w:r>
    </w:p>
    <w:p>
      <w:pPr>
        <w:spacing w:after="0" w:line="20" w:lineRule="exact"/>
        <w:rPr>
          <w:sz w:val="24"/>
          <w:szCs w:val="24"/>
          <w:color w:val="auto"/>
        </w:rPr>
      </w:pPr>
      <w:r>
        <w:rPr>
          <w:sz w:val="24"/>
          <w:szCs w:val="24"/>
          <w:color w:val="auto"/>
        </w:rPr>
        <w:br w:type="column"/>
      </w:r>
    </w:p>
    <w:p>
      <w:pPr>
        <w:ind w:left="-2" w:right="380" w:firstLine="2"/>
        <w:spacing w:after="0" w:line="251" w:lineRule="auto"/>
        <w:tabs>
          <w:tab w:leader="none" w:pos="149"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518"/>
        <w:spacing w:after="0"/>
        <w:tabs>
          <w:tab w:leader="none" w:pos="1696" w:val="left"/>
        </w:tabs>
        <w:rPr>
          <w:sz w:val="20"/>
          <w:szCs w:val="20"/>
          <w:color w:val="auto"/>
        </w:rPr>
      </w:pPr>
      <w:r>
        <w:rPr>
          <w:rFonts w:ascii="Arial" w:cs="Arial" w:eastAsia="Arial" w:hAnsi="Arial"/>
          <w:sz w:val="14"/>
          <w:szCs w:val="14"/>
          <w:color w:val="auto"/>
        </w:rPr>
        <w:t>Director</w:t>
      </w:r>
      <w:r>
        <w:rPr>
          <w:sz w:val="20"/>
          <w:szCs w:val="20"/>
          <w:color w:val="auto"/>
        </w:rPr>
        <w:tab/>
      </w:r>
      <w:r>
        <w:rPr>
          <w:sz w:val="1"/>
          <w:szCs w:val="1"/>
          <w:color w:val="auto"/>
        </w:rPr>
        <w:drawing>
          <wp:inline distT="0" distB="0" distL="0" distR="0">
            <wp:extent cx="128905" cy="114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905" cy="114300"/>
                    </a:xfrm>
                    <a:prstGeom prst="rect">
                      <a:avLst/>
                    </a:prstGeom>
                    <a:noFill/>
                    <a:ln>
                      <a:noFill/>
                    </a:ln>
                  </pic:spPr>
                </pic:pic>
              </a:graphicData>
            </a:graphic>
          </wp:inline>
        </w:drawing>
      </w:r>
      <w:r>
        <w:rPr>
          <w:rFonts w:ascii="Arial" w:cs="Arial" w:eastAsia="Arial" w:hAnsi="Arial"/>
          <w:sz w:val="14"/>
          <w:szCs w:val="14"/>
          <w:color w:val="auto"/>
        </w:rPr>
        <w:t xml:space="preserve">  10% Owner</w:t>
      </w:r>
    </w:p>
    <w:p>
      <w:pPr>
        <w:spacing w:after="0" w:line="50" w:lineRule="exact"/>
        <w:rPr>
          <w:sz w:val="24"/>
          <w:szCs w:val="24"/>
          <w:color w:val="auto"/>
        </w:rPr>
      </w:pPr>
    </w:p>
    <w:p>
      <w:pPr>
        <w:jc w:val="right"/>
        <w:ind w:right="3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58"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9" w:lineRule="exact"/>
        <w:rPr>
          <w:sz w:val="24"/>
          <w:szCs w:val="24"/>
          <w:color w:val="auto"/>
        </w:rPr>
      </w:pPr>
    </w:p>
    <w:p>
      <w:pPr>
        <w:ind w:left="378"/>
        <w:spacing w:after="0"/>
        <w:rPr>
          <w:sz w:val="20"/>
          <w:szCs w:val="20"/>
          <w:color w:val="auto"/>
        </w:rPr>
      </w:pPr>
      <w:r>
        <w:rPr>
          <w:rFonts w:ascii="Times New Roman" w:cs="Times New Roman" w:eastAsia="Times New Roman" w:hAnsi="Times New Roman"/>
          <w:sz w:val="18"/>
          <w:szCs w:val="18"/>
          <w:color w:val="0000FF"/>
        </w:rPr>
        <w:t>Chairman &amp; Chief Admin Officer</w:t>
      </w:r>
    </w:p>
    <w:p>
      <w:pPr>
        <w:spacing w:after="0" w:line="281" w:lineRule="exact"/>
        <w:rPr>
          <w:sz w:val="24"/>
          <w:szCs w:val="24"/>
          <w:color w:val="auto"/>
        </w:rPr>
      </w:pPr>
    </w:p>
    <w:p>
      <w:pPr>
        <w:sectPr>
          <w:pgSz w:w="11920" w:h="16838" w:orient="portrait"/>
          <w:cols w:equalWidth="0" w:num="3">
            <w:col w:w="3200" w:space="720"/>
            <w:col w:w="3122" w:space="720"/>
            <w:col w:w="3238"/>
          </w:cols>
          <w:pgMar w:left="460" w:top="215" w:right="458" w:bottom="1440" w:gutter="0" w:footer="0" w:header="0"/>
          <w:type w:val="continuous"/>
        </w:sectPr>
      </w:pP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40" w:type="dxa"/>
            <w:vAlign w:val="bottom"/>
            <w:gridSpan w:val="5"/>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600" w:type="dxa"/>
            <w:vAlign w:val="bottom"/>
            <w:gridSpan w:val="5"/>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vMerge w:val="restart"/>
          </w:tcPr>
          <w:p>
            <w:pPr>
              <w:ind w:left="360"/>
              <w:spacing w:after="0"/>
              <w:rPr>
                <w:sz w:val="20"/>
                <w:szCs w:val="20"/>
                <w:color w:val="auto"/>
              </w:rPr>
            </w:pPr>
            <w:r>
              <w:rPr>
                <w:rFonts w:ascii="Arial" w:cs="Arial" w:eastAsia="Arial" w:hAnsi="Arial"/>
                <w:sz w:val="14"/>
                <w:szCs w:val="14"/>
                <w:color w:val="auto"/>
              </w:rPr>
              <w:t>Line)</w:t>
            </w: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MERRIMACK</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NH</w:t>
            </w:r>
          </w:p>
        </w:tc>
        <w:tc>
          <w:tcPr>
            <w:tcW w:w="178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0000FF"/>
              </w:rPr>
              <w:t>03054</w:t>
            </w:r>
          </w:p>
        </w:tc>
        <w:tc>
          <w:tcPr>
            <w:tcW w:w="3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40" w:type="dxa"/>
            <w:vAlign w:val="bottom"/>
            <w:gridSpan w:val="4"/>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gridSpan w:val="4"/>
          </w:tcPr>
          <w:p>
            <w:pPr>
              <w:ind w:left="140"/>
              <w:spacing w:after="0" w:line="14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(City)</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auto"/>
              </w:rPr>
              <w:t>(State)</w:t>
            </w:r>
          </w:p>
        </w:tc>
        <w:tc>
          <w:tcPr>
            <w:tcW w:w="2160" w:type="dxa"/>
            <w:vAlign w:val="bottom"/>
            <w:gridSpan w:val="2"/>
            <w:vMerge w:val="restart"/>
          </w:tcPr>
          <w:p>
            <w:pPr>
              <w:ind w:left="60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ind w:left="140"/>
              <w:spacing w:after="0"/>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546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40" w:type="dxa"/>
            <w:vAlign w:val="bottom"/>
            <w:tcBorders>
              <w:top w:val="single" w:sz="8" w:color="2C2C2C"/>
            </w:tcBorders>
            <w:gridSpan w:val="8"/>
          </w:tcPr>
          <w:p>
            <w:pPr>
              <w:ind w:left="1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160" w:type="dxa"/>
            <w:vAlign w:val="bottom"/>
            <w:gridSpan w:val="2"/>
          </w:tcPr>
          <w:p>
            <w:pPr>
              <w:ind w:left="1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60" w:type="dxa"/>
            <w:vAlign w:val="bottom"/>
            <w:gridSpan w:val="2"/>
          </w:tcPr>
          <w:p>
            <w:pPr>
              <w:ind w:left="110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60" w:type="dxa"/>
            <w:vAlign w:val="bottom"/>
            <w:gridSpan w:val="2"/>
          </w:tcPr>
          <w:p>
            <w:pPr>
              <w:jc w:val="center"/>
              <w:ind w:left="962"/>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8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8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8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17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00" w:type="dxa"/>
            <w:vAlign w:val="bottom"/>
          </w:tcPr>
          <w:p>
            <w:pPr>
              <w:spacing w:after="0"/>
              <w:rPr>
                <w:sz w:val="22"/>
                <w:szCs w:val="22"/>
                <w:color w:val="auto"/>
              </w:rPr>
            </w:pPr>
          </w:p>
        </w:tc>
        <w:tc>
          <w:tcPr>
            <w:tcW w:w="2160" w:type="dxa"/>
            <w:vAlign w:val="bottom"/>
            <w:gridSpan w:val="2"/>
            <w:vMerge w:val="restart"/>
          </w:tcPr>
          <w:p>
            <w:pPr>
              <w:jc w:val="center"/>
              <w:ind w:left="962"/>
              <w:spacing w:after="0"/>
              <w:rPr>
                <w:sz w:val="20"/>
                <w:szCs w:val="20"/>
                <w:color w:val="auto"/>
              </w:rPr>
            </w:pPr>
            <w:r>
              <w:rPr>
                <w:rFonts w:ascii="Times New Roman" w:cs="Times New Roman" w:eastAsia="Times New Roman" w:hAnsi="Times New Roman"/>
                <w:sz w:val="18"/>
                <w:szCs w:val="18"/>
                <w:color w:val="0000FF"/>
                <w:w w:val="97"/>
              </w:rPr>
              <w:t>06/23/2026</w:t>
            </w:r>
          </w:p>
        </w:tc>
        <w:tc>
          <w:tcPr>
            <w:tcW w:w="1140" w:type="dxa"/>
            <w:vAlign w:val="bottom"/>
          </w:tcPr>
          <w:p>
            <w:pPr>
              <w:spacing w:after="0"/>
              <w:rPr>
                <w:sz w:val="22"/>
                <w:szCs w:val="2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2,275</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69.23</w:t>
            </w:r>
            <w:r>
              <w:rPr>
                <w:rFonts w:ascii="Times New Roman" w:cs="Times New Roman" w:eastAsia="Times New Roman" w:hAnsi="Times New Roman"/>
                <w:sz w:val="22"/>
                <w:szCs w:val="22"/>
                <w:color w:val="008000"/>
                <w:vertAlign w:val="superscript"/>
              </w:rPr>
              <w:t>(2)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7,025,472</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00" w:type="dxa"/>
            <w:vAlign w:val="bottom"/>
          </w:tcPr>
          <w:p>
            <w:pPr>
              <w:spacing w:after="0"/>
              <w:rPr>
                <w:sz w:val="22"/>
                <w:szCs w:val="22"/>
                <w:color w:val="auto"/>
              </w:rPr>
            </w:pPr>
          </w:p>
        </w:tc>
        <w:tc>
          <w:tcPr>
            <w:tcW w:w="2160" w:type="dxa"/>
            <w:vAlign w:val="bottom"/>
            <w:gridSpan w:val="2"/>
            <w:vMerge w:val="restart"/>
          </w:tcPr>
          <w:p>
            <w:pPr>
              <w:jc w:val="center"/>
              <w:ind w:left="962"/>
              <w:spacing w:after="0"/>
              <w:rPr>
                <w:sz w:val="20"/>
                <w:szCs w:val="20"/>
                <w:color w:val="auto"/>
              </w:rPr>
            </w:pPr>
            <w:r>
              <w:rPr>
                <w:rFonts w:ascii="Times New Roman" w:cs="Times New Roman" w:eastAsia="Times New Roman" w:hAnsi="Times New Roman"/>
                <w:sz w:val="18"/>
                <w:szCs w:val="18"/>
                <w:color w:val="0000FF"/>
                <w:w w:val="97"/>
              </w:rPr>
              <w:t>06/23/2026</w:t>
            </w:r>
          </w:p>
        </w:tc>
        <w:tc>
          <w:tcPr>
            <w:tcW w:w="1140" w:type="dxa"/>
            <w:vAlign w:val="bottom"/>
          </w:tcPr>
          <w:p>
            <w:pPr>
              <w:spacing w:after="0"/>
              <w:rPr>
                <w:sz w:val="22"/>
                <w:szCs w:val="2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4,867</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69.96</w:t>
            </w:r>
            <w:r>
              <w:rPr>
                <w:rFonts w:ascii="Times New Roman" w:cs="Times New Roman" w:eastAsia="Times New Roman" w:hAnsi="Times New Roman"/>
                <w:sz w:val="22"/>
                <w:szCs w:val="22"/>
                <w:color w:val="008000"/>
                <w:vertAlign w:val="superscript"/>
              </w:rPr>
              <w:t>(4)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7,020,605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00" w:type="dxa"/>
            <w:vAlign w:val="bottom"/>
          </w:tcPr>
          <w:p>
            <w:pPr>
              <w:spacing w:after="0"/>
              <w:rPr>
                <w:sz w:val="22"/>
                <w:szCs w:val="22"/>
                <w:color w:val="auto"/>
              </w:rPr>
            </w:pPr>
          </w:p>
        </w:tc>
        <w:tc>
          <w:tcPr>
            <w:tcW w:w="2160" w:type="dxa"/>
            <w:vAlign w:val="bottom"/>
            <w:gridSpan w:val="2"/>
            <w:vMerge w:val="restart"/>
          </w:tcPr>
          <w:p>
            <w:pPr>
              <w:jc w:val="center"/>
              <w:ind w:left="962"/>
              <w:spacing w:after="0"/>
              <w:rPr>
                <w:sz w:val="20"/>
                <w:szCs w:val="20"/>
                <w:color w:val="auto"/>
              </w:rPr>
            </w:pPr>
            <w:r>
              <w:rPr>
                <w:rFonts w:ascii="Times New Roman" w:cs="Times New Roman" w:eastAsia="Times New Roman" w:hAnsi="Times New Roman"/>
                <w:sz w:val="18"/>
                <w:szCs w:val="18"/>
                <w:color w:val="0000FF"/>
                <w:w w:val="97"/>
              </w:rPr>
              <w:t>06/24/2026</w:t>
            </w:r>
          </w:p>
        </w:tc>
        <w:tc>
          <w:tcPr>
            <w:tcW w:w="1140" w:type="dxa"/>
            <w:vAlign w:val="bottom"/>
          </w:tcPr>
          <w:p>
            <w:pPr>
              <w:spacing w:after="0"/>
              <w:rPr>
                <w:sz w:val="22"/>
                <w:szCs w:val="2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6,576</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70.04</w:t>
            </w:r>
            <w:r>
              <w:rPr>
                <w:rFonts w:ascii="Times New Roman" w:cs="Times New Roman" w:eastAsia="Times New Roman" w:hAnsi="Times New Roman"/>
                <w:sz w:val="22"/>
                <w:szCs w:val="22"/>
                <w:color w:val="008000"/>
                <w:vertAlign w:val="superscript"/>
              </w:rPr>
              <w:t>(5)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7,014,029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Trust</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00" w:type="dxa"/>
            <w:vAlign w:val="bottom"/>
          </w:tcPr>
          <w:p>
            <w:pPr>
              <w:spacing w:after="0"/>
              <w:rPr>
                <w:sz w:val="22"/>
                <w:szCs w:val="22"/>
                <w:color w:val="auto"/>
              </w:rPr>
            </w:pPr>
          </w:p>
        </w:tc>
        <w:tc>
          <w:tcPr>
            <w:tcW w:w="2160" w:type="dxa"/>
            <w:vAlign w:val="bottom"/>
            <w:gridSpan w:val="2"/>
            <w:vMerge w:val="restart"/>
          </w:tcPr>
          <w:p>
            <w:pPr>
              <w:jc w:val="center"/>
              <w:ind w:left="962"/>
              <w:spacing w:after="0"/>
              <w:rPr>
                <w:sz w:val="20"/>
                <w:szCs w:val="20"/>
                <w:color w:val="auto"/>
              </w:rPr>
            </w:pPr>
            <w:r>
              <w:rPr>
                <w:rFonts w:ascii="Times New Roman" w:cs="Times New Roman" w:eastAsia="Times New Roman" w:hAnsi="Times New Roman"/>
                <w:sz w:val="18"/>
                <w:szCs w:val="18"/>
                <w:color w:val="0000FF"/>
                <w:w w:val="97"/>
              </w:rPr>
              <w:t>06/24/2026</w:t>
            </w:r>
          </w:p>
        </w:tc>
        <w:tc>
          <w:tcPr>
            <w:tcW w:w="1140" w:type="dxa"/>
            <w:vAlign w:val="bottom"/>
          </w:tcPr>
          <w:p>
            <w:pPr>
              <w:spacing w:after="0"/>
              <w:rPr>
                <w:sz w:val="22"/>
                <w:szCs w:val="2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566</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70.52</w:t>
            </w:r>
            <w:r>
              <w:rPr>
                <w:rFonts w:ascii="Times New Roman" w:cs="Times New Roman" w:eastAsia="Times New Roman" w:hAnsi="Times New Roman"/>
                <w:sz w:val="22"/>
                <w:szCs w:val="22"/>
                <w:color w:val="008000"/>
                <w:vertAlign w:val="superscript"/>
              </w:rPr>
              <w:t>(6)</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7,013,463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6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00" w:type="dxa"/>
            <w:vAlign w:val="bottom"/>
            <w:tcBorders>
              <w:top w:val="single" w:sz="8" w:color="2C2C2C"/>
            </w:tcBorders>
          </w:tcPr>
          <w:p>
            <w:pPr>
              <w:spacing w:after="0"/>
              <w:rPr>
                <w:sz w:val="23"/>
                <w:szCs w:val="23"/>
                <w:color w:val="auto"/>
              </w:rPr>
            </w:pPr>
          </w:p>
        </w:tc>
        <w:tc>
          <w:tcPr>
            <w:tcW w:w="17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106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533,258</w:t>
            </w:r>
          </w:p>
        </w:tc>
        <w:tc>
          <w:tcPr>
            <w:tcW w:w="98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1"/>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15,133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w w:val="98"/>
              </w:rPr>
              <w:t>Spouse</w:t>
            </w:r>
            <w:r>
              <w:rPr>
                <w:rFonts w:ascii="Times New Roman" w:cs="Times New Roman" w:eastAsia="Times New Roman" w:hAnsi="Times New Roman"/>
                <w:sz w:val="22"/>
                <w:szCs w:val="22"/>
                <w:color w:val="008000"/>
                <w:w w:val="98"/>
                <w:vertAlign w:val="superscript"/>
              </w:rPr>
              <w:t>(7)</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7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906,837</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Trust</w:t>
            </w:r>
            <w:r>
              <w:rPr>
                <w:rFonts w:ascii="Times New Roman" w:cs="Times New Roman" w:eastAsia="Times New Roman" w:hAnsi="Times New Roman"/>
                <w:sz w:val="22"/>
                <w:szCs w:val="22"/>
                <w:color w:val="008000"/>
                <w:vertAlign w:val="superscript"/>
              </w:rPr>
              <w:t>(8)</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7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275,000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Trust</w:t>
            </w:r>
            <w:r>
              <w:rPr>
                <w:rFonts w:ascii="Times New Roman" w:cs="Times New Roman" w:eastAsia="Times New Roman" w:hAnsi="Times New Roman"/>
                <w:sz w:val="22"/>
                <w:szCs w:val="22"/>
                <w:color w:val="008000"/>
                <w:vertAlign w:val="superscript"/>
              </w:rPr>
              <w:t>(9)</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7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1,000,000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Trust</w:t>
            </w:r>
            <w:r>
              <w:rPr>
                <w:rFonts w:ascii="Times New Roman" w:cs="Times New Roman" w:eastAsia="Times New Roman" w:hAnsi="Times New Roman"/>
                <w:sz w:val="22"/>
                <w:szCs w:val="22"/>
                <w:color w:val="008000"/>
                <w:vertAlign w:val="superscript"/>
              </w:rPr>
              <w:t>(10)</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7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2,000,000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Trust</w:t>
            </w:r>
            <w:r>
              <w:rPr>
                <w:rFonts w:ascii="Times New Roman" w:cs="Times New Roman" w:eastAsia="Times New Roman" w:hAnsi="Times New Roman"/>
                <w:sz w:val="22"/>
                <w:szCs w:val="22"/>
                <w:color w:val="008000"/>
                <w:vertAlign w:val="superscript"/>
              </w:rPr>
              <w:t>(11)</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7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7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2,000,000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rPr>
              <w:t>Trust</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72"/>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7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20" w:h="16838" w:orient="portrait"/>
          <w:cols w:equalWidth="0" w:num="1">
            <w:col w:w="11000"/>
          </w:cols>
          <w:pgMar w:left="460" w:top="215" w:right="458"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284480</wp:posOffset>
            </wp:positionH>
            <wp:positionV relativeFrom="page">
              <wp:posOffset>85725</wp:posOffset>
            </wp:positionV>
            <wp:extent cx="7056120" cy="5303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56120" cy="5303520"/>
                    </a:xfrm>
                    <a:prstGeom prst="rect">
                      <a:avLst/>
                    </a:prstGeom>
                    <a:noFill/>
                  </pic:spPr>
                </pic:pic>
              </a:graphicData>
            </a:graphic>
          </wp:anchor>
        </w:drawing>
        <w:t>Table II - Derivative Securities Acquired, Disposed of, or Beneficially Owned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7"/>
          </w:tcPr>
          <w:p>
            <w:pPr>
              <w:ind w:left="60"/>
              <w:spacing w:after="0" w:line="244"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spacing w:after="0" w:line="230"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GALLUP PATRICIA</w:t>
              </w:r>
            </w:hyperlink>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100" w:type="dxa"/>
            <w:vAlign w:val="bottom"/>
          </w:tcPr>
          <w:p>
            <w:pPr>
              <w:ind w:left="220"/>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730 MILFORD ROAD</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MERRIMACK</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NH</w:t>
            </w:r>
          </w:p>
        </w:tc>
        <w:tc>
          <w:tcPr>
            <w:tcW w:w="110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03054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100" w:type="dxa"/>
            <w:vAlign w:val="bottom"/>
          </w:tcPr>
          <w:p>
            <w:pPr>
              <w:ind w:left="220"/>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00" w:type="dxa"/>
            <w:vAlign w:val="bottom"/>
            <w:gridSpan w:val="7"/>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spacing w:after="0" w:line="230" w:lineRule="exact"/>
              <w:rPr>
                <w:rFonts w:ascii="Times New Roman" w:cs="Times New Roman" w:eastAsia="Times New Roman" w:hAnsi="Times New Roman"/>
                <w:sz w:val="22"/>
                <w:szCs w:val="22"/>
                <w:color w:val="0000EE"/>
              </w:rPr>
            </w:pPr>
            <w:hyperlink r:id="rId14">
              <w:r>
                <w:rPr>
                  <w:rFonts w:ascii="Times New Roman" w:cs="Times New Roman" w:eastAsia="Times New Roman" w:hAnsi="Times New Roman"/>
                  <w:sz w:val="22"/>
                  <w:szCs w:val="22"/>
                  <w:color w:val="0000EE"/>
                </w:rPr>
                <w:t>PC CONNECTION INC</w:t>
              </w:r>
            </w:hyperlink>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100" w:type="dxa"/>
            <w:vAlign w:val="bottom"/>
          </w:tcPr>
          <w:p>
            <w:pPr>
              <w:ind w:left="220"/>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730 MILFORD ROAD</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MERRIMACK</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NH</w:t>
            </w:r>
          </w:p>
        </w:tc>
        <w:tc>
          <w:tcPr>
            <w:tcW w:w="110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03054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100" w:type="dxa"/>
            <w:vAlign w:val="bottom"/>
          </w:tcPr>
          <w:p>
            <w:pPr>
              <w:ind w:left="220"/>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sales reported in this Form 4 were effected pursuant to a Rule 10b5-1 trading plan adopted by the David Hall Trust 2003 on March 9, 2026.</w:t>
      </w:r>
    </w:p>
    <w:p>
      <w:pPr>
        <w:spacing w:after="0" w:line="42" w:lineRule="exact"/>
        <w:rPr>
          <w:rFonts w:ascii="Times New Roman" w:cs="Times New Roman" w:eastAsia="Times New Roman" w:hAnsi="Times New Roman"/>
          <w:sz w:val="14"/>
          <w:szCs w:val="14"/>
          <w:color w:val="008000"/>
        </w:rPr>
      </w:pPr>
    </w:p>
    <w:p>
      <w:pPr>
        <w:ind w:left="40" w:right="240" w:firstLine="9"/>
        <w:spacing w:after="0" w:line="234" w:lineRule="auto"/>
        <w:tabs>
          <w:tab w:leader="none" w:pos="173"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reported price is a weighted average price. These shares were sold in multiple transactions at prices ranging from $68.67 to $69.62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p>
      <w:pPr>
        <w:spacing w:after="0" w:line="30" w:lineRule="exact"/>
        <w:rPr>
          <w:rFonts w:ascii="Times New Roman" w:cs="Times New Roman" w:eastAsia="Times New Roman" w:hAnsi="Times New Roman"/>
          <w:sz w:val="14"/>
          <w:szCs w:val="14"/>
          <w:color w:val="008000"/>
        </w:rPr>
      </w:pPr>
    </w:p>
    <w:p>
      <w:pPr>
        <w:ind w:left="40" w:right="760" w:firstLine="9"/>
        <w:spacing w:after="0" w:line="242" w:lineRule="auto"/>
        <w:tabs>
          <w:tab w:leader="none" w:pos="173"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shares are held directly by the David Hall Trust 2003, an irrevocable trust formed under the laws of the State of New Hampshire. Ms. Gallup serves as the sole trustee and is the sole beneficiary of the shares held by the David Hall Trust 2003.</w:t>
      </w:r>
    </w:p>
    <w:p>
      <w:pPr>
        <w:spacing w:after="0" w:line="27" w:lineRule="exact"/>
        <w:rPr>
          <w:rFonts w:ascii="Times New Roman" w:cs="Times New Roman" w:eastAsia="Times New Roman" w:hAnsi="Times New Roman"/>
          <w:sz w:val="14"/>
          <w:szCs w:val="14"/>
          <w:color w:val="008000"/>
        </w:rPr>
      </w:pPr>
    </w:p>
    <w:p>
      <w:pPr>
        <w:ind w:left="40" w:right="240" w:firstLine="9"/>
        <w:spacing w:after="0" w:line="234" w:lineRule="auto"/>
        <w:tabs>
          <w:tab w:leader="none" w:pos="173"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reported price is a weighted average price. These shares were sold in multiple transactions at prices ranging from $69.71 to $70.26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p>
      <w:pPr>
        <w:spacing w:after="0" w:line="30" w:lineRule="exact"/>
        <w:rPr>
          <w:rFonts w:ascii="Times New Roman" w:cs="Times New Roman" w:eastAsia="Times New Roman" w:hAnsi="Times New Roman"/>
          <w:sz w:val="14"/>
          <w:szCs w:val="14"/>
          <w:color w:val="008000"/>
        </w:rPr>
      </w:pPr>
    </w:p>
    <w:p>
      <w:pPr>
        <w:ind w:left="40" w:right="240" w:firstLine="9"/>
        <w:spacing w:after="0" w:line="234" w:lineRule="auto"/>
        <w:tabs>
          <w:tab w:leader="none" w:pos="173"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reported price is a weighted average price. These shares were sold in multiple transactions at prices ranging from $69.48 to $70.47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p>
      <w:pPr>
        <w:spacing w:after="0" w:line="30" w:lineRule="exact"/>
        <w:rPr>
          <w:rFonts w:ascii="Times New Roman" w:cs="Times New Roman" w:eastAsia="Times New Roman" w:hAnsi="Times New Roman"/>
          <w:sz w:val="14"/>
          <w:szCs w:val="14"/>
          <w:color w:val="008000"/>
        </w:rPr>
      </w:pPr>
    </w:p>
    <w:p>
      <w:pPr>
        <w:ind w:left="40" w:right="240" w:firstLine="9"/>
        <w:spacing w:after="0" w:line="234" w:lineRule="auto"/>
        <w:tabs>
          <w:tab w:leader="none" w:pos="173"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reported price is a weighted average price. These shares were sold in multiple transactions at prices ranging from $70.48 to $70.57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p>
      <w:pPr>
        <w:spacing w:after="0" w:line="30" w:lineRule="exact"/>
        <w:rPr>
          <w:rFonts w:ascii="Times New Roman" w:cs="Times New Roman" w:eastAsia="Times New Roman" w:hAnsi="Times New Roman"/>
          <w:sz w:val="14"/>
          <w:szCs w:val="14"/>
          <w:color w:val="008000"/>
        </w:rPr>
      </w:pPr>
    </w:p>
    <w:p>
      <w:pPr>
        <w:ind w:left="40" w:right="660" w:firstLine="9"/>
        <w:spacing w:after="0" w:line="242" w:lineRule="auto"/>
        <w:tabs>
          <w:tab w:leader="none" w:pos="173"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disclaims beneficial ownership of these securities, except to the extent of such person's pecuniary interest therein. This report shall not be deemed an admission that the reporting person is the beneficial owner of such securities for purposes of Section 16 or for any other purpose.</w:t>
      </w:r>
    </w:p>
    <w:p>
      <w:pPr>
        <w:spacing w:after="0" w:line="27" w:lineRule="exact"/>
        <w:rPr>
          <w:rFonts w:ascii="Times New Roman" w:cs="Times New Roman" w:eastAsia="Times New Roman" w:hAnsi="Times New Roman"/>
          <w:sz w:val="14"/>
          <w:szCs w:val="14"/>
          <w:color w:val="008000"/>
        </w:rPr>
      </w:pPr>
    </w:p>
    <w:p>
      <w:pPr>
        <w:ind w:left="40" w:right="220" w:firstLine="9"/>
        <w:spacing w:after="0" w:line="242" w:lineRule="auto"/>
        <w:tabs>
          <w:tab w:leader="none" w:pos="173"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shares are held directly by the Abbott Brook Trust, a grantor retained annuity trust formed under the laws of the State of New Hampshire. The reporting person is the sole trustee of the Abbott Brook Trust.</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held directly by the North Branch Trust, an irrevocable trust formed under the laws of the State of New Hampshire. Ms. Gallup serves as the sole trustee of the North Branch Trust.</w:t>
      </w:r>
    </w:p>
    <w:p>
      <w:pPr>
        <w:spacing w:after="0" w:line="65" w:lineRule="exact"/>
        <w:rPr>
          <w:rFonts w:ascii="Times New Roman" w:cs="Times New Roman" w:eastAsia="Times New Roman" w:hAnsi="Times New Roman"/>
          <w:sz w:val="12"/>
          <w:szCs w:val="12"/>
          <w:color w:val="008000"/>
        </w:rPr>
      </w:pPr>
    </w:p>
    <w:p>
      <w:pPr>
        <w:ind w:left="40" w:right="240" w:firstLine="9"/>
        <w:spacing w:after="0" w:line="242" w:lineRule="auto"/>
        <w:tabs>
          <w:tab w:leader="none" w:pos="241"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shares are held directly by the Comack Trust-B, a grantor retained annuity trust formed under the laws of the State of New Hampshire. The reporting person is the sole trustee of the Comack Trust-B.</w:t>
      </w:r>
    </w:p>
    <w:p>
      <w:pPr>
        <w:spacing w:after="0" w:line="27" w:lineRule="exact"/>
        <w:rPr>
          <w:rFonts w:ascii="Times New Roman" w:cs="Times New Roman" w:eastAsia="Times New Roman" w:hAnsi="Times New Roman"/>
          <w:sz w:val="14"/>
          <w:szCs w:val="14"/>
          <w:color w:val="008000"/>
        </w:rPr>
      </w:pPr>
    </w:p>
    <w:p>
      <w:pPr>
        <w:ind w:left="40" w:right="440" w:firstLine="9"/>
        <w:spacing w:after="0" w:line="242" w:lineRule="auto"/>
        <w:tabs>
          <w:tab w:leader="none" w:pos="236"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shares are held directly by the Abbott Brook Trust-B, a grantor retained annuity trust formed under the laws of the State of New Hampshire. The reporting person is the sole trustee of the Abbott Brook Trust-B.</w:t>
      </w:r>
    </w:p>
    <w:p>
      <w:pPr>
        <w:spacing w:after="0" w:line="27" w:lineRule="exact"/>
        <w:rPr>
          <w:rFonts w:ascii="Times New Roman" w:cs="Times New Roman" w:eastAsia="Times New Roman" w:hAnsi="Times New Roman"/>
          <w:sz w:val="14"/>
          <w:szCs w:val="14"/>
          <w:color w:val="008000"/>
        </w:rPr>
      </w:pPr>
    </w:p>
    <w:p>
      <w:pPr>
        <w:ind w:left="40" w:right="440" w:firstLine="9"/>
        <w:spacing w:after="0" w:line="242" w:lineRule="auto"/>
        <w:tabs>
          <w:tab w:leader="none" w:pos="241"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shares are held directly by the Abbott Brook Trust II, a grantor retained annuity trust formed under the laws of the State of New Hampshire. The reporting person is the sole trustee of the Abbott Brook Trust II.</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2" w:lineRule="exact"/>
        <w:rPr>
          <w:sz w:val="20"/>
          <w:szCs w:val="20"/>
          <w:color w:val="auto"/>
        </w:rPr>
      </w:pPr>
    </w:p>
    <w:tbl>
      <w:tblPr>
        <w:tblLayout w:type="fixed"/>
        <w:tblInd w:w="6600" w:type="dxa"/>
        <w:tblCellMar>
          <w:top w:w="0" w:type="dxa"/>
          <w:left w:w="0" w:type="dxa"/>
          <w:bottom w:w="0" w:type="dxa"/>
          <w:right w:w="0" w:type="dxa"/>
        </w:tblCellMar>
      </w:tblPr>
      <w:tr>
        <w:trPr>
          <w:trHeight w:val="207"/>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0000FF"/>
                <w:w w:val="97"/>
              </w:rPr>
              <w:t>/s/Patricia Gallup</w:t>
            </w:r>
          </w:p>
        </w:tc>
        <w:tc>
          <w:tcPr>
            <w:tcW w:w="8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w w:val="95"/>
              </w:rPr>
              <w:t>06/25/2026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/s/Patricia Gallup, as Trustee</w:t>
            </w:r>
          </w:p>
        </w:tc>
        <w:tc>
          <w:tcPr>
            <w:tcW w:w="16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06/25/2026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40" w:type="dxa"/>
            <w:vAlign w:val="bottom"/>
            <w:gridSpan w:val="3"/>
            <w:vMerge w:val="restart"/>
          </w:tcPr>
          <w:p>
            <w:pPr>
              <w:spacing w:after="0" w:line="197" w:lineRule="exact"/>
              <w:rPr>
                <w:sz w:val="20"/>
                <w:szCs w:val="20"/>
                <w:color w:val="auto"/>
              </w:rPr>
            </w:pPr>
            <w:r>
              <w:rPr>
                <w:rFonts w:ascii="Times New Roman" w:cs="Times New Roman" w:eastAsia="Times New Roman" w:hAnsi="Times New Roman"/>
                <w:sz w:val="18"/>
                <w:szCs w:val="18"/>
                <w:color w:val="0000FF"/>
                <w:w w:val="96"/>
              </w:rPr>
              <w:t>of the David Hall Trust 2003</w:t>
            </w:r>
          </w:p>
        </w:tc>
        <w:tc>
          <w:tcPr>
            <w:tcW w:w="16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40" w:type="dxa"/>
            <w:vAlign w:val="bottom"/>
            <w:tcBorders>
              <w:bottom w:val="single" w:sz="8" w:color="auto"/>
            </w:tcBorders>
            <w:gridSpan w:val="3"/>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ectPr>
          <w:pgSz w:w="11920" w:h="16838" w:orient="portrait"/>
          <w:cols w:equalWidth="0" w:num="1">
            <w:col w:w="11100"/>
          </w:cols>
          <w:pgMar w:left="460" w:top="195" w:right="358" w:bottom="1440" w:gutter="0" w:footer="0" w:header="0"/>
        </w:sectPr>
      </w:pPr>
    </w:p>
    <w:p>
      <w:pPr>
        <w:ind w:left="6600"/>
        <w:spacing w:after="0"/>
        <w:tabs>
          <w:tab w:leader="none" w:pos="878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4"/>
          <w:szCs w:val="14"/>
          <w:color w:val="auto"/>
        </w:rPr>
        <w:t>Date</w:t>
      </w:r>
    </w:p>
    <w:p>
      <w:pPr>
        <w:sectPr>
          <w:pgSz w:w="11920" w:h="16838" w:orient="portrait"/>
          <w:cols w:equalWidth="0" w:num="1">
            <w:col w:w="11100"/>
          </w:cols>
          <w:pgMar w:left="460" w:top="195" w:right="358"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1"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20" w:h="16838" w:orient="portrait"/>
      <w:cols w:equalWidth="0" w:num="1">
        <w:col w:w="10340"/>
      </w:cols>
      <w:pgMar w:left="500" w:top="131" w:right="107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186630" TargetMode="External"/><Relationship Id="rId14" Type="http://schemas.openxmlformats.org/officeDocument/2006/relationships/hyperlink" Target="http://www.sec.gov/cgi-bin/browse-edgar?action=getcompany&amp;CIK=00010503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2026-06-25T15:39:21Z</dcterms:created>
  <dcterms:modified xsi:type="dcterms:W3CDTF">2026-06-25T15:39:21Z</dcterms:modified>
</cp:coreProperties>
</file>