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sz w:val="20"/>
        </w:rPr>
      </w:pPr>
      <w:bookmarkStart w:id="0" w:name="_6e241ad0_b5bf_47ea_b243_70e3c6550373"/>
      <w:bookmarkStart w:id="1" w:name="cnxn-20260513x8k.htm"/>
      <w:bookmarkStart w:id="2" w:name="kscnxn20260513x8k"/>
      <w:bookmarkEnd w:id="0"/>
      <w:bookmarkEnd w:id="1"/>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SECTION 13 OR 15(d) OF</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SECURITIES EXCHANGE ACT OF 1934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May 13, 2026</w:t>
      </w:r>
    </w:p>
    <w:p>
      <w:pPr>
        <w:pStyle w:val="Normal"/>
        <w:bidi w:val="0"/>
        <w:spacing w:before="0" w:after="0"/>
        <w:jc w:val="left"/>
        <w:rPr>
          <w:sz w:val="4"/>
          <w:szCs w:val="4"/>
        </w:rPr>
      </w:pPr>
      <w:r>
        <w:rPr>
          <w:sz w:val="4"/>
          <w:szCs w:val="4"/>
        </w:rPr>
      </w:r>
      <w:bookmarkStart w:id="3" w:name="_8417a908_fecd_40c4_9bd1_ca181cca52f8"/>
      <w:bookmarkStart w:id="4" w:name="_8417a908_fecd_40c4_9bd1_ca181cca52f8"/>
      <w:bookmarkEnd w:id="4"/>
    </w:p>
    <w:tbl>
      <w:tblPr>
        <w:tblW w:w="1831" w:type="dxa"/>
        <w:jc w:val="left"/>
        <w:tblInd w:w="0" w:type="dxa"/>
        <w:tblLayout w:type="fixed"/>
        <w:tblCellMar>
          <w:top w:w="0" w:type="dxa"/>
          <w:left w:w="0" w:type="dxa"/>
          <w:bottom w:w="0" w:type="dxa"/>
          <w:right w:w="0" w:type="dxa"/>
        </w:tblCellMar>
      </w:tblPr>
      <w:tblGrid>
        <w:gridCol w:w="1831"/>
      </w:tblGrid>
      <w:tr>
        <w:trPr/>
        <w:tc>
          <w:tcPr>
            <w:tcW w:w="1831" w:type="dxa"/>
            <w:tcBorders/>
            <w:vAlign w:val="center"/>
          </w:tcPr>
          <w:p>
            <w:pPr>
              <w:pStyle w:val="TableContents"/>
              <w:bidi w:val="0"/>
              <w:spacing w:before="0" w:after="0"/>
              <w:ind w:left="0" w:right="0" w:hanging="0"/>
              <w:jc w:val="left"/>
              <w:rPr/>
            </w:pPr>
            <w:r>
              <w:rPr/>
              <w:t>​</w:t>
            </w:r>
          </w:p>
        </w:tc>
      </w:tr>
      <w:tr>
        <w:trPr/>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PC Connection, Inc.</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Charter)</w:t>
      </w:r>
    </w:p>
    <w:p>
      <w:pPr>
        <w:pStyle w:val="Normal"/>
        <w:bidi w:val="0"/>
        <w:spacing w:before="0" w:after="0"/>
        <w:jc w:val="left"/>
        <w:rPr>
          <w:sz w:val="4"/>
          <w:szCs w:val="4"/>
        </w:rPr>
      </w:pPr>
      <w:r>
        <w:rPr>
          <w:sz w:val="4"/>
          <w:szCs w:val="4"/>
        </w:rPr>
      </w:r>
      <w:bookmarkStart w:id="5" w:name="Tc_kuZR_hXsOEmyUJ35Z9yqSw_2_2"/>
      <w:bookmarkStart w:id="6" w:name="Tc_fPo-4HT8kkqQdfchNlraDA_2_1"/>
      <w:bookmarkStart w:id="7" w:name="Tc_uftyd8hMwkG1b903hQeiSA_2_0"/>
      <w:bookmarkStart w:id="8" w:name="_358a745e_9e04_4f27_b62d_41d41dd9bdcd"/>
      <w:bookmarkStart w:id="9" w:name="Tc_kuZR_hXsOEmyUJ35Z9yqSw_2_2"/>
      <w:bookmarkStart w:id="10" w:name="Tc_fPo-4HT8kkqQdfchNlraDA_2_1"/>
      <w:bookmarkStart w:id="11" w:name="Tc_uftyd8hMwkG1b903hQeiSA_2_0"/>
      <w:bookmarkStart w:id="12" w:name="_358a745e_9e04_4f27_b62d_41d41dd9bdcd"/>
      <w:bookmarkEnd w:id="9"/>
      <w:bookmarkEnd w:id="10"/>
      <w:bookmarkEnd w:id="11"/>
      <w:bookmarkEnd w:id="12"/>
    </w:p>
    <w:tbl>
      <w:tblPr>
        <w:tblW w:w="4968" w:type="dxa"/>
        <w:jc w:val="left"/>
        <w:tblInd w:w="0" w:type="dxa"/>
        <w:tblLayout w:type="fixed"/>
        <w:tblCellMar>
          <w:top w:w="0" w:type="dxa"/>
          <w:left w:w="0" w:type="dxa"/>
          <w:bottom w:w="0" w:type="dxa"/>
          <w:right w:w="0" w:type="dxa"/>
        </w:tblCellMar>
      </w:tblPr>
      <w:tblGrid>
        <w:gridCol w:w="2131"/>
        <w:gridCol w:w="1186"/>
        <w:gridCol w:w="1651"/>
      </w:tblGrid>
      <w:tr>
        <w:trPr/>
        <w:tc>
          <w:tcPr>
            <w:tcW w:w="213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0-23827</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02-0513618</w:t>
            </w:r>
          </w:p>
        </w:tc>
      </w:tr>
      <w:tr>
        <w:trPr/>
        <w:tc>
          <w:tcPr>
            <w:tcW w:w="21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w:t>
              <w:br/>
              <w:t>diction of Incorporation)</w:t>
            </w:r>
          </w:p>
        </w:tc>
        <w:tc>
          <w:tcPr>
            <w:tcW w:w="11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 w:name="Tc_9Ff24Quhz0eaj_D4Alw6fQ_2_1"/>
      <w:bookmarkStart w:id="14" w:name="Tc_L_1InYV8rUShu1IRib354g_2_0"/>
      <w:bookmarkStart w:id="15" w:name="Tc_XorbIqNsc0SYVKQTaro-Gg_1_0"/>
      <w:bookmarkStart w:id="16" w:name="_918503e1_8237_4874_b63a_0f823fdd2ed1"/>
      <w:bookmarkStart w:id="17" w:name="Tc_9Ff24Quhz0eaj_D4Alw6fQ_2_1"/>
      <w:bookmarkStart w:id="18" w:name="Tc_L_1InYV8rUShu1IRib354g_2_0"/>
      <w:bookmarkStart w:id="19" w:name="Tc_XorbIqNsc0SYVKQTaro-Gg_1_0"/>
      <w:bookmarkStart w:id="20" w:name="_918503e1_8237_4874_b63a_0f823fdd2ed1"/>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730 Milford Road</w:t>
              <w:br/>
              <w:t>Merrimack, New Hampshire</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03054</w:t>
            </w:r>
          </w:p>
        </w:tc>
      </w:tr>
      <w:tr>
        <w:trPr/>
        <w:tc>
          <w:tcPr>
            <w:tcW w:w="33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24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603-683-2000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bl>
      <w:tblPr>
        <w:tblW w:w="5356" w:type="dxa"/>
        <w:jc w:val="left"/>
        <w:tblInd w:w="0" w:type="dxa"/>
        <w:tblLayout w:type="fixed"/>
        <w:tblCellMar>
          <w:top w:w="0" w:type="dxa"/>
          <w:left w:w="0" w:type="dxa"/>
          <w:bottom w:w="0" w:type="dxa"/>
          <w:right w:w="0" w:type="dxa"/>
        </w:tblCellMar>
      </w:tblPr>
      <w:tblGrid>
        <w:gridCol w:w="5356"/>
      </w:tblGrid>
      <w:tr>
        <w:trPr/>
        <w:tc>
          <w:tcPr>
            <w:tcW w:w="5356" w:type="dxa"/>
            <w:tcBorders/>
            <w:vAlign w:val="center"/>
          </w:tcPr>
          <w:p>
            <w:pPr>
              <w:pStyle w:val="TableContents"/>
              <w:bidi w:val="0"/>
              <w:spacing w:before="0" w:after="0"/>
              <w:ind w:left="0" w:right="0" w:hanging="0"/>
              <w:jc w:val="left"/>
              <w:rPr/>
            </w:pPr>
            <w:r>
              <w:rPr/>
              <w:t>​</w:t>
            </w:r>
          </w:p>
        </w:tc>
      </w:tr>
      <w:tr>
        <w:trPr/>
        <w:tc>
          <w:tcPr>
            <w:tcW w:w="53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2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1" w:name="Tc_TLuk3LCovU6Yjn185NYL6Q_1_2"/>
      <w:bookmarkStart w:id="22" w:name="Tc_PY6HiTAAVUyAHcx35nIn4w_1_1"/>
      <w:bookmarkStart w:id="23" w:name="Tc_luolEaePrUaaITtv0NiCJw_1_0"/>
      <w:bookmarkStart w:id="24" w:name="_ada707ad_9534_40eb_b760_0fb971476b08"/>
      <w:bookmarkStart w:id="25" w:name="Tc_TLuk3LCovU6Yjn185NYL6Q_1_2"/>
      <w:bookmarkStart w:id="26" w:name="Tc_PY6HiTAAVUyAHcx35nIn4w_1_1"/>
      <w:bookmarkStart w:id="27" w:name="Tc_luolEaePrUaaITtv0NiCJw_1_0"/>
      <w:bookmarkStart w:id="28" w:name="_ada707ad_9534_40eb_b760_0fb971476b08"/>
      <w:bookmarkEnd w:id="25"/>
      <w:bookmarkEnd w:id="26"/>
      <w:bookmarkEnd w:id="27"/>
      <w:bookmarkEnd w:id="28"/>
    </w:p>
    <w:tbl>
      <w:tblPr>
        <w:tblW w:w="7443" w:type="dxa"/>
        <w:jc w:val="left"/>
        <w:tblInd w:w="0" w:type="dxa"/>
        <w:tblLayout w:type="fixed"/>
        <w:tblCellMar>
          <w:top w:w="0" w:type="dxa"/>
          <w:left w:w="0" w:type="dxa"/>
          <w:bottom w:w="0" w:type="dxa"/>
          <w:right w:w="0" w:type="dxa"/>
        </w:tblCellMar>
      </w:tblPr>
      <w:tblGrid>
        <w:gridCol w:w="2821"/>
        <w:gridCol w:w="1621"/>
        <w:gridCol w:w="3001"/>
      </w:tblGrid>
      <w:tr>
        <w:trPr/>
        <w:tc>
          <w:tcPr>
            <w:tcW w:w="2821"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28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0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which registered</w:t>
            </w:r>
          </w:p>
        </w:tc>
      </w:tr>
      <w:tr>
        <w:trPr/>
        <w:tc>
          <w:tcPr>
            <w:tcW w:w="28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CNXN</w:t>
            </w:r>
          </w:p>
        </w:tc>
        <w:tc>
          <w:tcPr>
            <w:tcW w:w="30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Global Select Market</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9" w:name="_20d84000_f925_42ba_9de2_cf85d04ac2ea"/>
      <w:bookmarkEnd w:id="29"/>
      <w:r>
        <w:rPr>
          <w:rFonts w:ascii="Times New Roman;Times;serif" w:hAnsi="Times New Roman;Times;serif"/>
          <w:b/>
          <w:sz w:val="20"/>
        </w:rPr>
        <w:t>Item 5.07 Submission of Matters to a Vote of Security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13, 2026, PC Connection, Inc. (the “Company”) held its 2026 Annual Meeting of Stockholders (the “Annual Meeting”), at which a quorum was present. The following is a brief description and vote count of all items voted on at the Annual Meeting:</w:t>
      </w:r>
    </w:p>
    <w:tbl>
      <w:tblPr>
        <w:tblW w:w="7851" w:type="dxa"/>
        <w:jc w:val="left"/>
        <w:tblInd w:w="0" w:type="dxa"/>
        <w:tblLayout w:type="fixed"/>
        <w:tblCellMar>
          <w:top w:w="28" w:type="dxa"/>
          <w:left w:w="28" w:type="dxa"/>
          <w:bottom w:w="28" w:type="dxa"/>
          <w:right w:w="28" w:type="dxa"/>
        </w:tblCellMar>
      </w:tblPr>
      <w:tblGrid>
        <w:gridCol w:w="124"/>
        <w:gridCol w:w="331"/>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six directors to serve until the 2027 Annual Meeting of Stockholders; and</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selection by the Audit Committee of Deloitte &amp; Touche LLP as the Company’s independent registered public accounting firm for the year ending December 31, 2026.</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proposals were approved by the following votes: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Proposal #1: To elect six directors to serve until the 2027 Annual Meeting of Stockholders.</w:t>
      </w:r>
    </w:p>
    <w:tbl>
      <w:tblPr>
        <w:tblW w:w="7267" w:type="dxa"/>
        <w:jc w:val="left"/>
        <w:tblInd w:w="0" w:type="dxa"/>
        <w:tblLayout w:type="fixed"/>
        <w:tblCellMar>
          <w:top w:w="0" w:type="dxa"/>
          <w:left w:w="0" w:type="dxa"/>
          <w:bottom w:w="0" w:type="dxa"/>
          <w:right w:w="0" w:type="dxa"/>
        </w:tblCellMar>
      </w:tblPr>
      <w:tblGrid>
        <w:gridCol w:w="2716"/>
        <w:gridCol w:w="346"/>
        <w:gridCol w:w="1036"/>
        <w:gridCol w:w="346"/>
        <w:gridCol w:w="931"/>
        <w:gridCol w:w="346"/>
        <w:gridCol w:w="1546"/>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724660" cy="29210"/>
                      <wp:effectExtent l="0" t="0" r="0" b="0"/>
                      <wp:wrapNone/>
                      <wp:docPr id="2" name="Frame2"/>
                      <a:graphic xmlns:a="http://schemas.openxmlformats.org/drawingml/2006/main">
                        <a:graphicData uri="http://schemas.microsoft.com/office/word/2010/wordprocessingShape">
                          <wps:wsp>
                            <wps:cNvSpPr txBox="1"/>
                            <wps:spPr>
                              <a:xfrm>
                                <a:off x="0" y="0"/>
                                <a:ext cx="1724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29210"/>
                      <wp:effectExtent l="0" t="0" r="0" b="0"/>
                      <wp:wrapNone/>
                      <wp:docPr id="4" name="Frame4"/>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1185" cy="29210"/>
                      <wp:effectExtent l="0" t="0" r="0" b="0"/>
                      <wp:wrapNone/>
                      <wp:docPr id="6" name="Frame6"/>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81710" cy="29210"/>
                      <wp:effectExtent l="0" t="0" r="0" b="0"/>
                      <wp:wrapNone/>
                      <wp:docPr id="8" name="Frame8"/>
                      <a:graphic xmlns:a="http://schemas.openxmlformats.org/drawingml/2006/main">
                        <a:graphicData uri="http://schemas.microsoft.com/office/word/2010/wordprocessingShape">
                          <wps:wsp>
                            <wps:cNvSpPr txBox="1"/>
                            <wps:spPr>
                              <a:xfrm>
                                <a:off x="0" y="0"/>
                                <a:ext cx="981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Withheld</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Broker Non-Vote</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Election of Patricia Gallup</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19,709,432</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3,514,023</w:t>
            </w:r>
          </w:p>
        </w:tc>
        <w:tc>
          <w:tcPr>
            <w:tcW w:w="346" w:type="dxa"/>
            <w:tcBorders/>
            <w:shd w:fill="CCEEFF" w:val="clear"/>
            <w:vAlign w:val="center"/>
          </w:tcPr>
          <w:p>
            <w:pPr>
              <w:pStyle w:val="TableContents"/>
              <w:bidi w:val="0"/>
              <w:spacing w:before="0" w:after="0"/>
              <w:ind w:left="0" w:right="0" w:hanging="0"/>
              <w:jc w:val="righ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477,236</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Election of David Beffa-Negrini</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20,198,324</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3,025,131</w:t>
            </w:r>
          </w:p>
        </w:tc>
        <w:tc>
          <w:tcPr>
            <w:tcW w:w="346" w:type="dxa"/>
            <w:tcBorders/>
            <w:vAlign w:val="center"/>
          </w:tcPr>
          <w:p>
            <w:pPr>
              <w:pStyle w:val="TableContents"/>
              <w:bidi w:val="0"/>
              <w:spacing w:before="0" w:after="0"/>
              <w:ind w:left="0" w:right="0" w:hanging="0"/>
              <w:jc w:val="righ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477,236</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Election of Jay Bothwick</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22,905,110</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318,345</w:t>
            </w:r>
          </w:p>
        </w:tc>
        <w:tc>
          <w:tcPr>
            <w:tcW w:w="346" w:type="dxa"/>
            <w:tcBorders/>
            <w:shd w:fill="CCEEFF" w:val="clear"/>
            <w:vAlign w:val="center"/>
          </w:tcPr>
          <w:p>
            <w:pPr>
              <w:pStyle w:val="TableContents"/>
              <w:bidi w:val="0"/>
              <w:spacing w:before="0" w:after="0"/>
              <w:ind w:left="0" w:right="0" w:hanging="0"/>
              <w:jc w:val="righ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477,236</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Election of Barbara Duckett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22,714,582</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508,873</w:t>
            </w:r>
          </w:p>
        </w:tc>
        <w:tc>
          <w:tcPr>
            <w:tcW w:w="346" w:type="dxa"/>
            <w:tcBorders/>
            <w:vAlign w:val="center"/>
          </w:tcPr>
          <w:p>
            <w:pPr>
              <w:pStyle w:val="TableContents"/>
              <w:bidi w:val="0"/>
              <w:spacing w:before="0" w:after="0"/>
              <w:ind w:left="0" w:right="0" w:hanging="0"/>
              <w:jc w:val="righ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477,236</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Election of Jack Ferguson</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22,828,979</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394,476</w:t>
            </w:r>
          </w:p>
        </w:tc>
        <w:tc>
          <w:tcPr>
            <w:tcW w:w="346" w:type="dxa"/>
            <w:tcBorders/>
            <w:shd w:fill="CCEEFF" w:val="clear"/>
            <w:vAlign w:val="center"/>
          </w:tcPr>
          <w:p>
            <w:pPr>
              <w:pStyle w:val="TableContents"/>
              <w:bidi w:val="0"/>
              <w:spacing w:before="0" w:after="0"/>
              <w:ind w:left="0" w:right="0" w:hanging="0"/>
              <w:jc w:val="righ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477,236</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Election of Gary Kinyon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22,916,316</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307,139</w:t>
            </w:r>
          </w:p>
        </w:tc>
        <w:tc>
          <w:tcPr>
            <w:tcW w:w="346" w:type="dxa"/>
            <w:tcBorders/>
            <w:vAlign w:val="center"/>
          </w:tcPr>
          <w:p>
            <w:pPr>
              <w:pStyle w:val="TableContents"/>
              <w:bidi w:val="0"/>
              <w:spacing w:before="0" w:after="0"/>
              <w:ind w:left="0" w:right="0" w:hanging="0"/>
              <w:jc w:val="right"/>
              <w:rPr/>
            </w:pPr>
            <w:r>
              <w:rPr/>
              <w:t>​</w:t>
            </w:r>
          </w:p>
        </w:tc>
        <w:tc>
          <w:tcPr>
            <w:tcW w:w="154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477,236</w:t>
            </w:r>
          </w:p>
        </w:tc>
      </w:tr>
    </w:tbl>
    <w:p>
      <w:pPr>
        <w:pStyle w:val="TextBody"/>
        <w:bidi w:val="0"/>
        <w:spacing w:before="360" w:after="120"/>
        <w:ind w:left="0" w:right="0" w:hanging="0"/>
        <w:jc w:val="left"/>
        <w:rPr>
          <w:rFonts w:ascii="Times New Roman;Times;serif" w:hAnsi="Times New Roman;Times;serif"/>
          <w:sz w:val="20"/>
        </w:rPr>
      </w:pPr>
      <w:r>
        <w:rPr>
          <w:rFonts w:ascii="Times New Roman;Times;serif" w:hAnsi="Times New Roman;Times;serif"/>
          <w:sz w:val="20"/>
        </w:rPr>
        <w:t>Proposal #2: To ratify the selection by the Audit Committee of Deloitte &amp; Touche LLP as the Company’s independent registered public accounting firm for the year ending December 31, 2026.</w:t>
      </w:r>
    </w:p>
    <w:tbl>
      <w:tblPr>
        <w:tblW w:w="5152" w:type="dxa"/>
        <w:jc w:val="left"/>
        <w:tblInd w:w="0" w:type="dxa"/>
        <w:tblLayout w:type="fixed"/>
        <w:tblCellMar>
          <w:top w:w="0" w:type="dxa"/>
          <w:left w:w="0" w:type="dxa"/>
          <w:bottom w:w="0" w:type="dxa"/>
          <w:right w:w="0" w:type="dxa"/>
        </w:tblCellMar>
      </w:tblPr>
      <w:tblGrid>
        <w:gridCol w:w="1051"/>
        <w:gridCol w:w="346"/>
        <w:gridCol w:w="781"/>
        <w:gridCol w:w="346"/>
        <w:gridCol w:w="736"/>
        <w:gridCol w:w="346"/>
        <w:gridCol w:w="1546"/>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7385" cy="29210"/>
                      <wp:effectExtent l="0" t="0" r="0" b="0"/>
                      <wp:wrapNone/>
                      <wp:docPr id="9" name="Frame9"/>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29210"/>
                      <wp:effectExtent l="0" t="0" r="0" b="0"/>
                      <wp:wrapNone/>
                      <wp:docPr id="11" name="Frame11"/>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67360" cy="29210"/>
                      <wp:effectExtent l="0" t="0" r="0" b="0"/>
                      <wp:wrapNone/>
                      <wp:docPr id="13" name="Frame13"/>
                      <a:graphic xmlns:a="http://schemas.openxmlformats.org/drawingml/2006/main">
                        <a:graphicData uri="http://schemas.microsoft.com/office/word/2010/wordprocessingShape">
                          <wps:wsp>
                            <wps:cNvSpPr txBox="1"/>
                            <wps:spPr>
                              <a:xfrm>
                                <a:off x="0" y="0"/>
                                <a:ext cx="467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81710" cy="29210"/>
                      <wp:effectExtent l="0" t="0" r="0" b="0"/>
                      <wp:wrapNone/>
                      <wp:docPr id="15" name="Frame15"/>
                      <a:graphic xmlns:a="http://schemas.openxmlformats.org/drawingml/2006/main">
                        <a:graphicData uri="http://schemas.microsoft.com/office/word/2010/wordprocessingShape">
                          <wps:wsp>
                            <wps:cNvSpPr txBox="1"/>
                            <wps:spPr>
                              <a:xfrm>
                                <a:off x="0" y="0"/>
                                <a:ext cx="981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Against</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Abstain</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Broker Non-Vote</w:t>
            </w:r>
          </w:p>
        </w:tc>
      </w:tr>
      <w:tr>
        <w:trPr/>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23,559,144</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133,268</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8,279</w:t>
            </w:r>
          </w:p>
        </w:tc>
        <w:tc>
          <w:tcPr>
            <w:tcW w:w="346" w:type="dxa"/>
            <w:tcBorders/>
            <w:shd w:fill="CCEEFF" w:val="clear"/>
            <w:vAlign w:val="center"/>
          </w:tcPr>
          <w:p>
            <w:pPr>
              <w:pStyle w:val="TableContents"/>
              <w:bidi w:val="0"/>
              <w:spacing w:before="0" w:after="0"/>
              <w:ind w:left="0" w:right="0" w:hanging="0"/>
              <w:jc w:val="right"/>
              <w:rPr/>
            </w:pPr>
            <w:r>
              <w:rPr/>
              <w:t>​</w:t>
            </w:r>
          </w:p>
        </w:tc>
        <w:tc>
          <w:tcPr>
            <w:tcW w:w="15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240" w:after="24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0" w:name="_802c9357_7edb_4c99_af7b_4d6d41ef4f56"/>
      <w:bookmarkEnd w:id="30"/>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7023" w:type="dxa"/>
        <w:jc w:val="left"/>
        <w:tblInd w:w="0" w:type="dxa"/>
        <w:tblLayout w:type="fixed"/>
        <w:tblCellMar>
          <w:top w:w="0" w:type="dxa"/>
          <w:left w:w="0" w:type="dxa"/>
          <w:bottom w:w="0" w:type="dxa"/>
          <w:right w:w="0" w:type="dxa"/>
        </w:tblCellMar>
      </w:tblPr>
      <w:tblGrid>
        <w:gridCol w:w="1741"/>
        <w:gridCol w:w="451"/>
        <w:gridCol w:w="483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52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 CONNECTION, INC.</w:t>
            </w:r>
          </w:p>
        </w:tc>
      </w:tr>
      <w:tr>
        <w:trPr/>
        <w:tc>
          <w:tcPr>
            <w:tcW w:w="1741" w:type="dxa"/>
            <w:tcBorders/>
            <w:vAlign w:val="center"/>
          </w:tcPr>
          <w:p>
            <w:pPr>
              <w:pStyle w:val="TableContents"/>
              <w:bidi w:val="0"/>
              <w:spacing w:before="0" w:after="0"/>
              <w:ind w:left="0" w:right="0" w:hanging="0"/>
              <w:jc w:val="left"/>
              <w:rPr/>
            </w:pPr>
            <w:r>
              <w:rPr/>
              <w:t>​</w:t>
            </w:r>
          </w:p>
        </w:tc>
        <w:tc>
          <w:tcPr>
            <w:tcW w:w="528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483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C. Baker</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&amp; 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566</Words>
  <Characters>3102</Characters>
  <CharactersWithSpaces>3682</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