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line="230" w:lineRule="auto"/>
        <w:rPr>
          <w:sz w:val="20"/>
          <w:szCs w:val="20"/>
          <w:color w:val="auto"/>
        </w:rPr>
      </w:pPr>
      <w:r>
        <w:rPr>
          <w:rFonts w:ascii="Arial" w:cs="Arial" w:eastAsia="Arial" w:hAnsi="Arial"/>
          <w:sz w:val="22"/>
          <w:szCs w:val="22"/>
          <w:color w:val="auto"/>
        </w:rPr>
        <w:t>WASHINGTON, D.C. 20549</w:t>
      </w:r>
    </w:p>
    <w:p>
      <w:pPr>
        <w:spacing w:after="0" w:line="1"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30, 2009</w:t>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PC Connection,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Delaware</w:t>
            </w:r>
          </w:p>
        </w:tc>
        <w:tc>
          <w:tcPr>
            <w:tcW w:w="3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0-23827</w:t>
            </w:r>
          </w:p>
        </w:tc>
        <w:tc>
          <w:tcPr>
            <w:tcW w:w="3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02-0513618</w:t>
            </w:r>
          </w:p>
        </w:tc>
      </w:tr>
      <w:tr>
        <w:trPr>
          <w:trHeight w:val="215"/>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1"/>
              </w:rPr>
              <w:t>(State or other juris-</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30"/>
              <w:spacing w:after="0"/>
              <w:rPr>
                <w:sz w:val="20"/>
                <w:szCs w:val="20"/>
                <w:color w:val="auto"/>
              </w:rPr>
            </w:pPr>
            <w:r>
              <w:rPr>
                <w:rFonts w:ascii="Arial" w:cs="Arial" w:eastAsia="Arial" w:hAnsi="Arial"/>
                <w:sz w:val="18"/>
                <w:szCs w:val="18"/>
                <w:color w:val="auto"/>
                <w:w w:val="95"/>
              </w:rPr>
              <w:t>diction of incorporation)</w:t>
            </w:r>
          </w:p>
        </w:tc>
        <w:tc>
          <w:tcPr>
            <w:tcW w:w="3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3880" w:type="dxa"/>
            <w:vAlign w:val="bottom"/>
          </w:tcPr>
          <w:p>
            <w:pPr>
              <w:jc w:val="center"/>
              <w:ind w:left="10"/>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jc w:val="center"/>
              <w:ind w:right="410"/>
              <w:spacing w:after="0"/>
              <w:rPr>
                <w:sz w:val="20"/>
                <w:szCs w:val="20"/>
                <w:color w:val="auto"/>
              </w:rPr>
            </w:pPr>
            <w:r>
              <w:rPr>
                <w:rFonts w:ascii="Arial" w:cs="Arial" w:eastAsia="Arial" w:hAnsi="Arial"/>
                <w:sz w:val="18"/>
                <w:szCs w:val="18"/>
                <w:color w:val="auto"/>
                <w:w w:val="93"/>
              </w:rPr>
              <w:t>Rt. 101A, 730 Milford Road</w:t>
            </w:r>
          </w:p>
        </w:tc>
        <w:tc>
          <w:tcPr>
            <w:tcW w:w="5200" w:type="dxa"/>
            <w:vAlign w:val="bottom"/>
          </w:tcPr>
          <w:p>
            <w:pPr>
              <w:jc w:val="right"/>
              <w:ind w:right="2530"/>
              <w:spacing w:after="0"/>
              <w:rPr>
                <w:sz w:val="20"/>
                <w:szCs w:val="20"/>
                <w:color w:val="auto"/>
              </w:rPr>
            </w:pPr>
            <w:r>
              <w:rPr>
                <w:rFonts w:ascii="Arial" w:cs="Arial" w:eastAsia="Arial" w:hAnsi="Arial"/>
                <w:sz w:val="18"/>
                <w:szCs w:val="18"/>
                <w:color w:val="auto"/>
              </w:rPr>
              <w:t>03054</w:t>
            </w:r>
          </w:p>
        </w:tc>
      </w:tr>
      <w:tr>
        <w:trPr>
          <w:trHeight w:val="237"/>
        </w:trPr>
        <w:tc>
          <w:tcPr>
            <w:tcW w:w="622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color w:val="auto"/>
                <w:w w:val="96"/>
              </w:rPr>
              <w:t>Merrimack, NH</w:t>
            </w:r>
          </w:p>
        </w:tc>
        <w:tc>
          <w:tcPr>
            <w:tcW w:w="5200" w:type="dxa"/>
            <w:vAlign w:val="bottom"/>
            <w:tcBorders>
              <w:bottom w:val="single" w:sz="8" w:color="auto"/>
            </w:tcBorders>
          </w:tcPr>
          <w:p>
            <w:pPr>
              <w:spacing w:after="0"/>
              <w:rPr>
                <w:sz w:val="20"/>
                <w:szCs w:val="20"/>
                <w:color w:val="auto"/>
              </w:rPr>
            </w:pPr>
          </w:p>
        </w:tc>
      </w:tr>
      <w:tr>
        <w:trPr>
          <w:trHeight w:val="230"/>
        </w:trPr>
        <w:tc>
          <w:tcPr>
            <w:tcW w:w="622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5200" w:type="dxa"/>
            <w:vAlign w:val="bottom"/>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21"/>
          <w:szCs w:val="21"/>
          <w:color w:val="auto"/>
        </w:rPr>
        <w:t>(603) 683-2000</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09"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3" w:lineRule="exact"/>
        <w:rPr>
          <w:sz w:val="20"/>
          <w:szCs w:val="20"/>
          <w:color w:val="auto"/>
        </w:rPr>
      </w:pPr>
    </w:p>
    <w:p>
      <w:pPr>
        <w:ind w:firstLine="540"/>
        <w:spacing w:after="0" w:line="328" w:lineRule="auto"/>
        <w:rPr>
          <w:sz w:val="20"/>
          <w:szCs w:val="20"/>
          <w:color w:val="auto"/>
        </w:rPr>
      </w:pPr>
      <w:r>
        <w:rPr>
          <w:rFonts w:ascii="Arial" w:cs="Arial" w:eastAsia="Arial" w:hAnsi="Arial"/>
          <w:sz w:val="19"/>
          <w:szCs w:val="19"/>
          <w:color w:val="auto"/>
        </w:rPr>
        <w:t>On April 30, 2009, PC Connection, Inc. announced its financial results for the quarter ended March 31, 2009. The full text of the press release issued in connection with the announcement is furnished as Exhibit 99.1 to this Current Report on Form 8-K.</w:t>
      </w:r>
    </w:p>
    <w:p>
      <w:pPr>
        <w:spacing w:after="0" w:line="105" w:lineRule="exact"/>
        <w:rPr>
          <w:sz w:val="20"/>
          <w:szCs w:val="20"/>
          <w:color w:val="auto"/>
        </w:rPr>
      </w:pPr>
    </w:p>
    <w:p>
      <w:pPr>
        <w:ind w:right="160" w:firstLine="536"/>
        <w:spacing w:after="0" w:line="238" w:lineRule="auto"/>
        <w:rPr>
          <w:sz w:val="20"/>
          <w:szCs w:val="20"/>
          <w:color w:val="auto"/>
        </w:rPr>
      </w:pPr>
      <w:r>
        <w:rPr>
          <w:rFonts w:ascii="Arial" w:cs="Arial" w:eastAsia="Arial" w:hAnsi="Arial"/>
          <w:sz w:val="22"/>
          <w:szCs w:val="22"/>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920" w:hanging="453"/>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rFonts w:ascii="Arial" w:cs="Arial" w:eastAsia="Arial" w:hAnsi="Arial"/>
          <w:sz w:val="18"/>
          <w:szCs w:val="18"/>
          <w:color w:val="auto"/>
        </w:rPr>
      </w:pPr>
    </w:p>
    <w:p>
      <w:pPr>
        <w:ind w:left="920" w:right="4040"/>
        <w:spacing w:after="0" w:line="590" w:lineRule="auto"/>
        <w:rPr>
          <w:rFonts w:ascii="Arial" w:cs="Arial" w:eastAsia="Arial" w:hAnsi="Arial"/>
          <w:sz w:val="18"/>
          <w:szCs w:val="18"/>
          <w:color w:val="auto"/>
        </w:rPr>
      </w:pPr>
      <w:r>
        <w:rPr>
          <w:rFonts w:ascii="Arial" w:cs="Arial" w:eastAsia="Arial" w:hAnsi="Arial"/>
          <w:sz w:val="18"/>
          <w:szCs w:val="18"/>
          <w:color w:val="auto"/>
        </w:rPr>
        <w:t>The following exhibit relating to Item 2.02 shall be deemed to be furnished, and not filed: 99.1 Press Release issued by PC Connection, Inc. on April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680" w:val="left"/>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2009</w:t>
      </w:r>
      <w:r>
        <w:rPr>
          <w:sz w:val="20"/>
          <w:szCs w:val="20"/>
          <w:color w:val="auto"/>
        </w:rPr>
        <w:tab/>
      </w:r>
      <w:r>
        <w:rPr>
          <w:rFonts w:ascii="Arial" w:cs="Arial" w:eastAsia="Arial" w:hAnsi="Arial"/>
          <w:sz w:val="17"/>
          <w:szCs w:val="17"/>
          <w:color w:val="auto"/>
        </w:rPr>
        <w:t>PC CONNECTION, INC.</w:t>
      </w:r>
    </w:p>
    <w:p>
      <w:pPr>
        <w:spacing w:after="0" w:line="27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Jack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Jack Ferguson</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Treasurer, and</w:t>
      </w:r>
    </w:p>
    <w:p>
      <w:pPr>
        <w:spacing w:after="0" w:line="3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60"/>
          </w:cols>
          <w:pgMar w:left="240" w:top="125"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8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60" w:type="dxa"/>
            <w:vAlign w:val="bottom"/>
          </w:tcPr>
          <w:p>
            <w:pPr>
              <w:ind w:left="1780"/>
              <w:spacing w:after="0"/>
              <w:rPr>
                <w:sz w:val="20"/>
                <w:szCs w:val="20"/>
                <w:color w:val="auto"/>
              </w:rPr>
            </w:pPr>
            <w:r>
              <w:rPr>
                <w:rFonts w:ascii="Arial" w:cs="Arial" w:eastAsia="Arial" w:hAnsi="Arial"/>
                <w:sz w:val="22"/>
                <w:szCs w:val="22"/>
                <w:color w:val="auto"/>
              </w:rPr>
              <w:t>EXHIBIT INDEX</w:t>
            </w:r>
          </w:p>
        </w:tc>
      </w:tr>
      <w:tr>
        <w:trPr>
          <w:trHeight w:val="39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240" w:type="dxa"/>
            <w:vAlign w:val="bottom"/>
            <w:gridSpan w:val="3"/>
          </w:tcPr>
          <w:p>
            <w:pPr>
              <w:ind w:left="74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507"/>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5240" w:type="dxa"/>
            <w:vAlign w:val="bottom"/>
            <w:gridSpan w:val="3"/>
          </w:tcPr>
          <w:p>
            <w:pPr>
              <w:ind w:left="740"/>
              <w:spacing w:after="0"/>
              <w:rPr>
                <w:sz w:val="20"/>
                <w:szCs w:val="20"/>
                <w:color w:val="auto"/>
              </w:rPr>
            </w:pPr>
            <w:r>
              <w:rPr>
                <w:rFonts w:ascii="Arial" w:cs="Arial" w:eastAsia="Arial" w:hAnsi="Arial"/>
                <w:sz w:val="18"/>
                <w:szCs w:val="18"/>
                <w:color w:val="auto"/>
                <w:w w:val="89"/>
              </w:rPr>
              <w:t>Press release issued by PC Connection, Inc. on April 30, 2009.</w:t>
            </w:r>
          </w:p>
        </w:tc>
      </w:tr>
    </w:tbl>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PC Connection, Inc. Reports First Quarter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SUMMARY:</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Q1 net sales: $326.2 million, down 23%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Gross margin: 12.8%, up from 12.4%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Diluted loss per share: $.06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u w:val="single" w:color="auto"/>
          <w:color w:val="auto"/>
        </w:rPr>
        <w:t>Cash balance increases to $68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 xml:space="preserve">MERRIMACK, N.H.--(BUSINESS WIRE)--April 30, 2009--PC Connection, Inc. </w:t>
      </w:r>
      <w:r>
        <w:rPr>
          <w:rFonts w:ascii="Arial" w:cs="Arial" w:eastAsia="Arial" w:hAnsi="Arial"/>
          <w:sz w:val="22"/>
          <w:szCs w:val="22"/>
          <w:b w:val="1"/>
          <w:bCs w:val="1"/>
          <w:color w:val="auto"/>
        </w:rPr>
        <w:t>(NASDAQ: PCCC)</w:t>
      </w:r>
      <w:r>
        <w:rPr>
          <w:rFonts w:ascii="Arial" w:cs="Arial" w:eastAsia="Arial" w:hAnsi="Arial"/>
          <w:sz w:val="22"/>
          <w:szCs w:val="22"/>
          <w:color w:val="auto"/>
        </w:rPr>
        <w:t>, a leading direct marketer of information technology (IT) products and services, today announced results for the quarter ended March 31, 2009. Net sales for the three months ended March 31, 2009 decreased by $97.5 million, or 23.0%, to $326.2 million from $423.7 million for the three months ended March 31, 2008. Net loss for the quarter was $1.6 million, or $.06 per share, compared to net income of $4.8 million, or $.18 per share, for the corresponding prior year period.</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22"/>
          <w:szCs w:val="22"/>
          <w:color w:val="auto"/>
        </w:rPr>
        <w:t>The quarter ended March 31, 2009 included $0.9 million of special charges related to workforce reduction and management restructuring that increased our net loss and loss per share. Had these charges not been incurred, pro forma net loss for the quarter ended March 31, 2009 would have been $1.0 million, or $.04 per share, compared to net income of $4.8 million, or $.18 per share, for the quarter ended March 31, 2008. The Company did not record any special charges for the first quarter of 2008. A reconciliation between net loss on a GAAP basis and pro forma net loss is provided in a table below immediately following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Quarterly Sales by Business Segment</w:t>
      </w:r>
      <w:r>
        <w:rPr>
          <w:rFonts w:ascii="Arial" w:cs="Arial" w:eastAsia="Arial" w:hAnsi="Arial"/>
          <w:sz w:val="22"/>
          <w:szCs w:val="22"/>
          <w:i w:val="1"/>
          <w:iCs w:val="1"/>
          <w:color w:val="auto"/>
        </w:rPr>
        <w:t>:</w:t>
      </w:r>
    </w:p>
    <w:p>
      <w:pPr>
        <w:spacing w:after="0" w:line="206" w:lineRule="exact"/>
        <w:rPr>
          <w:sz w:val="20"/>
          <w:szCs w:val="20"/>
          <w:color w:val="auto"/>
        </w:rPr>
      </w:pPr>
    </w:p>
    <w:p>
      <w:pPr>
        <w:ind w:left="540" w:right="220"/>
        <w:spacing w:after="0" w:line="274" w:lineRule="auto"/>
        <w:rPr>
          <w:sz w:val="20"/>
          <w:szCs w:val="20"/>
          <w:color w:val="auto"/>
        </w:rPr>
      </w:pPr>
      <w:r>
        <w:rPr>
          <w:rFonts w:ascii="Arial" w:cs="Arial" w:eastAsia="Arial" w:hAnsi="Arial"/>
          <w:sz w:val="21"/>
          <w:szCs w:val="21"/>
          <w:color w:val="auto"/>
        </w:rPr>
        <w:t>Net sales for the small- and medium-sized business (SMB) segment decreased by 28.2% to $172.4 million compared to the first quarter of 2008. Corporate and consumer sales within the segment declined year over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-288290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50" w:lineRule="exact"/>
        <w:rPr>
          <w:sz w:val="20"/>
          <w:szCs w:val="20"/>
          <w:color w:val="auto"/>
        </w:rPr>
      </w:pPr>
    </w:p>
    <w:p>
      <w:pPr>
        <w:ind w:left="540" w:right="20"/>
        <w:spacing w:after="0" w:line="297" w:lineRule="auto"/>
        <w:rPr>
          <w:sz w:val="20"/>
          <w:szCs w:val="20"/>
          <w:color w:val="auto"/>
        </w:rPr>
      </w:pPr>
      <w:r>
        <w:rPr>
          <w:rFonts w:ascii="Arial" w:cs="Arial" w:eastAsia="Arial" w:hAnsi="Arial"/>
          <w:sz w:val="19"/>
          <w:szCs w:val="19"/>
          <w:color w:val="auto"/>
        </w:rPr>
        <w:t>Net sales for MoreDirect, Inc., the Company’s Large Account segment, decreased by 22.6% to $90.7 million compared to the first quarter of 2008. MoreDirect continued to see large enterprise customers delaying IT purchases and redeploying excess equipment resulting from corporate layoffs during this period of unprecedented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-453390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3" w:lineRule="exact"/>
        <w:rPr>
          <w:sz w:val="20"/>
          <w:szCs w:val="20"/>
          <w:color w:val="auto"/>
        </w:rPr>
      </w:pPr>
    </w:p>
    <w:p>
      <w:pPr>
        <w:ind w:left="540" w:right="100"/>
        <w:spacing w:after="0" w:line="287" w:lineRule="auto"/>
        <w:rPr>
          <w:sz w:val="20"/>
          <w:szCs w:val="20"/>
          <w:color w:val="auto"/>
        </w:rPr>
      </w:pPr>
      <w:r>
        <w:rPr>
          <w:rFonts w:ascii="Arial" w:cs="Arial" w:eastAsia="Arial" w:hAnsi="Arial"/>
          <w:sz w:val="19"/>
          <w:szCs w:val="19"/>
          <w:color w:val="auto"/>
        </w:rPr>
        <w:t>Net sales to government and education customers (Public Sector segment) decreased by 4.9% to $63.1 million compared to the first quarter of 2008. Deferral of certain large federal orders at the end of the 2009 first quarter contributed to the year-over-year decrease as both education sales and sales to state and local governments were down only slightly compared to the prior year period. Larger agency fee revenues, which are recorded on a net basis, also factored in the year-over-year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7202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-601980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Quarterly Sales by Product Mix</w:t>
      </w:r>
      <w:r>
        <w:rPr>
          <w:rFonts w:ascii="Arial" w:cs="Arial" w:eastAsia="Arial" w:hAnsi="Arial"/>
          <w:sz w:val="22"/>
          <w:szCs w:val="22"/>
          <w:i w:val="1"/>
          <w:iCs w:val="1"/>
          <w:color w:val="auto"/>
        </w:rPr>
        <w:t>:</w:t>
      </w:r>
    </w:p>
    <w:p>
      <w:pPr>
        <w:spacing w:after="0" w:line="207" w:lineRule="exact"/>
        <w:rPr>
          <w:sz w:val="20"/>
          <w:szCs w:val="20"/>
          <w:color w:val="auto"/>
        </w:rPr>
      </w:pPr>
    </w:p>
    <w:p>
      <w:pPr>
        <w:jc w:val="both"/>
        <w:ind w:left="540" w:right="60"/>
        <w:spacing w:after="0" w:line="238" w:lineRule="auto"/>
        <w:rPr>
          <w:sz w:val="20"/>
          <w:szCs w:val="20"/>
          <w:color w:val="auto"/>
        </w:rPr>
      </w:pPr>
      <w:r>
        <w:rPr>
          <w:rFonts w:ascii="Arial" w:cs="Arial" w:eastAsia="Arial" w:hAnsi="Arial"/>
          <w:sz w:val="22"/>
          <w:szCs w:val="22"/>
          <w:color w:val="auto"/>
        </w:rPr>
        <w:t>Notebooks and PDA sales, the Company’s largest product category, decreased by 26% year over year and accounted for 15% of net sales in the first quarter of 2009 and 2008. Lower average selling prices, or ASPs, decreased revenues as unit sales for the quarter were level year over year. ASPs were impacted by competitive pricing pressures as well as the growth of netbook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-575310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4" w:lineRule="exact"/>
        <w:rPr>
          <w:sz w:val="20"/>
          <w:szCs w:val="20"/>
          <w:color w:val="auto"/>
        </w:rPr>
      </w:pPr>
    </w:p>
    <w:p>
      <w:pPr>
        <w:ind w:left="540" w:right="420"/>
        <w:spacing w:after="0" w:line="251" w:lineRule="auto"/>
        <w:rPr>
          <w:sz w:val="20"/>
          <w:szCs w:val="20"/>
          <w:color w:val="auto"/>
        </w:rPr>
      </w:pPr>
      <w:r>
        <w:rPr>
          <w:rFonts w:ascii="Arial" w:cs="Arial" w:eastAsia="Arial" w:hAnsi="Arial"/>
          <w:sz w:val="22"/>
          <w:szCs w:val="22"/>
          <w:color w:val="auto"/>
        </w:rPr>
        <w:t>Software sales decreased by 20% year over year, accounting for 14% of net sales in the first quarter of 2009 compared to 13% of net sales for the first quarter of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320"/>
        <w:spacing w:after="0"/>
        <w:rPr>
          <w:sz w:val="20"/>
          <w:szCs w:val="20"/>
          <w:color w:val="auto"/>
        </w:rPr>
      </w:pPr>
      <w:r>
        <w:rPr>
          <w:rFonts w:ascii="Arial" w:cs="Arial" w:eastAsia="Arial" w:hAnsi="Arial"/>
          <w:sz w:val="22"/>
          <w:szCs w:val="22"/>
          <w:color w:val="auto"/>
        </w:rPr>
        <w:t>Accessories/Other sales decreased by 5% year over year, accounting for 14% of net sales in the first quarter of 2009 compared to 11% of net sales for the corresponding period a year ago. Growth in certain consumer electronics and service revenues partly offset the overall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0"/>
        <w:spacing w:after="0"/>
        <w:rPr>
          <w:sz w:val="20"/>
          <w:szCs w:val="20"/>
          <w:color w:val="auto"/>
        </w:rPr>
      </w:pPr>
      <w:r>
        <w:rPr>
          <w:rFonts w:ascii="Arial" w:cs="Arial" w:eastAsia="Arial" w:hAnsi="Arial"/>
          <w:sz w:val="22"/>
          <w:szCs w:val="22"/>
          <w:color w:val="auto"/>
        </w:rPr>
        <w:t>Net/Com Products sales decreased by 7% year over year, accounting for 10% of net sales in the first quarter of 2009 compared to 8% of net sales for the corresponding period a year ago. Several large public sector sales contributed to the 2009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Gross profit dollars decreased by $11.1 million, or 21.1%, in the first quarter of 2009 from the corresponding period a year ago due to lower revenues. Gross profit margin, as a percentage of net sales, improved year over year by 31 basis-points to 12.8% in the first quarter of 2009. Lower invoice margins in the first quarter of 2009 were offset by increased vendor consideration, improved freight margins, and increased agency fee revenues which are recorded on a net basis.</w:t>
      </w:r>
    </w:p>
    <w:p>
      <w:pPr>
        <w:spacing w:after="0" w:line="174"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Overall annualized sales productivity decreased by 21% in the first quarter of 2009 compared to the first quarter of 2008. Sales productivity in the Company’s Large Account segment decreased by 16% in the first quarter of 2009 compared to the prior year period. Sales productivity in its Public Sector segment decreased by 27% year over year due to decreased federal government sales, as well as increased 2009 headcount added late in the fourth quarter of 2008. For its SMB segment, productivity declined by 21% year over year. On a consolidated basis, the total number of sales representatives was 629 at March 31, 2009, compared to 689 at March 31, 2008 and 712 at December 31, 2008. The Company reduced headcount of both sales representatives and sales support given the significant decline in revenues experienced in the past quarter.</w:t>
      </w:r>
    </w:p>
    <w:p>
      <w:pPr>
        <w:spacing w:after="0" w:line="15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Total selling, general and administrative expenses for the quarter decreased year over year by $2.1 million, or 4.6%, but increased as a percentage of net sales to 13.3% for the first quarter of 2009 from 10.7% for the first quarter of 2008. The year-over-year dollar decrease was primarily attributable to the lower variable compensation associated with decreased gross profits.</w:t>
      </w:r>
    </w:p>
    <w:p>
      <w:pPr>
        <w:spacing w:after="0" w:line="134"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“During the quarter, the overall economy and correspondingly our revenues, declined at a faster pace than anticipated.” said Patricia Gallup, Chairman and Chief Executive Officer. “As previously announced, we took corrective actions in mid-March to align our expense levels with lower sales volumes. Should we continue to see a decline in demand, we are committed to making further cost reductions as needed.” Gallup concluded, “Our balance sheet is strong as evidenced by our record $68 million of cash and absence of bank debt. We believe we are well-positioned to increase market share during this downturn and to grow our business as the economic climate improves.”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 Connection, Inc.</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 xml:space="preserve">PC Connection, Inc., a Fortune 1000 company, has three sales subsidiaries: PC Connection Sales Corporation, MoreDirect, Inc., and GovConnection, Inc., headquartered in Merrimack, NH, Boca Raton, FL, and Rockville, MD, respectively. All three companies can deliver custom-configured computer systems overnight. Investors and media can find more information about PC Connection, Inc. at </w:t>
      </w:r>
      <w:r>
        <w:rPr>
          <w:rFonts w:ascii="Arial" w:cs="Arial" w:eastAsia="Arial" w:hAnsi="Arial"/>
          <w:sz w:val="22"/>
          <w:szCs w:val="22"/>
          <w:u w:val="single" w:color="auto"/>
          <w:color w:val="auto"/>
        </w:rPr>
        <w:t>http://ir.pcconnection.com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right="140"/>
        <w:spacing w:after="0" w:line="282" w:lineRule="auto"/>
        <w:rPr>
          <w:sz w:val="20"/>
          <w:szCs w:val="20"/>
          <w:color w:val="auto"/>
        </w:rPr>
      </w:pPr>
      <w:r>
        <w:rPr>
          <w:rFonts w:ascii="Arial" w:cs="Arial" w:eastAsia="Arial" w:hAnsi="Arial"/>
          <w:sz w:val="19"/>
          <w:szCs w:val="19"/>
          <w:color w:val="auto"/>
        </w:rPr>
        <w:t xml:space="preserve">PC Connection Sales Corporation (1-800-800-5555), the original business of PC Connection, Inc. serving the small- and medium-sized business sector (SMB), is a rapid-response provider of IT products and services. It offers more than 150,000 brand-name products through its staff of technically trained sales account managers and catalog telesales representatives, catalogs, and publications, and its website at </w:t>
      </w:r>
      <w:r>
        <w:rPr>
          <w:rFonts w:ascii="Arial" w:cs="Arial" w:eastAsia="Arial" w:hAnsi="Arial"/>
          <w:sz w:val="19"/>
          <w:szCs w:val="19"/>
          <w:u w:val="single" w:color="auto"/>
          <w:color w:val="auto"/>
        </w:rPr>
        <w:t>www.pcconnection.com</w:t>
      </w:r>
      <w:r>
        <w:rPr>
          <w:rFonts w:ascii="Arial" w:cs="Arial" w:eastAsia="Arial" w:hAnsi="Arial"/>
          <w:sz w:val="19"/>
          <w:szCs w:val="19"/>
          <w:color w:val="auto"/>
        </w:rPr>
        <w:t xml:space="preserve">. The subsidiary serves the Apple/Macintosh community through its MacConnection division (1-800-800-2222), which also publishes specialized catalogs and is online at </w:t>
      </w:r>
      <w:r>
        <w:rPr>
          <w:rFonts w:ascii="Arial" w:cs="Arial" w:eastAsia="Arial" w:hAnsi="Arial"/>
          <w:sz w:val="19"/>
          <w:szCs w:val="19"/>
          <w:u w:val="single" w:color="auto"/>
          <w:color w:val="auto"/>
        </w:rPr>
        <w:t>www.macconnection.com</w:t>
      </w:r>
      <w:r>
        <w:rPr>
          <w:rFonts w:ascii="Arial" w:cs="Arial" w:eastAsia="Arial" w:hAnsi="Arial"/>
          <w:sz w:val="19"/>
          <w:szCs w:val="19"/>
          <w:color w:val="auto"/>
        </w:rPr>
        <w:t>.</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MoreDirect, Inc. (561-237-3300), </w:t>
      </w:r>
      <w:r>
        <w:rPr>
          <w:rFonts w:ascii="Arial" w:cs="Arial" w:eastAsia="Arial" w:hAnsi="Arial"/>
          <w:sz w:val="22"/>
          <w:szCs w:val="22"/>
          <w:u w:val="single" w:color="auto"/>
          <w:color w:val="auto"/>
        </w:rPr>
        <w:t>www.moredirect.com</w:t>
      </w:r>
      <w:r>
        <w:rPr>
          <w:rFonts w:ascii="Arial" w:cs="Arial" w:eastAsia="Arial" w:hAnsi="Arial"/>
          <w:sz w:val="22"/>
          <w:szCs w:val="22"/>
          <w:color w:val="auto"/>
        </w:rPr>
        <w:t>, provides corporate technology buyers with a comprehensive web-based e-procurement solution and in-depth IT supply-chain expertise, serving as a one-stop source by aggregating more than 300,000 products from the inventories of leading IT wholesale distributors and manufacturers. MoreDirect’s TRAXX™ system is a seamless end-to-end interface that empowers clients to electronically source, evaluate, compare prices, and track related technology product purchases in real-time.</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 xml:space="preserve">GovConnection, Inc. (1-800-800-0019) is a provider of IT products and services to federal, state, and local government agencies and educational institutions through specialized account managers, catalogs, and publications, and online at </w:t>
      </w:r>
      <w:r>
        <w:rPr>
          <w:rFonts w:ascii="Arial" w:cs="Arial" w:eastAsia="Arial" w:hAnsi="Arial"/>
          <w:sz w:val="22"/>
          <w:szCs w:val="22"/>
          <w:u w:val="single" w:color="auto"/>
          <w:color w:val="auto"/>
        </w:rPr>
        <w:t>www.govconnection.com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pccc-g</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“Safe Harbor” Statement Under the Private Securities Litigation Reform Act of 1995: This release contains forward-looking statements that are subject to risks and uncertainties, including, but not limited to, the impact of changes in market demand and the overall level of economic activity and environment, or in the level of business investment in information technology products, competitive products and pricing, product availability and market acceptance, new products, fluctuations in operating results, and the ability of the Company to manage personnel levels in response to fluctuations in revenue, and other risks that could cause actual results to differ materially from these detailed under the caption “Risk Factors” in the Company’s Annual Report on Form 10-K filed with the Securities and Exchange Commission for the year ended December 31, 2008. More specifically, the statements in this release concerning the Company’s outlook for 2009 and other statements of a non-historical basis (including statements regarding the Company’s ability to grow revenues, increase market share, and make further cost reductions as needed) are forward-looking statements that involve certain risks and uncertainties. Such risks and uncertainties include the ability to realize market demand for and competitive pricing pressures on the products and services marketed by the Company, the continued acceptance of the Company's distribution channel by vendors and customers, continuation of key vendor and customer relationships and support programs, and the ability of the Company to hire and retain qualified sales representatives and other essential personnel. The Company assumes no obligation to update the information in this press release or revise any forward-looking statements,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27202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CONSOLIDATED SELECTED FINANCIAL INFORMATION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At or for the Three Months Ended March 31,</w:t>
            </w: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800" w:type="dxa"/>
            <w:vAlign w:val="bottom"/>
            <w:gridSpan w:val="2"/>
          </w:tcPr>
          <w:p>
            <w:pPr>
              <w:spacing w:after="0" w:line="160" w:lineRule="exact"/>
              <w:rPr>
                <w:sz w:val="20"/>
                <w:szCs w:val="20"/>
                <w:color w:val="auto"/>
              </w:rPr>
            </w:pPr>
            <w:r>
              <w:rPr>
                <w:rFonts w:ascii="Arial" w:cs="Arial" w:eastAsia="Arial" w:hAnsi="Arial"/>
                <w:sz w:val="14"/>
                <w:szCs w:val="14"/>
                <w:i w:val="1"/>
                <w:iCs w:val="1"/>
                <w:color w:val="auto"/>
                <w:w w:val="95"/>
              </w:rPr>
              <w:t>(Dollars and shares in thousands, except operating data, price/earnings ratio, and per share data)</w:t>
            </w: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128"/>
              <w:spacing w:after="0" w:line="16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308"/>
              <w:spacing w:after="0" w:line="160"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5"/>
              </w:rPr>
              <w:t>Net Sales</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Net Sales</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39"/>
        </w:trPr>
        <w:tc>
          <w:tcPr>
            <w:tcW w:w="5420" w:type="dxa"/>
            <w:vAlign w:val="bottom"/>
          </w:tcPr>
          <w:p>
            <w:pPr>
              <w:spacing w:after="0"/>
              <w:rPr>
                <w:sz w:val="20"/>
                <w:szCs w:val="20"/>
                <w:color w:val="auto"/>
              </w:rPr>
            </w:pPr>
            <w:r>
              <w:rPr>
                <w:rFonts w:ascii="Arial" w:cs="Arial" w:eastAsia="Arial" w:hAnsi="Arial"/>
                <w:sz w:val="14"/>
                <w:szCs w:val="14"/>
                <w:b w:val="1"/>
                <w:bCs w:val="1"/>
                <w:color w:val="auto"/>
              </w:rPr>
              <w:t>Operating Data:</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326,221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423,724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Diluted earnings (loss) per share</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(0.06)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340"/>
        </w:trPr>
        <w:tc>
          <w:tcPr>
            <w:tcW w:w="5420" w:type="dxa"/>
            <w:vAlign w:val="bottom"/>
          </w:tcPr>
          <w:p>
            <w:pPr>
              <w:ind w:left="280"/>
              <w:spacing w:after="0"/>
              <w:rPr>
                <w:sz w:val="20"/>
                <w:szCs w:val="20"/>
                <w:color w:val="auto"/>
              </w:rPr>
            </w:pPr>
            <w:r>
              <w:rPr>
                <w:rFonts w:ascii="Arial" w:cs="Arial" w:eastAsia="Arial" w:hAnsi="Arial"/>
                <w:sz w:val="14"/>
                <w:szCs w:val="14"/>
                <w:color w:val="auto"/>
              </w:rPr>
              <w:t>Gross profit margin</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12.4%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Operating margin</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Return on equity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420" w:type="dxa"/>
            <w:vAlign w:val="bottom"/>
          </w:tcPr>
          <w:p>
            <w:pPr>
              <w:ind w:left="280"/>
              <w:spacing w:after="0"/>
              <w:rPr>
                <w:sz w:val="20"/>
                <w:szCs w:val="20"/>
                <w:color w:val="auto"/>
              </w:rPr>
            </w:pPr>
            <w:r>
              <w:rPr>
                <w:rFonts w:ascii="Arial" w:cs="Arial" w:eastAsia="Arial" w:hAnsi="Arial"/>
                <w:sz w:val="14"/>
                <w:szCs w:val="14"/>
                <w:color w:val="auto"/>
              </w:rPr>
              <w:t>Catalogs distributed</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2,942,000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3,059,000</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9"/>
        </w:trPr>
        <w:tc>
          <w:tcPr>
            <w:tcW w:w="5420" w:type="dxa"/>
            <w:vAlign w:val="bottom"/>
          </w:tcPr>
          <w:p>
            <w:pPr>
              <w:ind w:left="280"/>
              <w:spacing w:after="0" w:line="219" w:lineRule="exact"/>
              <w:rPr>
                <w:sz w:val="20"/>
                <w:szCs w:val="20"/>
                <w:color w:val="auto"/>
              </w:rPr>
            </w:pPr>
            <w:r>
              <w:rPr>
                <w:rFonts w:ascii="Arial" w:cs="Arial" w:eastAsia="Arial" w:hAnsi="Arial"/>
                <w:sz w:val="14"/>
                <w:szCs w:val="14"/>
                <w:color w:val="auto"/>
              </w:rPr>
              <w:t xml:space="preserve">Orders entered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332,700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377,500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13"/>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Average order size </w:t>
            </w:r>
            <w:r>
              <w:rPr>
                <w:rFonts w:ascii="Arial" w:cs="Arial" w:eastAsia="Arial" w:hAnsi="Arial"/>
                <w:sz w:val="23"/>
                <w:szCs w:val="23"/>
                <w:color w:val="auto"/>
                <w:vertAlign w:val="superscript"/>
              </w:rPr>
              <w:t>(2)</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1,174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1,267</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81"/>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Inventory turns </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Days sales outstanding</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0"/>
        </w:trPr>
        <w:tc>
          <w:tcPr>
            <w:tcW w:w="5420" w:type="dxa"/>
            <w:vAlign w:val="bottom"/>
          </w:tcPr>
          <w:p>
            <w:pPr>
              <w:spacing w:after="0"/>
              <w:rPr>
                <w:sz w:val="20"/>
                <w:szCs w:val="20"/>
                <w:color w:val="auto"/>
              </w:rPr>
            </w:pPr>
            <w:r>
              <w:rPr>
                <w:rFonts w:ascii="Arial" w:cs="Arial" w:eastAsia="Arial" w:hAnsi="Arial"/>
                <w:sz w:val="14"/>
                <w:szCs w:val="14"/>
                <w:b w:val="1"/>
                <w:bCs w:val="1"/>
                <w:color w:val="auto"/>
              </w:rPr>
              <w:t>Product Mix:</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47,625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Notebooks &amp; PDAs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64,101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Software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44,684</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56,146</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Video, Imaging &amp; Sound</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44,321</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62,291</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Desktops/Servers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39,604</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58,409</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Net/Com Products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33,115</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35,794</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Printers &amp; Printer Supplies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30,258</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40,839</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Storage Devices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29,107</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42,562</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Memory &amp; System Enhancements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11,310</w:t>
            </w:r>
          </w:p>
        </w:tc>
        <w:tc>
          <w:tcPr>
            <w:tcW w:w="80" w:type="dxa"/>
            <w:vAlign w:val="bottom"/>
          </w:tcPr>
          <w:p>
            <w:pPr>
              <w:spacing w:after="0"/>
              <w:rPr>
                <w:sz w:val="15"/>
                <w:szCs w:val="15"/>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15,094</w:t>
            </w:r>
          </w:p>
        </w:tc>
        <w:tc>
          <w:tcPr>
            <w:tcW w:w="8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5"/>
        </w:trPr>
        <w:tc>
          <w:tcPr>
            <w:tcW w:w="5420" w:type="dxa"/>
            <w:vAlign w:val="bottom"/>
          </w:tcPr>
          <w:p>
            <w:pPr>
              <w:ind w:left="280"/>
              <w:spacing w:after="0"/>
              <w:rPr>
                <w:sz w:val="20"/>
                <w:szCs w:val="20"/>
                <w:color w:val="auto"/>
              </w:rPr>
            </w:pPr>
            <w:r>
              <w:rPr>
                <w:rFonts w:ascii="Arial" w:cs="Arial" w:eastAsia="Arial" w:hAnsi="Arial"/>
                <w:sz w:val="14"/>
                <w:szCs w:val="14"/>
                <w:color w:val="auto"/>
              </w:rPr>
              <w:t>Accessories/Other</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46,197</w:t>
            </w:r>
          </w:p>
        </w:tc>
        <w:tc>
          <w:tcPr>
            <w:tcW w:w="80" w:type="dxa"/>
            <w:vAlign w:val="bottom"/>
          </w:tcPr>
          <w:p>
            <w:pPr>
              <w:spacing w:after="0"/>
              <w:rPr>
                <w:sz w:val="16"/>
                <w:szCs w:val="16"/>
                <w:color w:val="auto"/>
              </w:rPr>
            </w:pPr>
          </w:p>
        </w:tc>
        <w:tc>
          <w:tcPr>
            <w:tcW w:w="700" w:type="dxa"/>
            <w:vAlign w:val="bottom"/>
            <w:gridSpan w:val="3"/>
          </w:tcPr>
          <w:p>
            <w:pPr>
              <w:jc w:val="right"/>
              <w:ind w:right="2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48,488</w:t>
            </w:r>
          </w:p>
        </w:tc>
        <w:tc>
          <w:tcPr>
            <w:tcW w:w="8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9"/>
        </w:trPr>
        <w:tc>
          <w:tcPr>
            <w:tcW w:w="5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326,221</w:t>
            </w:r>
          </w:p>
        </w:tc>
        <w:tc>
          <w:tcPr>
            <w:tcW w:w="80" w:type="dxa"/>
            <w:vAlign w:val="bottom"/>
          </w:tcPr>
          <w:p>
            <w:pPr>
              <w:spacing w:after="0"/>
              <w:rPr>
                <w:sz w:val="14"/>
                <w:szCs w:val="14"/>
                <w:color w:val="auto"/>
              </w:rPr>
            </w:pPr>
          </w:p>
        </w:tc>
        <w:tc>
          <w:tcPr>
            <w:tcW w:w="70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423,724</w:t>
            </w:r>
          </w:p>
        </w:tc>
        <w:tc>
          <w:tcPr>
            <w:tcW w:w="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Net Sales of Enterprise Server and Networking Products (included in the above Product Mix):</w:t>
            </w: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580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5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118,159</w:t>
            </w:r>
          </w:p>
        </w:tc>
        <w:tc>
          <w:tcPr>
            <w:tcW w:w="80" w:type="dxa"/>
            <w:vAlign w:val="bottom"/>
          </w:tcPr>
          <w:p>
            <w:pPr>
              <w:spacing w:after="0"/>
              <w:rPr>
                <w:sz w:val="24"/>
                <w:szCs w:val="24"/>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36%</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143,344</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800" w:type="dxa"/>
            <w:vAlign w:val="bottom"/>
            <w:gridSpan w:val="3"/>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Stock Performance Indicators:</w:t>
            </w: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26,793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20" w:type="dxa"/>
            <w:vAlign w:val="bottom"/>
          </w:tcPr>
          <w:p>
            <w:pPr>
              <w:ind w:left="280"/>
              <w:spacing w:after="0"/>
              <w:rPr>
                <w:sz w:val="20"/>
                <w:szCs w:val="20"/>
                <w:color w:val="auto"/>
              </w:rPr>
            </w:pPr>
            <w:r>
              <w:rPr>
                <w:rFonts w:ascii="Arial" w:cs="Arial" w:eastAsia="Arial" w:hAnsi="Arial"/>
                <w:sz w:val="14"/>
                <w:szCs w:val="14"/>
                <w:color w:val="auto"/>
              </w:rPr>
              <w:t>Actual shares outstanding</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26,803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Total book value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8.73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Tangible book value per share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6.86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6.29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20" w:type="dxa"/>
            <w:vAlign w:val="bottom"/>
          </w:tcPr>
          <w:p>
            <w:pPr>
              <w:ind w:left="280"/>
              <w:spacing w:after="0"/>
              <w:rPr>
                <w:sz w:val="20"/>
                <w:szCs w:val="20"/>
                <w:color w:val="auto"/>
              </w:rPr>
            </w:pPr>
            <w:r>
              <w:rPr>
                <w:rFonts w:ascii="Arial" w:cs="Arial" w:eastAsia="Arial" w:hAnsi="Arial"/>
                <w:sz w:val="14"/>
                <w:szCs w:val="14"/>
                <w:color w:val="auto"/>
              </w:rPr>
              <w:t>Closing price</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3.80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7.92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420" w:type="dxa"/>
            <w:vAlign w:val="bottom"/>
          </w:tcPr>
          <w:p>
            <w:pPr>
              <w:ind w:left="280"/>
              <w:spacing w:after="0"/>
              <w:rPr>
                <w:sz w:val="20"/>
                <w:szCs w:val="20"/>
                <w:color w:val="auto"/>
              </w:rPr>
            </w:pPr>
            <w:r>
              <w:rPr>
                <w:rFonts w:ascii="Arial" w:cs="Arial" w:eastAsia="Arial" w:hAnsi="Arial"/>
                <w:sz w:val="14"/>
                <w:szCs w:val="14"/>
                <w:color w:val="auto"/>
              </w:rPr>
              <w:t>Market capitalization</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ind w:left="5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101,813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212,280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420" w:type="dxa"/>
            <w:vAlign w:val="bottom"/>
          </w:tcPr>
          <w:p>
            <w:pPr>
              <w:ind w:left="280"/>
              <w:spacing w:after="0"/>
              <w:rPr>
                <w:sz w:val="20"/>
                <w:szCs w:val="20"/>
                <w:color w:val="auto"/>
              </w:rPr>
            </w:pPr>
            <w:r>
              <w:rPr>
                <w:rFonts w:ascii="Arial" w:cs="Arial" w:eastAsia="Arial" w:hAnsi="Arial"/>
                <w:sz w:val="14"/>
                <w:szCs w:val="14"/>
                <w:color w:val="auto"/>
              </w:rPr>
              <w:t xml:space="preserve">Trailing price/earnings ratio </w:t>
            </w:r>
            <w:r>
              <w:rPr>
                <w:rFonts w:ascii="Arial" w:cs="Arial" w:eastAsia="Arial" w:hAnsi="Arial"/>
                <w:sz w:val="23"/>
                <w:szCs w:val="23"/>
                <w:color w:val="auto"/>
                <w:vertAlign w:val="superscript"/>
              </w:rPr>
              <w:t>(3)</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420" w:type="dxa"/>
            <w:vAlign w:val="bottom"/>
          </w:tcPr>
          <w:p>
            <w:pPr>
              <w:spacing w:after="0"/>
              <w:rPr>
                <w:sz w:val="20"/>
                <w:szCs w:val="20"/>
                <w:color w:val="auto"/>
              </w:rPr>
            </w:pPr>
            <w:r>
              <w:rPr>
                <w:rFonts w:ascii="Arial" w:cs="Arial" w:eastAsia="Arial" w:hAnsi="Arial"/>
                <w:sz w:val="14"/>
                <w:szCs w:val="14"/>
                <w:color w:val="auto"/>
              </w:rPr>
              <w:t>(1) Annualized</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Arial" w:cs="Arial" w:eastAsia="Arial" w:hAnsi="Arial"/>
                <w:sz w:val="14"/>
                <w:szCs w:val="14"/>
                <w:color w:val="auto"/>
              </w:rPr>
              <w:t>(2) Does not reflect cancellations or returns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rPr>
                <w:sz w:val="20"/>
                <w:szCs w:val="20"/>
                <w:color w:val="auto"/>
              </w:rPr>
            </w:pPr>
            <w:r>
              <w:rPr>
                <w:rFonts w:ascii="Arial" w:cs="Arial" w:eastAsia="Arial" w:hAnsi="Arial"/>
                <w:sz w:val="14"/>
                <w:szCs w:val="14"/>
                <w:color w:val="auto"/>
              </w:rPr>
              <w:t>(3) Earnings is based on the last four quarters</w:t>
            </w: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0"/>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SEGMENT INFORMATION</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408"/>
              <w:spacing w:after="0" w:line="160" w:lineRule="exact"/>
              <w:rPr>
                <w:sz w:val="20"/>
                <w:szCs w:val="20"/>
                <w:color w:val="auto"/>
              </w:rPr>
            </w:pPr>
            <w:r>
              <w:rPr>
                <w:rFonts w:ascii="Arial" w:cs="Arial" w:eastAsia="Arial" w:hAnsi="Arial"/>
                <w:sz w:val="14"/>
                <w:szCs w:val="14"/>
                <w:b w:val="1"/>
                <w:bCs w:val="1"/>
                <w:color w:val="auto"/>
              </w:rPr>
              <w:t>Net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7"/>
              </w:rPr>
              <w:t>Net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4"/>
          </w:tcPr>
          <w:p>
            <w:pPr>
              <w:jc w:val="right"/>
              <w:ind w:right="588"/>
              <w:spacing w:after="0" w:line="160"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5"/>
        </w:trPr>
        <w:tc>
          <w:tcPr>
            <w:tcW w:w="54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7"/>
              </w:rPr>
              <w:t>Sales</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Margin (%)</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center"/>
              <w:ind w:right="780"/>
              <w:spacing w:after="0"/>
              <w:rPr>
                <w:sz w:val="20"/>
                <w:szCs w:val="20"/>
                <w:color w:val="auto"/>
              </w:rPr>
            </w:pPr>
            <w:r>
              <w:rPr>
                <w:rFonts w:ascii="Arial" w:cs="Arial" w:eastAsia="Arial" w:hAnsi="Arial"/>
                <w:sz w:val="14"/>
                <w:szCs w:val="14"/>
                <w:b w:val="1"/>
                <w:bCs w:val="1"/>
                <w:color w:val="auto"/>
                <w:w w:val="81"/>
              </w:rPr>
              <w:t>Sales</w:t>
            </w:r>
          </w:p>
        </w:tc>
        <w:tc>
          <w:tcPr>
            <w:tcW w:w="144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Margin (%)</w:t>
            </w: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0"/>
                <w:szCs w:val="20"/>
                <w:color w:val="auto"/>
              </w:rPr>
            </w:pPr>
            <w:r>
              <w:rPr>
                <w:rFonts w:ascii="Arial" w:cs="Arial" w:eastAsia="Arial" w:hAnsi="Arial"/>
                <w:sz w:val="14"/>
                <w:szCs w:val="14"/>
                <w:color w:val="auto"/>
              </w:rPr>
              <w:t>PC Connection Sales Corporation (SMB)</w:t>
            </w:r>
          </w:p>
        </w:tc>
        <w:tc>
          <w:tcPr>
            <w:tcW w:w="38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172,368</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14.4%</w:t>
            </w:r>
          </w:p>
        </w:tc>
        <w:tc>
          <w:tcPr>
            <w:tcW w:w="80" w:type="dxa"/>
            <w:vAlign w:val="bottom"/>
          </w:tcPr>
          <w:p>
            <w:pPr>
              <w:spacing w:after="0"/>
              <w:rPr>
                <w:sz w:val="24"/>
                <w:szCs w:val="24"/>
                <w:color w:val="auto"/>
              </w:rPr>
            </w:pPr>
          </w:p>
        </w:tc>
        <w:tc>
          <w:tcPr>
            <w:tcW w:w="70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240,149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6"/>
        </w:trPr>
        <w:tc>
          <w:tcPr>
            <w:tcW w:w="5420" w:type="dxa"/>
            <w:vAlign w:val="bottom"/>
          </w:tcPr>
          <w:p>
            <w:pPr>
              <w:spacing w:after="0"/>
              <w:rPr>
                <w:sz w:val="20"/>
                <w:szCs w:val="20"/>
                <w:color w:val="auto"/>
              </w:rPr>
            </w:pPr>
            <w:r>
              <w:rPr>
                <w:rFonts w:ascii="Arial" w:cs="Arial" w:eastAsia="Arial" w:hAnsi="Arial"/>
                <w:sz w:val="14"/>
                <w:szCs w:val="14"/>
                <w:color w:val="auto"/>
              </w:rPr>
              <w:t>MoreDirect (Large Account)</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90,723</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117,208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Arial" w:cs="Arial" w:eastAsia="Arial" w:hAnsi="Arial"/>
                <w:sz w:val="14"/>
                <w:szCs w:val="14"/>
                <w:color w:val="auto"/>
              </w:rPr>
              <w:t>GovConnection (Public Sector)</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63,130</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66,367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9"/>
        </w:trPr>
        <w:tc>
          <w:tcPr>
            <w:tcW w:w="5420" w:type="dxa"/>
            <w:vAlign w:val="bottom"/>
          </w:tcPr>
          <w:p>
            <w:pPr>
              <w:ind w:left="280"/>
              <w:spacing w:after="0"/>
              <w:rPr>
                <w:sz w:val="20"/>
                <w:szCs w:val="20"/>
                <w:color w:val="auto"/>
              </w:rPr>
            </w:pPr>
            <w:r>
              <w:rPr>
                <w:rFonts w:ascii="Arial" w:cs="Arial" w:eastAsia="Arial" w:hAnsi="Arial"/>
                <w:sz w:val="14"/>
                <w:szCs w:val="14"/>
                <w:color w:val="auto"/>
              </w:rPr>
              <w:t>Total</w:t>
            </w: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326,221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423,724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4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right"/>
              <w:ind w:right="1188"/>
              <w:spacing w:after="0"/>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880" w:type="dxa"/>
            <w:vAlign w:val="bottom"/>
            <w:tcBorders>
              <w:top w:val="single" w:sz="8" w:color="auto"/>
              <w:bottom w:val="single" w:sz="8" w:color="auto"/>
            </w:tcBorders>
            <w:gridSpan w:val="2"/>
          </w:tcPr>
          <w:p>
            <w:pPr>
              <w:jc w:val="right"/>
              <w:ind w:right="130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9"/>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 except per share data)</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 of Net Sales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of Net Sales</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326,221</w:t>
            </w:r>
          </w:p>
        </w:tc>
        <w:tc>
          <w:tcPr>
            <w:tcW w:w="1720" w:type="dxa"/>
            <w:vAlign w:val="bottom"/>
            <w:gridSpan w:val="2"/>
          </w:tcPr>
          <w:p>
            <w:pPr>
              <w:jc w:val="right"/>
              <w:ind w:right="368"/>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24"/>
                <w:szCs w:val="24"/>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423,724</w:t>
            </w:r>
          </w:p>
        </w:tc>
        <w:tc>
          <w:tcPr>
            <w:tcW w:w="1880" w:type="dxa"/>
            <w:vAlign w:val="bottom"/>
            <w:gridSpan w:val="2"/>
          </w:tcPr>
          <w:p>
            <w:pPr>
              <w:jc w:val="right"/>
              <w:ind w:right="30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284,610</w:t>
            </w:r>
          </w:p>
        </w:tc>
        <w:tc>
          <w:tcPr>
            <w:tcW w:w="1720" w:type="dxa"/>
            <w:vAlign w:val="bottom"/>
            <w:gridSpan w:val="2"/>
          </w:tcPr>
          <w:p>
            <w:pPr>
              <w:jc w:val="right"/>
              <w:ind w:right="488"/>
              <w:spacing w:after="0"/>
              <w:rPr>
                <w:sz w:val="20"/>
                <w:szCs w:val="20"/>
                <w:color w:val="auto"/>
              </w:rPr>
            </w:pPr>
            <w:r>
              <w:rPr>
                <w:rFonts w:ascii="Arial" w:cs="Arial" w:eastAsia="Arial" w:hAnsi="Arial"/>
                <w:sz w:val="14"/>
                <w:szCs w:val="14"/>
                <w:color w:val="auto"/>
              </w:rPr>
              <w:t>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370,980</w:t>
            </w:r>
          </w:p>
        </w:tc>
        <w:tc>
          <w:tcPr>
            <w:tcW w:w="1880" w:type="dxa"/>
            <w:vAlign w:val="bottom"/>
            <w:gridSpan w:val="2"/>
          </w:tcPr>
          <w:p>
            <w:pPr>
              <w:jc w:val="right"/>
              <w:ind w:right="4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176"/>
        </w:trPr>
        <w:tc>
          <w:tcPr>
            <w:tcW w:w="5280" w:type="dxa"/>
            <w:vAlign w:val="bottom"/>
          </w:tcPr>
          <w:p>
            <w:pPr>
              <w:ind w:left="340"/>
              <w:spacing w:after="0"/>
              <w:rPr>
                <w:sz w:val="20"/>
                <w:szCs w:val="20"/>
                <w:color w:val="auto"/>
              </w:rPr>
            </w:pPr>
            <w:r>
              <w:rPr>
                <w:rFonts w:ascii="Arial" w:cs="Arial" w:eastAsia="Arial" w:hAnsi="Arial"/>
                <w:sz w:val="14"/>
                <w:szCs w:val="14"/>
                <w:b w:val="1"/>
                <w:bCs w:val="1"/>
                <w:color w:val="auto"/>
              </w:rPr>
              <w:t>Gross profit</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41,611</w:t>
            </w:r>
          </w:p>
        </w:tc>
        <w:tc>
          <w:tcPr>
            <w:tcW w:w="120" w:type="dxa"/>
            <w:vAlign w:val="bottom"/>
          </w:tcPr>
          <w:p>
            <w:pPr>
              <w:spacing w:after="0"/>
              <w:rPr>
                <w:sz w:val="15"/>
                <w:szCs w:val="15"/>
                <w:color w:val="auto"/>
              </w:rPr>
            </w:pPr>
          </w:p>
        </w:tc>
        <w:tc>
          <w:tcPr>
            <w:tcW w:w="16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52,744</w:t>
            </w:r>
          </w:p>
        </w:tc>
        <w:tc>
          <w:tcPr>
            <w:tcW w:w="120" w:type="dxa"/>
            <w:vAlign w:val="bottom"/>
          </w:tcPr>
          <w:p>
            <w:pPr>
              <w:spacing w:after="0"/>
              <w:rPr>
                <w:sz w:val="15"/>
                <w:szCs w:val="15"/>
                <w:color w:val="auto"/>
              </w:rPr>
            </w:pPr>
          </w:p>
        </w:tc>
        <w:tc>
          <w:tcPr>
            <w:tcW w:w="17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43,289</w:t>
            </w:r>
          </w:p>
        </w:tc>
        <w:tc>
          <w:tcPr>
            <w:tcW w:w="1720" w:type="dxa"/>
            <w:vAlign w:val="bottom"/>
            <w:gridSpan w:val="2"/>
          </w:tcPr>
          <w:p>
            <w:pPr>
              <w:jc w:val="right"/>
              <w:ind w:right="488"/>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45,393</w:t>
            </w:r>
          </w:p>
        </w:tc>
        <w:tc>
          <w:tcPr>
            <w:tcW w:w="1880" w:type="dxa"/>
            <w:vAlign w:val="bottom"/>
            <w:gridSpan w:val="2"/>
          </w:tcPr>
          <w:p>
            <w:pPr>
              <w:jc w:val="right"/>
              <w:ind w:right="4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Special charges</w:t>
            </w: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891</w:t>
            </w:r>
          </w:p>
        </w:tc>
        <w:tc>
          <w:tcPr>
            <w:tcW w:w="1720" w:type="dxa"/>
            <w:vAlign w:val="bottom"/>
            <w:gridSpan w:val="2"/>
          </w:tcPr>
          <w:p>
            <w:pPr>
              <w:jc w:val="right"/>
              <w:ind w:right="48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280" w:type="dxa"/>
            <w:vAlign w:val="bottom"/>
          </w:tcPr>
          <w:p>
            <w:pPr>
              <w:ind w:left="3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5"/>
                <w:szCs w:val="15"/>
                <w:color w:val="auto"/>
              </w:rPr>
            </w:pPr>
          </w:p>
        </w:tc>
        <w:tc>
          <w:tcPr>
            <w:tcW w:w="1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7,351</w:t>
            </w:r>
          </w:p>
        </w:tc>
        <w:tc>
          <w:tcPr>
            <w:tcW w:w="120" w:type="dxa"/>
            <w:vAlign w:val="bottom"/>
          </w:tcPr>
          <w:p>
            <w:pPr>
              <w:spacing w:after="0"/>
              <w:rPr>
                <w:sz w:val="15"/>
                <w:szCs w:val="15"/>
                <w:color w:val="auto"/>
              </w:rPr>
            </w:pPr>
          </w:p>
        </w:tc>
        <w:tc>
          <w:tcPr>
            <w:tcW w:w="176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39"/>
        </w:trPr>
        <w:tc>
          <w:tcPr>
            <w:tcW w:w="528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720" w:type="dxa"/>
            <w:vAlign w:val="bottom"/>
            <w:gridSpan w:val="2"/>
          </w:tcPr>
          <w:p>
            <w:pPr>
              <w:jc w:val="right"/>
              <w:ind w:right="44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8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720" w:type="dxa"/>
            <w:vAlign w:val="bottom"/>
            <w:gridSpan w:val="2"/>
          </w:tcPr>
          <w:p>
            <w:pPr>
              <w:jc w:val="right"/>
              <w:ind w:right="48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8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280" w:type="dxa"/>
            <w:vAlign w:val="bottom"/>
          </w:tcPr>
          <w:p>
            <w:pPr>
              <w:spacing w:after="0"/>
              <w:rPr>
                <w:sz w:val="20"/>
                <w:szCs w:val="20"/>
                <w:color w:val="auto"/>
              </w:rPr>
            </w:pPr>
            <w:r>
              <w:rPr>
                <w:rFonts w:ascii="Arial" w:cs="Arial" w:eastAsia="Arial" w:hAnsi="Arial"/>
                <w:sz w:val="14"/>
                <w:szCs w:val="14"/>
                <w:color w:val="auto"/>
              </w:rPr>
              <w:t>Income tax (provision) credit</w:t>
            </w:r>
          </w:p>
        </w:tc>
        <w:tc>
          <w:tcPr>
            <w:tcW w:w="2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885</w:t>
            </w:r>
          </w:p>
        </w:tc>
        <w:tc>
          <w:tcPr>
            <w:tcW w:w="1720" w:type="dxa"/>
            <w:vAlign w:val="bottom"/>
            <w:gridSpan w:val="2"/>
          </w:tcPr>
          <w:p>
            <w:pPr>
              <w:jc w:val="right"/>
              <w:ind w:right="48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(2,574)</w:t>
            </w:r>
          </w:p>
        </w:tc>
        <w:tc>
          <w:tcPr>
            <w:tcW w:w="1880" w:type="dxa"/>
            <w:vAlign w:val="bottom"/>
            <w:gridSpan w:val="2"/>
          </w:tcPr>
          <w:p>
            <w:pPr>
              <w:jc w:val="right"/>
              <w:ind w:right="38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9"/>
        </w:trPr>
        <w:tc>
          <w:tcPr>
            <w:tcW w:w="5280" w:type="dxa"/>
            <w:vAlign w:val="bottom"/>
          </w:tcPr>
          <w:p>
            <w:pPr>
              <w:ind w:left="3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(1,619)</w:t>
            </w:r>
          </w:p>
        </w:tc>
        <w:tc>
          <w:tcPr>
            <w:tcW w:w="120" w:type="dxa"/>
            <w:vAlign w:val="bottom"/>
          </w:tcPr>
          <w:p>
            <w:pPr>
              <w:spacing w:after="0"/>
              <w:rPr>
                <w:sz w:val="14"/>
                <w:szCs w:val="14"/>
                <w:color w:val="auto"/>
              </w:rPr>
            </w:pPr>
          </w:p>
        </w:tc>
        <w:tc>
          <w:tcPr>
            <w:tcW w:w="16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4,774</w:t>
            </w:r>
          </w:p>
        </w:tc>
        <w:tc>
          <w:tcPr>
            <w:tcW w:w="120" w:type="dxa"/>
            <w:vAlign w:val="bottom"/>
          </w:tcPr>
          <w:p>
            <w:pPr>
              <w:spacing w:after="0"/>
              <w:rPr>
                <w:sz w:val="14"/>
                <w:szCs w:val="14"/>
                <w:color w:val="auto"/>
              </w:rPr>
            </w:pPr>
          </w:p>
        </w:tc>
        <w:tc>
          <w:tcPr>
            <w:tcW w:w="17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34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26,819</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26,860</w:t>
            </w: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34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26,819</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26,974</w:t>
            </w: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4"/>
                <w:szCs w:val="14"/>
                <w:color w:val="auto"/>
              </w:rPr>
              <w:t>Earnings (loss) per common share:</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280" w:type="dxa"/>
            <w:vAlign w:val="bottom"/>
          </w:tcPr>
          <w:p>
            <w:pPr>
              <w:ind w:left="34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34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8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(0.06)</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0.18</w:t>
            </w: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RECONCILIATION BETWEEN GAAP AND PRO FORMA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information is being provided so as to allow for a comparison of our operating results without special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top w:val="single" w:sz="8" w:color="auto"/>
              <w:bottom w:val="single" w:sz="8" w:color="auto"/>
            </w:tcBorders>
          </w:tcPr>
          <w:p>
            <w:pPr>
              <w:spacing w:after="0"/>
              <w:rPr>
                <w:sz w:val="16"/>
                <w:szCs w:val="16"/>
                <w:color w:val="auto"/>
              </w:rPr>
            </w:pPr>
          </w:p>
        </w:tc>
        <w:tc>
          <w:tcPr>
            <w:tcW w:w="2620" w:type="dxa"/>
            <w:vAlign w:val="bottom"/>
            <w:tcBorders>
              <w:top w:val="single" w:sz="8" w:color="auto"/>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(Amounts in thousands)</w:t>
            </w: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339"/>
        </w:trPr>
        <w:tc>
          <w:tcPr>
            <w:tcW w:w="6680" w:type="dxa"/>
            <w:vAlign w:val="bottom"/>
          </w:tcPr>
          <w:p>
            <w:pPr>
              <w:spacing w:after="0"/>
              <w:rPr>
                <w:sz w:val="20"/>
                <w:szCs w:val="20"/>
                <w:color w:val="auto"/>
              </w:rPr>
            </w:pPr>
            <w:r>
              <w:rPr>
                <w:rFonts w:ascii="Arial" w:cs="Arial" w:eastAsia="Arial" w:hAnsi="Arial"/>
                <w:sz w:val="14"/>
                <w:szCs w:val="14"/>
                <w:color w:val="auto"/>
              </w:rPr>
              <w:t>GAAP net income (loss)</w:t>
            </w:r>
          </w:p>
        </w:tc>
        <w:tc>
          <w:tcPr>
            <w:tcW w:w="6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(1,619)</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4,774</w:t>
            </w:r>
          </w:p>
        </w:tc>
      </w:tr>
      <w:tr>
        <w:trPr>
          <w:trHeight w:val="176"/>
        </w:trPr>
        <w:tc>
          <w:tcPr>
            <w:tcW w:w="6680" w:type="dxa"/>
            <w:vAlign w:val="bottom"/>
          </w:tcPr>
          <w:p>
            <w:pPr>
              <w:spacing w:after="0"/>
              <w:rPr>
                <w:sz w:val="20"/>
                <w:szCs w:val="20"/>
                <w:color w:val="auto"/>
              </w:rPr>
            </w:pPr>
            <w:r>
              <w:rPr>
                <w:rFonts w:ascii="Arial" w:cs="Arial" w:eastAsia="Arial" w:hAnsi="Arial"/>
                <w:sz w:val="14"/>
                <w:szCs w:val="14"/>
                <w:color w:val="auto"/>
              </w:rPr>
              <w:t>Special charges (after tax):</w:t>
            </w:r>
          </w:p>
        </w:tc>
        <w:tc>
          <w:tcPr>
            <w:tcW w:w="6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6680" w:type="dxa"/>
            <w:vAlign w:val="bottom"/>
          </w:tcPr>
          <w:p>
            <w:pPr>
              <w:ind w:left="280"/>
              <w:spacing w:after="0"/>
              <w:rPr>
                <w:sz w:val="20"/>
                <w:szCs w:val="20"/>
                <w:color w:val="auto"/>
              </w:rPr>
            </w:pPr>
            <w:r>
              <w:rPr>
                <w:rFonts w:ascii="Arial" w:cs="Arial" w:eastAsia="Arial" w:hAnsi="Arial"/>
                <w:sz w:val="14"/>
                <w:szCs w:val="14"/>
                <w:color w:val="auto"/>
              </w:rPr>
              <w:t>Management restructuring</w:t>
            </w:r>
          </w:p>
        </w:tc>
        <w:tc>
          <w:tcPr>
            <w:tcW w:w="680" w:type="dxa"/>
            <w:vAlign w:val="bottom"/>
          </w:tcPr>
          <w:p>
            <w:pPr>
              <w:spacing w:after="0"/>
              <w:rPr>
                <w:sz w:val="15"/>
                <w:szCs w:val="15"/>
                <w:color w:val="auto"/>
              </w:rPr>
            </w:pPr>
          </w:p>
        </w:tc>
        <w:tc>
          <w:tcPr>
            <w:tcW w:w="1700" w:type="dxa"/>
            <w:vAlign w:val="bottom"/>
          </w:tcPr>
          <w:p>
            <w:pPr>
              <w:jc w:val="right"/>
              <w:ind w:right="208"/>
              <w:spacing w:after="0"/>
              <w:rPr>
                <w:sz w:val="20"/>
                <w:szCs w:val="20"/>
                <w:color w:val="auto"/>
              </w:rPr>
            </w:pPr>
            <w:r>
              <w:rPr>
                <w:rFonts w:ascii="Arial" w:cs="Arial" w:eastAsia="Arial" w:hAnsi="Arial"/>
                <w:sz w:val="14"/>
                <w:szCs w:val="14"/>
                <w:color w:val="auto"/>
              </w:rPr>
              <w:t>576</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6680" w:type="dxa"/>
            <w:vAlign w:val="bottom"/>
          </w:tcPr>
          <w:p>
            <w:pPr>
              <w:spacing w:after="0"/>
              <w:rPr>
                <w:sz w:val="20"/>
                <w:szCs w:val="20"/>
                <w:color w:val="auto"/>
              </w:rPr>
            </w:pPr>
            <w:r>
              <w:rPr>
                <w:rFonts w:ascii="Arial" w:cs="Arial" w:eastAsia="Arial" w:hAnsi="Arial"/>
                <w:sz w:val="14"/>
                <w:szCs w:val="14"/>
                <w:color w:val="auto"/>
              </w:rPr>
              <w:t>Pro forma net income (loss)</w:t>
            </w:r>
          </w:p>
        </w:tc>
        <w:tc>
          <w:tcPr>
            <w:tcW w:w="6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(1,043)</w:t>
            </w:r>
          </w:p>
        </w:tc>
        <w:tc>
          <w:tcPr>
            <w:tcW w:w="26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4,774</w:t>
            </w:r>
          </w:p>
        </w:tc>
        <w:tc>
          <w:tcPr>
            <w:tcW w:w="2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20"/>
                <w:szCs w:val="20"/>
                <w:color w:val="auto"/>
              </w:rPr>
            </w:pPr>
            <w:r>
              <w:rPr>
                <w:rFonts w:ascii="Arial" w:cs="Arial" w:eastAsia="Arial" w:hAnsi="Arial"/>
                <w:sz w:val="14"/>
                <w:szCs w:val="14"/>
                <w:b w:val="1"/>
                <w:bCs w:val="1"/>
                <w:color w:val="auto"/>
              </w:rPr>
              <w:t>CONSOLIDATED BALANCE SHEETS</w:t>
            </w:r>
          </w:p>
        </w:tc>
        <w:tc>
          <w:tcPr>
            <w:tcW w:w="280" w:type="dxa"/>
            <w:vAlign w:val="bottom"/>
          </w:tcPr>
          <w:p>
            <w:pPr>
              <w:spacing w:after="0"/>
              <w:rPr>
                <w:sz w:val="15"/>
                <w:szCs w:val="15"/>
                <w:color w:val="auto"/>
              </w:rPr>
            </w:pPr>
          </w:p>
        </w:tc>
        <w:tc>
          <w:tcPr>
            <w:tcW w:w="1160" w:type="dxa"/>
            <w:vAlign w:val="bottom"/>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5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(Amounts 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39"/>
        </w:trPr>
        <w:tc>
          <w:tcPr>
            <w:tcW w:w="78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67,916</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47,003</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140,396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185,885</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Inventories–merchandise</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56,830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60,813</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4,096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4,244</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Income taxes receivable</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4,530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181"/>
        </w:trPr>
        <w:tc>
          <w:tcPr>
            <w:tcW w:w="786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3,698</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64"/>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current assets</w:t>
            </w:r>
          </w:p>
        </w:tc>
        <w:tc>
          <w:tcPr>
            <w:tcW w:w="28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277,466</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303,019</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25,124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24,483</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48,060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48,060</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1,952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181"/>
        </w:trPr>
        <w:tc>
          <w:tcPr>
            <w:tcW w:w="7860" w:type="dxa"/>
            <w:vAlign w:val="bottom"/>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9"/>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352,992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378,167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860" w:type="dxa"/>
            <w:vAlign w:val="bottom"/>
          </w:tcPr>
          <w:p>
            <w:pPr>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Current maturities of capital lease obligation to affiliate</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718</w:t>
            </w:r>
          </w:p>
        </w:tc>
        <w:tc>
          <w:tcPr>
            <w:tcW w:w="5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78,909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101,783</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18,051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19,993</w:t>
            </w:r>
          </w:p>
        </w:tc>
        <w:tc>
          <w:tcPr>
            <w:tcW w:w="0" w:type="dxa"/>
            <w:vAlign w:val="bottom"/>
          </w:tcPr>
          <w:p>
            <w:pPr>
              <w:spacing w:after="0"/>
              <w:rPr>
                <w:sz w:val="1"/>
                <w:szCs w:val="1"/>
                <w:color w:val="auto"/>
              </w:rPr>
            </w:pPr>
          </w:p>
        </w:tc>
      </w:tr>
      <w:tr>
        <w:trPr>
          <w:trHeight w:val="181"/>
        </w:trPr>
        <w:tc>
          <w:tcPr>
            <w:tcW w:w="7860" w:type="dxa"/>
            <w:vAlign w:val="bottom"/>
          </w:tcPr>
          <w:p>
            <w:pPr>
              <w:ind w:left="220"/>
              <w:spacing w:after="0"/>
              <w:rPr>
                <w:sz w:val="20"/>
                <w:szCs w:val="20"/>
                <w:color w:val="auto"/>
              </w:rPr>
            </w:pPr>
            <w:r>
              <w:rPr>
                <w:rFonts w:ascii="Arial" w:cs="Arial" w:eastAsia="Arial" w:hAnsi="Arial"/>
                <w:sz w:val="14"/>
                <w:szCs w:val="14"/>
                <w:color w:val="auto"/>
              </w:rPr>
              <w:t>Accrued payroll</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6,789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6,337</w:t>
            </w:r>
          </w:p>
        </w:tc>
        <w:tc>
          <w:tcPr>
            <w:tcW w:w="0" w:type="dxa"/>
            <w:vAlign w:val="bottom"/>
          </w:tcPr>
          <w:p>
            <w:pPr>
              <w:spacing w:after="0"/>
              <w:rPr>
                <w:sz w:val="1"/>
                <w:szCs w:val="1"/>
                <w:color w:val="auto"/>
              </w:rPr>
            </w:pPr>
          </w:p>
        </w:tc>
      </w:tr>
      <w:tr>
        <w:trPr>
          <w:trHeight w:val="164"/>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current liabilities</w:t>
            </w:r>
          </w:p>
        </w:tc>
        <w:tc>
          <w:tcPr>
            <w:tcW w:w="28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104,467</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128,812</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Capital lease obligation to affiliate, less current maturities</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3,423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3,610</w:t>
            </w:r>
          </w:p>
        </w:tc>
        <w:tc>
          <w:tcPr>
            <w:tcW w:w="0" w:type="dxa"/>
            <w:vAlign w:val="bottom"/>
          </w:tcPr>
          <w:p>
            <w:pPr>
              <w:spacing w:after="0"/>
              <w:rPr>
                <w:sz w:val="1"/>
                <w:szCs w:val="1"/>
                <w:color w:val="auto"/>
              </w:rPr>
            </w:pPr>
          </w:p>
        </w:tc>
      </w:tr>
      <w:tr>
        <w:trPr>
          <w:trHeight w:val="176"/>
        </w:trPr>
        <w:tc>
          <w:tcPr>
            <w:tcW w:w="78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7,130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81"/>
        </w:trPr>
        <w:tc>
          <w:tcPr>
            <w:tcW w:w="7860" w:type="dxa"/>
            <w:vAlign w:val="bottom"/>
          </w:tcPr>
          <w:p>
            <w:pPr>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4,073</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169"/>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Liabilities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119,093</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142,843</w:t>
            </w:r>
          </w:p>
        </w:tc>
        <w:tc>
          <w:tcPr>
            <w:tcW w:w="0" w:type="dxa"/>
            <w:vAlign w:val="bottom"/>
          </w:tcPr>
          <w:p>
            <w:pPr>
              <w:spacing w:after="0"/>
              <w:rPr>
                <w:sz w:val="1"/>
                <w:szCs w:val="1"/>
                <w:color w:val="auto"/>
              </w:rPr>
            </w:pPr>
          </w:p>
        </w:tc>
      </w:tr>
      <w:tr>
        <w:trPr>
          <w:trHeight w:val="164"/>
        </w:trPr>
        <w:tc>
          <w:tcPr>
            <w:tcW w:w="7860" w:type="dxa"/>
            <w:vAlign w:val="bottom"/>
          </w:tcPr>
          <w:p>
            <w:pPr>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273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96,297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95,997</w:t>
            </w:r>
          </w:p>
        </w:tc>
        <w:tc>
          <w:tcPr>
            <w:tcW w:w="0" w:type="dxa"/>
            <w:vAlign w:val="bottom"/>
          </w:tcPr>
          <w:p>
            <w:pPr>
              <w:spacing w:after="0"/>
              <w:rPr>
                <w:sz w:val="1"/>
                <w:szCs w:val="1"/>
                <w:color w:val="auto"/>
              </w:rPr>
            </w:pPr>
          </w:p>
        </w:tc>
      </w:tr>
      <w:tr>
        <w:trPr>
          <w:trHeight w:val="176"/>
        </w:trPr>
        <w:tc>
          <w:tcPr>
            <w:tcW w:w="78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140,717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color w:val="auto"/>
              </w:rPr>
              <w:t>142,336</w:t>
            </w:r>
          </w:p>
        </w:tc>
        <w:tc>
          <w:tcPr>
            <w:tcW w:w="0" w:type="dxa"/>
            <w:vAlign w:val="bottom"/>
          </w:tcPr>
          <w:p>
            <w:pPr>
              <w:spacing w:after="0"/>
              <w:rPr>
                <w:sz w:val="1"/>
                <w:szCs w:val="1"/>
                <w:color w:val="auto"/>
              </w:rPr>
            </w:pPr>
          </w:p>
        </w:tc>
      </w:tr>
      <w:tr>
        <w:trPr>
          <w:trHeight w:val="181"/>
        </w:trPr>
        <w:tc>
          <w:tcPr>
            <w:tcW w:w="7860" w:type="dxa"/>
            <w:vAlign w:val="bottom"/>
          </w:tcPr>
          <w:p>
            <w:pPr>
              <w:ind w:left="220"/>
              <w:spacing w:after="0"/>
              <w:rPr>
                <w:sz w:val="20"/>
                <w:szCs w:val="20"/>
                <w:color w:val="auto"/>
              </w:rPr>
            </w:pPr>
            <w:r>
              <w:rPr>
                <w:rFonts w:ascii="Arial" w:cs="Arial" w:eastAsia="Arial" w:hAnsi="Arial"/>
                <w:sz w:val="14"/>
                <w:szCs w:val="14"/>
                <w:color w:val="auto"/>
              </w:rPr>
              <w:t>Treasury stock at cost</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(3,388)</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(3,282)</w:t>
            </w:r>
          </w:p>
        </w:tc>
        <w:tc>
          <w:tcPr>
            <w:tcW w:w="0" w:type="dxa"/>
            <w:vAlign w:val="bottom"/>
          </w:tcPr>
          <w:p>
            <w:pPr>
              <w:spacing w:after="0"/>
              <w:rPr>
                <w:sz w:val="1"/>
                <w:szCs w:val="1"/>
                <w:color w:val="auto"/>
              </w:rPr>
            </w:pPr>
          </w:p>
        </w:tc>
      </w:tr>
      <w:tr>
        <w:trPr>
          <w:trHeight w:val="169"/>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Stockholders’ Equity</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233,899</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169"/>
        </w:trPr>
        <w:tc>
          <w:tcPr>
            <w:tcW w:w="7860" w:type="dxa"/>
            <w:vAlign w:val="bottom"/>
          </w:tcPr>
          <w:p>
            <w:pPr>
              <w:ind w:left="420"/>
              <w:spacing w:after="0"/>
              <w:rPr>
                <w:sz w:val="20"/>
                <w:szCs w:val="20"/>
                <w:color w:val="auto"/>
              </w:rPr>
            </w:pPr>
            <w:r>
              <w:rPr>
                <w:rFonts w:ascii="Arial" w:cs="Arial" w:eastAsia="Arial" w:hAnsi="Arial"/>
                <w:sz w:val="14"/>
                <w:szCs w:val="14"/>
                <w:b w:val="1"/>
                <w:bCs w:val="1"/>
                <w:color w:val="auto"/>
              </w:rPr>
              <w:t>Total Liabilities and Stockholders’ Equity</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352,992</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378,167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 2009 (Amounts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Common Stock</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w w:val="88"/>
              </w:rPr>
              <w:t>Treasury Stock</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line="20" w:lineRule="exact"/>
              <w:rPr>
                <w:sz w:val="1"/>
                <w:szCs w:val="1"/>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3"/>
        </w:trPr>
        <w:tc>
          <w:tcPr>
            <w:tcW w:w="4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120" w:type="dxa"/>
            <w:vAlign w:val="bottom"/>
          </w:tcPr>
          <w:p>
            <w:pPr>
              <w:spacing w:after="0"/>
              <w:rPr>
                <w:sz w:val="20"/>
                <w:szCs w:val="20"/>
                <w:color w:val="auto"/>
              </w:rPr>
            </w:pPr>
            <w:r>
              <w:rPr>
                <w:rFonts w:ascii="Arial" w:cs="Arial" w:eastAsia="Arial" w:hAnsi="Arial"/>
                <w:sz w:val="14"/>
                <w:szCs w:val="14"/>
                <w:b w:val="1"/>
                <w:bCs w:val="1"/>
                <w:color w:val="auto"/>
              </w:rPr>
              <w:t>Balance – December 31, 2008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27,326</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273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95,997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142,336</w:t>
            </w:r>
          </w:p>
        </w:tc>
        <w:tc>
          <w:tcPr>
            <w:tcW w:w="820" w:type="dxa"/>
            <w:vAlign w:val="bottom"/>
            <w:gridSpan w:val="5"/>
          </w:tcPr>
          <w:p>
            <w:pPr>
              <w:jc w:val="right"/>
              <w:ind w:right="2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(3,282)</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235,324</w:t>
            </w:r>
          </w:p>
        </w:tc>
        <w:tc>
          <w:tcPr>
            <w:tcW w:w="0" w:type="dxa"/>
            <w:vAlign w:val="bottom"/>
          </w:tcPr>
          <w:p>
            <w:pPr>
              <w:spacing w:after="0"/>
              <w:rPr>
                <w:sz w:val="1"/>
                <w:szCs w:val="1"/>
                <w:color w:val="auto"/>
              </w:rPr>
            </w:pPr>
          </w:p>
        </w:tc>
      </w:tr>
      <w:tr>
        <w:trPr>
          <w:trHeight w:val="351"/>
        </w:trPr>
        <w:tc>
          <w:tcPr>
            <w:tcW w:w="4120" w:type="dxa"/>
            <w:vAlign w:val="bottom"/>
          </w:tcPr>
          <w:p>
            <w:pPr>
              <w:spacing w:after="0"/>
              <w:rPr>
                <w:sz w:val="20"/>
                <w:szCs w:val="20"/>
                <w:color w:val="auto"/>
              </w:rPr>
            </w:pPr>
            <w:r>
              <w:rPr>
                <w:rFonts w:ascii="Arial" w:cs="Arial" w:eastAsia="Arial" w:hAnsi="Arial"/>
                <w:sz w:val="14"/>
                <w:szCs w:val="14"/>
                <w:color w:val="auto"/>
              </w:rPr>
              <w:t>Stock compensation expense</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351"/>
        </w:trPr>
        <w:tc>
          <w:tcPr>
            <w:tcW w:w="4120" w:type="dxa"/>
            <w:vAlign w:val="bottom"/>
          </w:tcPr>
          <w:p>
            <w:pPr>
              <w:spacing w:after="0"/>
              <w:rPr>
                <w:sz w:val="20"/>
                <w:szCs w:val="20"/>
                <w:color w:val="auto"/>
              </w:rPr>
            </w:pPr>
            <w:r>
              <w:rPr>
                <w:rFonts w:ascii="Arial" w:cs="Arial" w:eastAsia="Arial" w:hAnsi="Arial"/>
                <w:sz w:val="14"/>
                <w:szCs w:val="14"/>
                <w:color w:val="auto"/>
              </w:rPr>
              <w:t>Repurchase of common stock for Treasury</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5"/>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50"/>
        </w:trPr>
        <w:tc>
          <w:tcPr>
            <w:tcW w:w="4120" w:type="dxa"/>
            <w:vAlign w:val="bottom"/>
          </w:tcPr>
          <w:p>
            <w:pPr>
              <w:spacing w:after="0"/>
              <w:rPr>
                <w:sz w:val="20"/>
                <w:szCs w:val="20"/>
                <w:color w:val="auto"/>
              </w:rPr>
            </w:pPr>
            <w:r>
              <w:rPr>
                <w:rFonts w:ascii="Arial" w:cs="Arial" w:eastAsia="Arial" w:hAnsi="Arial"/>
                <w:sz w:val="14"/>
                <w:szCs w:val="14"/>
                <w:color w:val="auto"/>
              </w:rPr>
              <w:t>Net loss</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(1,619)</w:t>
            </w:r>
          </w:p>
        </w:tc>
        <w:tc>
          <w:tcPr>
            <w:tcW w:w="72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20" w:type="dxa"/>
            <w:vAlign w:val="bottom"/>
          </w:tcPr>
          <w:p>
            <w:pPr>
              <w:spacing w:after="0"/>
              <w:rPr>
                <w:sz w:val="20"/>
                <w:szCs w:val="20"/>
                <w:color w:val="auto"/>
              </w:rPr>
            </w:pPr>
            <w:r>
              <w:rPr>
                <w:rFonts w:ascii="Arial" w:cs="Arial" w:eastAsia="Arial" w:hAnsi="Arial"/>
                <w:sz w:val="14"/>
                <w:szCs w:val="14"/>
                <w:b w:val="1"/>
                <w:bCs w:val="1"/>
                <w:color w:val="auto"/>
              </w:rPr>
              <w:t>Balance – March 31, 2009</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27,326</w:t>
            </w:r>
          </w:p>
        </w:tc>
        <w:tc>
          <w:tcPr>
            <w:tcW w:w="12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273</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96,297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140,717</w:t>
            </w:r>
          </w:p>
        </w:tc>
        <w:tc>
          <w:tcPr>
            <w:tcW w:w="82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(528)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(3,388)</w:t>
            </w:r>
          </w:p>
        </w:tc>
        <w:tc>
          <w:tcPr>
            <w:tcW w:w="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233,899</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CASH FLOWS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Three Months Ended March 31, (Amounts in thousands)</w:t>
            </w: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2009</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46"/>
        </w:trPr>
        <w:tc>
          <w:tcPr>
            <w:tcW w:w="412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12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gridSpan w:val="6"/>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(1,619)</w:t>
            </w:r>
          </w:p>
        </w:tc>
        <w:tc>
          <w:tcPr>
            <w:tcW w:w="3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4,774</w:t>
            </w:r>
          </w:p>
        </w:tc>
        <w:tc>
          <w:tcPr>
            <w:tcW w:w="0" w:type="dxa"/>
            <w:vAlign w:val="bottom"/>
          </w:tcPr>
          <w:p>
            <w:pPr>
              <w:spacing w:after="0"/>
              <w:rPr>
                <w:sz w:val="1"/>
                <w:szCs w:val="1"/>
                <w:color w:val="auto"/>
              </w:rPr>
            </w:pPr>
          </w:p>
        </w:tc>
      </w:tr>
      <w:tr>
        <w:trPr>
          <w:trHeight w:val="182"/>
        </w:trPr>
        <w:tc>
          <w:tcPr>
            <w:tcW w:w="5380" w:type="dxa"/>
            <w:vAlign w:val="bottom"/>
            <w:gridSpan w:val="5"/>
          </w:tcPr>
          <w:p>
            <w:pPr>
              <w:ind w:left="140"/>
              <w:spacing w:after="0"/>
              <w:rPr>
                <w:sz w:val="20"/>
                <w:szCs w:val="20"/>
                <w:color w:val="auto"/>
              </w:rPr>
            </w:pPr>
            <w:r>
              <w:rPr>
                <w:rFonts w:ascii="Arial" w:cs="Arial" w:eastAsia="Arial" w:hAnsi="Arial"/>
                <w:sz w:val="14"/>
                <w:szCs w:val="14"/>
                <w:color w:val="auto"/>
                <w:w w:val="97"/>
              </w:rPr>
              <w:t>Adjustments to reconcile net income (loss) to net cash provided by operating activities: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1,810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Provision for doubtful accounts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1,095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Stock compensation expense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Income tax benefits from exercise of stock options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2"/>
        </w:trPr>
        <w:tc>
          <w:tcPr>
            <w:tcW w:w="4120" w:type="dxa"/>
            <w:vAlign w:val="bottom"/>
          </w:tcPr>
          <w:p>
            <w:pPr>
              <w:ind w:left="340"/>
              <w:spacing w:after="0"/>
              <w:rPr>
                <w:sz w:val="20"/>
                <w:szCs w:val="20"/>
                <w:color w:val="auto"/>
              </w:rPr>
            </w:pPr>
            <w:r>
              <w:rPr>
                <w:rFonts w:ascii="Arial" w:cs="Arial" w:eastAsia="Arial" w:hAnsi="Arial"/>
                <w:sz w:val="14"/>
                <w:szCs w:val="14"/>
                <w:color w:val="auto"/>
              </w:rPr>
              <w:t>Excess tax benefit from exercise of stock options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44"/>
        </w:trPr>
        <w:tc>
          <w:tcPr>
            <w:tcW w:w="4120" w:type="dxa"/>
            <w:vAlign w:val="bottom"/>
          </w:tcPr>
          <w:p>
            <w:pPr>
              <w:ind w:left="140"/>
              <w:spacing w:after="0"/>
              <w:rPr>
                <w:sz w:val="20"/>
                <w:szCs w:val="20"/>
                <w:color w:val="auto"/>
              </w:rPr>
            </w:pPr>
            <w:r>
              <w:rPr>
                <w:rFonts w:ascii="Arial" w:cs="Arial" w:eastAsia="Arial" w:hAnsi="Arial"/>
                <w:sz w:val="14"/>
                <w:szCs w:val="14"/>
                <w:color w:val="auto"/>
              </w:rPr>
              <w:t>Changes in assets and liabilities: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44,632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23,344</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3,983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10,420</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(3,154)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(1,078)</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Other non-current assets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412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(23,169)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(25,180)</w:t>
            </w:r>
          </w:p>
        </w:tc>
        <w:tc>
          <w:tcPr>
            <w:tcW w:w="0" w:type="dxa"/>
            <w:vAlign w:val="bottom"/>
          </w:tcPr>
          <w:p>
            <w:pPr>
              <w:spacing w:after="0"/>
              <w:rPr>
                <w:sz w:val="1"/>
                <w:szCs w:val="1"/>
                <w:color w:val="auto"/>
              </w:rPr>
            </w:pPr>
          </w:p>
        </w:tc>
      </w:tr>
      <w:tr>
        <w:trPr>
          <w:trHeight w:val="181"/>
        </w:trPr>
        <w:tc>
          <w:tcPr>
            <w:tcW w:w="4120" w:type="dxa"/>
            <w:vAlign w:val="bottom"/>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(1,655)</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(5,284)</w:t>
            </w:r>
          </w:p>
        </w:tc>
        <w:tc>
          <w:tcPr>
            <w:tcW w:w="0" w:type="dxa"/>
            <w:vAlign w:val="bottom"/>
          </w:tcPr>
          <w:p>
            <w:pPr>
              <w:spacing w:after="0"/>
              <w:rPr>
                <w:sz w:val="1"/>
                <w:szCs w:val="1"/>
                <w:color w:val="auto"/>
              </w:rPr>
            </w:pPr>
          </w:p>
        </w:tc>
      </w:tr>
      <w:tr>
        <w:trPr>
          <w:trHeight w:val="169"/>
        </w:trPr>
        <w:tc>
          <w:tcPr>
            <w:tcW w:w="412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23,075</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10,710</w:t>
            </w:r>
          </w:p>
        </w:tc>
        <w:tc>
          <w:tcPr>
            <w:tcW w:w="0" w:type="dxa"/>
            <w:vAlign w:val="bottom"/>
          </w:tcPr>
          <w:p>
            <w:pPr>
              <w:spacing w:after="0"/>
              <w:rPr>
                <w:sz w:val="1"/>
                <w:szCs w:val="1"/>
                <w:color w:val="auto"/>
              </w:rPr>
            </w:pPr>
          </w:p>
        </w:tc>
      </w:tr>
      <w:tr>
        <w:trPr>
          <w:trHeight w:val="522"/>
        </w:trPr>
        <w:tc>
          <w:tcPr>
            <w:tcW w:w="41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120" w:type="dxa"/>
            <w:vAlign w:val="bottom"/>
          </w:tcPr>
          <w:p>
            <w:pPr>
              <w:ind w:left="22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(1,888)</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69"/>
        </w:trPr>
        <w:tc>
          <w:tcPr>
            <w:tcW w:w="4120" w:type="dxa"/>
            <w:vAlign w:val="bottom"/>
          </w:tcPr>
          <w:p>
            <w:pPr>
              <w:ind w:left="220"/>
              <w:spacing w:after="0"/>
              <w:rPr>
                <w:sz w:val="20"/>
                <w:szCs w:val="20"/>
                <w:color w:val="auto"/>
              </w:rPr>
            </w:pPr>
            <w:r>
              <w:rPr>
                <w:rFonts w:ascii="Arial" w:cs="Arial" w:eastAsia="Arial" w:hAnsi="Arial"/>
                <w:sz w:val="14"/>
                <w:szCs w:val="14"/>
                <w:color w:val="auto"/>
              </w:rPr>
              <w:t>Net cash used for investing activities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(1,888)</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522"/>
        </w:trPr>
        <w:tc>
          <w:tcPr>
            <w:tcW w:w="41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120" w:type="dxa"/>
            <w:vAlign w:val="bottom"/>
          </w:tcPr>
          <w:p>
            <w:pPr>
              <w:ind w:left="220"/>
              <w:spacing w:after="0"/>
              <w:rPr>
                <w:sz w:val="20"/>
                <w:szCs w:val="20"/>
                <w:color w:val="auto"/>
              </w:rPr>
            </w:pPr>
            <w:r>
              <w:rPr>
                <w:rFonts w:ascii="Arial" w:cs="Arial" w:eastAsia="Arial" w:hAnsi="Arial"/>
                <w:sz w:val="14"/>
                <w:szCs w:val="14"/>
                <w:color w:val="auto"/>
              </w:rPr>
              <w:t>Proceeds from short-term borrowings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28,815</w:t>
            </w:r>
          </w:p>
        </w:tc>
        <w:tc>
          <w:tcPr>
            <w:tcW w:w="0" w:type="dxa"/>
            <w:vAlign w:val="bottom"/>
          </w:tcPr>
          <w:p>
            <w:pPr>
              <w:spacing w:after="0"/>
              <w:rPr>
                <w:sz w:val="1"/>
                <w:szCs w:val="1"/>
                <w:color w:val="auto"/>
              </w:rPr>
            </w:pPr>
          </w:p>
        </w:tc>
      </w:tr>
      <w:tr>
        <w:trPr>
          <w:trHeight w:val="176"/>
        </w:trPr>
        <w:tc>
          <w:tcPr>
            <w:tcW w:w="4120" w:type="dxa"/>
            <w:vAlign w:val="bottom"/>
          </w:tcPr>
          <w:p>
            <w:pPr>
              <w:ind w:left="220"/>
              <w:spacing w:after="0"/>
              <w:rPr>
                <w:sz w:val="20"/>
                <w:szCs w:val="20"/>
                <w:color w:val="auto"/>
              </w:rPr>
            </w:pPr>
            <w:r>
              <w:rPr>
                <w:rFonts w:ascii="Arial" w:cs="Arial" w:eastAsia="Arial" w:hAnsi="Arial"/>
                <w:sz w:val="14"/>
                <w:szCs w:val="14"/>
                <w:color w:val="auto"/>
              </w:rPr>
              <w:t>Repayment of short-term borrowings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(28,815)</w:t>
            </w:r>
          </w:p>
        </w:tc>
        <w:tc>
          <w:tcPr>
            <w:tcW w:w="0" w:type="dxa"/>
            <w:vAlign w:val="bottom"/>
          </w:tcPr>
          <w:p>
            <w:pPr>
              <w:spacing w:after="0"/>
              <w:rPr>
                <w:sz w:val="1"/>
                <w:szCs w:val="1"/>
                <w:color w:val="auto"/>
              </w:rPr>
            </w:pPr>
          </w:p>
        </w:tc>
      </w:tr>
      <w:tr>
        <w:trPr>
          <w:trHeight w:val="176"/>
        </w:trPr>
        <w:tc>
          <w:tcPr>
            <w:tcW w:w="4120" w:type="dxa"/>
            <w:vAlign w:val="bottom"/>
          </w:tcPr>
          <w:p>
            <w:pPr>
              <w:ind w:left="220"/>
              <w:spacing w:after="0"/>
              <w:rPr>
                <w:sz w:val="20"/>
                <w:szCs w:val="20"/>
                <w:color w:val="auto"/>
              </w:rPr>
            </w:pPr>
            <w:r>
              <w:rPr>
                <w:rFonts w:ascii="Arial" w:cs="Arial" w:eastAsia="Arial" w:hAnsi="Arial"/>
                <w:sz w:val="14"/>
                <w:szCs w:val="14"/>
                <w:color w:val="auto"/>
              </w:rPr>
              <w:t>Repayment of capital lease obligation</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76"/>
        </w:trPr>
        <w:tc>
          <w:tcPr>
            <w:tcW w:w="4120" w:type="dxa"/>
            <w:vAlign w:val="bottom"/>
          </w:tcPr>
          <w:p>
            <w:pPr>
              <w:ind w:left="220"/>
              <w:spacing w:after="0"/>
              <w:rPr>
                <w:sz w:val="20"/>
                <w:szCs w:val="20"/>
                <w:color w:val="auto"/>
              </w:rPr>
            </w:pPr>
            <w:r>
              <w:rPr>
                <w:rFonts w:ascii="Arial" w:cs="Arial" w:eastAsia="Arial" w:hAnsi="Arial"/>
                <w:sz w:val="14"/>
                <w:szCs w:val="14"/>
                <w:color w:val="auto"/>
              </w:rPr>
              <w:t>Purchase of treasury shares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76"/>
        </w:trPr>
        <w:tc>
          <w:tcPr>
            <w:tcW w:w="412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rPr>
                <w:sz w:val="20"/>
                <w:szCs w:val="20"/>
                <w:color w:val="auto"/>
              </w:rPr>
            </w:pPr>
            <w:r>
              <w:rPr>
                <w:rFonts w:ascii="Arial" w:cs="Arial" w:eastAsia="Arial" w:hAnsi="Arial"/>
                <w:sz w:val="14"/>
                <w:szCs w:val="14"/>
                <w:color w:val="auto"/>
              </w:rPr>
              <w:t>Excess tax benefit from exercise of stock options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4120" w:type="dxa"/>
            <w:vAlign w:val="bottom"/>
          </w:tcPr>
          <w:p>
            <w:pPr>
              <w:ind w:left="220"/>
              <w:spacing w:after="0"/>
              <w:rPr>
                <w:sz w:val="20"/>
                <w:szCs w:val="20"/>
                <w:color w:val="auto"/>
              </w:rPr>
            </w:pPr>
            <w:r>
              <w:rPr>
                <w:rFonts w:ascii="Arial" w:cs="Arial" w:eastAsia="Arial" w:hAnsi="Arial"/>
                <w:sz w:val="14"/>
                <w:szCs w:val="14"/>
                <w:color w:val="auto"/>
              </w:rPr>
              <w:t>Net cash used for financing activities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64"/>
        </w:trPr>
        <w:tc>
          <w:tcPr>
            <w:tcW w:w="4120" w:type="dxa"/>
            <w:vAlign w:val="bottom"/>
          </w:tcPr>
          <w:p>
            <w:pPr>
              <w:ind w:left="220"/>
              <w:spacing w:after="0"/>
              <w:rPr>
                <w:sz w:val="20"/>
                <w:szCs w:val="20"/>
                <w:color w:val="auto"/>
              </w:rPr>
            </w:pPr>
            <w:r>
              <w:rPr>
                <w:rFonts w:ascii="Arial" w:cs="Arial" w:eastAsia="Arial" w:hAnsi="Arial"/>
                <w:sz w:val="14"/>
                <w:szCs w:val="14"/>
                <w:color w:val="auto"/>
              </w:rPr>
              <w:t>Increase in cash and cash equivalents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20,913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6,747</w:t>
            </w:r>
          </w:p>
        </w:tc>
        <w:tc>
          <w:tcPr>
            <w:tcW w:w="0" w:type="dxa"/>
            <w:vAlign w:val="bottom"/>
          </w:tcPr>
          <w:p>
            <w:pPr>
              <w:spacing w:after="0"/>
              <w:rPr>
                <w:sz w:val="1"/>
                <w:szCs w:val="1"/>
                <w:color w:val="auto"/>
              </w:rPr>
            </w:pPr>
          </w:p>
        </w:tc>
      </w:tr>
      <w:tr>
        <w:trPr>
          <w:trHeight w:val="181"/>
        </w:trPr>
        <w:tc>
          <w:tcPr>
            <w:tcW w:w="4120" w:type="dxa"/>
            <w:vAlign w:val="bottom"/>
          </w:tcPr>
          <w:p>
            <w:pPr>
              <w:ind w:left="2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47,003</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13,741</w:t>
            </w:r>
          </w:p>
        </w:tc>
        <w:tc>
          <w:tcPr>
            <w:tcW w:w="0" w:type="dxa"/>
            <w:vAlign w:val="bottom"/>
          </w:tcPr>
          <w:p>
            <w:pPr>
              <w:spacing w:after="0"/>
              <w:rPr>
                <w:sz w:val="1"/>
                <w:szCs w:val="1"/>
                <w:color w:val="auto"/>
              </w:rPr>
            </w:pPr>
          </w:p>
        </w:tc>
      </w:tr>
      <w:tr>
        <w:trPr>
          <w:trHeight w:val="169"/>
        </w:trPr>
        <w:tc>
          <w:tcPr>
            <w:tcW w:w="4120" w:type="dxa"/>
            <w:vAlign w:val="bottom"/>
          </w:tcPr>
          <w:p>
            <w:pPr>
              <w:ind w:left="2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67,916</w:t>
            </w:r>
          </w:p>
        </w:tc>
        <w:tc>
          <w:tcPr>
            <w:tcW w:w="8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20,488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PC Connection, Inc.</w:t>
      </w:r>
    </w:p>
    <w:p>
      <w:pPr>
        <w:spacing w:after="0" w:line="230" w:lineRule="auto"/>
        <w:rPr>
          <w:sz w:val="20"/>
          <w:szCs w:val="20"/>
          <w:color w:val="auto"/>
        </w:rPr>
      </w:pPr>
      <w:r>
        <w:rPr>
          <w:rFonts w:ascii="Arial" w:cs="Arial" w:eastAsia="Arial" w:hAnsi="Arial"/>
          <w:sz w:val="22"/>
          <w:szCs w:val="22"/>
          <w:color w:val="auto"/>
        </w:rPr>
        <w:t>Stephen Baldridge, 603-683-2322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Sr. Vice President of Finance &amp; Corporate Controller</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2019-12-10T16:45:53Z</dcterms:created>
  <dcterms:modified xsi:type="dcterms:W3CDTF">2019-12-10T16:45:53Z</dcterms:modified>
</cp:coreProperties>
</file>