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color w:val="auto"/>
        </w:rPr>
        <w:t>UNITED STATES</w:t>
      </w:r>
    </w:p>
    <w:p>
      <w:pPr>
        <w:jc w:val="center"/>
        <w:spacing w:after="0" w:line="238" w:lineRule="auto"/>
        <w:rPr>
          <w:sz w:val="20"/>
          <w:szCs w:val="20"/>
          <w:color w:val="auto"/>
        </w:rPr>
      </w:pPr>
      <w:r>
        <w:rPr>
          <w:rFonts w:ascii="Arial" w:cs="Arial" w:eastAsia="Arial" w:hAnsi="Arial"/>
          <w:sz w:val="22"/>
          <w:szCs w:val="22"/>
          <w:color w:val="auto"/>
        </w:rPr>
        <w:t>SECURITIES AND EXCHANGE COMMISSION</w:t>
      </w:r>
    </w:p>
    <w:p>
      <w:pPr>
        <w:jc w:val="center"/>
        <w:spacing w:after="0" w:line="230" w:lineRule="auto"/>
        <w:rPr>
          <w:sz w:val="20"/>
          <w:szCs w:val="20"/>
          <w:color w:val="auto"/>
        </w:rPr>
      </w:pPr>
      <w:r>
        <w:rPr>
          <w:rFonts w:ascii="Arial" w:cs="Arial" w:eastAsia="Arial" w:hAnsi="Arial"/>
          <w:sz w:val="22"/>
          <w:szCs w:val="22"/>
          <w:color w:val="auto"/>
        </w:rPr>
        <w:t>WASHINGTON, D.C. 20549</w:t>
      </w:r>
    </w:p>
    <w:p>
      <w:pPr>
        <w:spacing w:after="0" w:line="1"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___________________________</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 8-K</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CURRENT REPORT</w:t>
      </w:r>
    </w:p>
    <w:p>
      <w:pPr>
        <w:jc w:val="center"/>
        <w:spacing w:after="0" w:line="238" w:lineRule="auto"/>
        <w:rPr>
          <w:sz w:val="20"/>
          <w:szCs w:val="20"/>
          <w:color w:val="auto"/>
        </w:rPr>
      </w:pPr>
      <w:r>
        <w:rPr>
          <w:rFonts w:ascii="Arial" w:cs="Arial" w:eastAsia="Arial" w:hAnsi="Arial"/>
          <w:sz w:val="22"/>
          <w:szCs w:val="22"/>
          <w:color w:val="auto"/>
        </w:rPr>
        <w:t>PURSUANT TO SECTION 13 OR 15(d) OF</w:t>
      </w:r>
    </w:p>
    <w:p>
      <w:pPr>
        <w:jc w:val="center"/>
        <w:spacing w:after="0"/>
        <w:rPr>
          <w:sz w:val="20"/>
          <w:szCs w:val="20"/>
          <w:color w:val="auto"/>
        </w:rPr>
      </w:pPr>
      <w:r>
        <w:rPr>
          <w:rFonts w:ascii="Arial" w:cs="Arial" w:eastAsia="Arial" w:hAnsi="Arial"/>
          <w:sz w:val="22"/>
          <w:szCs w:val="22"/>
          <w:color w:val="auto"/>
        </w:rPr>
        <w:t>THE SECURITIES EXCHANGE ACT OF 1934</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July 31, 2008</w:t>
      </w: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PC Connection,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0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2"/>
              </w:rPr>
              <w:t>Delaware</w:t>
            </w:r>
          </w:p>
        </w:tc>
        <w:tc>
          <w:tcPr>
            <w:tcW w:w="35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0-23827</w:t>
            </w:r>
          </w:p>
        </w:tc>
        <w:tc>
          <w:tcPr>
            <w:tcW w:w="38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1"/>
              </w:rPr>
              <w:t>02-0513618</w:t>
            </w:r>
          </w:p>
        </w:tc>
      </w:tr>
      <w:tr>
        <w:trPr>
          <w:trHeight w:val="215"/>
        </w:trPr>
        <w:tc>
          <w:tcPr>
            <w:tcW w:w="4000" w:type="dxa"/>
            <w:vAlign w:val="bottom"/>
          </w:tcPr>
          <w:p>
            <w:pPr>
              <w:jc w:val="center"/>
              <w:ind w:right="130"/>
              <w:spacing w:after="0"/>
              <w:rPr>
                <w:sz w:val="20"/>
                <w:szCs w:val="20"/>
                <w:color w:val="auto"/>
              </w:rPr>
            </w:pPr>
            <w:r>
              <w:rPr>
                <w:rFonts w:ascii="Arial" w:cs="Arial" w:eastAsia="Arial" w:hAnsi="Arial"/>
                <w:sz w:val="18"/>
                <w:szCs w:val="18"/>
                <w:color w:val="auto"/>
                <w:w w:val="91"/>
              </w:rPr>
              <w:t>(State or other juris-</w:t>
            </w:r>
          </w:p>
        </w:tc>
        <w:tc>
          <w:tcPr>
            <w:tcW w:w="3540" w:type="dxa"/>
            <w:vAlign w:val="bottom"/>
          </w:tcPr>
          <w:p>
            <w:pPr>
              <w:jc w:val="center"/>
              <w:ind w:right="30"/>
              <w:spacing w:after="0"/>
              <w:rPr>
                <w:sz w:val="20"/>
                <w:szCs w:val="20"/>
                <w:color w:val="auto"/>
              </w:rPr>
            </w:pPr>
            <w:r>
              <w:rPr>
                <w:rFonts w:ascii="Arial" w:cs="Arial" w:eastAsia="Arial" w:hAnsi="Arial"/>
                <w:sz w:val="18"/>
                <w:szCs w:val="18"/>
                <w:color w:val="auto"/>
                <w:w w:val="93"/>
              </w:rPr>
              <w:t>(Commission</w:t>
            </w:r>
          </w:p>
        </w:tc>
        <w:tc>
          <w:tcPr>
            <w:tcW w:w="3880" w:type="dxa"/>
            <w:vAlign w:val="bottom"/>
          </w:tcPr>
          <w:p>
            <w:pPr>
              <w:jc w:val="center"/>
              <w:ind w:left="10"/>
              <w:spacing w:after="0"/>
              <w:rPr>
                <w:sz w:val="20"/>
                <w:szCs w:val="20"/>
                <w:color w:val="auto"/>
              </w:rPr>
            </w:pPr>
            <w:r>
              <w:rPr>
                <w:rFonts w:ascii="Arial" w:cs="Arial" w:eastAsia="Arial" w:hAnsi="Arial"/>
                <w:sz w:val="18"/>
                <w:szCs w:val="18"/>
                <w:color w:val="auto"/>
                <w:w w:val="93"/>
              </w:rPr>
              <w:t>(IRS Employer</w:t>
            </w:r>
          </w:p>
        </w:tc>
      </w:tr>
      <w:tr>
        <w:trPr>
          <w:trHeight w:val="230"/>
        </w:trPr>
        <w:tc>
          <w:tcPr>
            <w:tcW w:w="4000" w:type="dxa"/>
            <w:vAlign w:val="bottom"/>
          </w:tcPr>
          <w:p>
            <w:pPr>
              <w:jc w:val="center"/>
              <w:ind w:right="130"/>
              <w:spacing w:after="0"/>
              <w:rPr>
                <w:sz w:val="20"/>
                <w:szCs w:val="20"/>
                <w:color w:val="auto"/>
              </w:rPr>
            </w:pPr>
            <w:r>
              <w:rPr>
                <w:rFonts w:ascii="Arial" w:cs="Arial" w:eastAsia="Arial" w:hAnsi="Arial"/>
                <w:sz w:val="18"/>
                <w:szCs w:val="18"/>
                <w:color w:val="auto"/>
                <w:w w:val="95"/>
              </w:rPr>
              <w:t>diction of incorporation)</w:t>
            </w:r>
          </w:p>
        </w:tc>
        <w:tc>
          <w:tcPr>
            <w:tcW w:w="354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3880" w:type="dxa"/>
            <w:vAlign w:val="bottom"/>
          </w:tcPr>
          <w:p>
            <w:pPr>
              <w:jc w:val="center"/>
              <w:ind w:left="10"/>
              <w:spacing w:after="0"/>
              <w:rPr>
                <w:sz w:val="20"/>
                <w:szCs w:val="20"/>
                <w:color w:val="auto"/>
              </w:rPr>
            </w:pPr>
            <w:r>
              <w:rPr>
                <w:rFonts w:ascii="Arial" w:cs="Arial" w:eastAsia="Arial" w:hAnsi="Arial"/>
                <w:sz w:val="18"/>
                <w:szCs w:val="18"/>
                <w:color w:val="auto"/>
                <w:w w:val="95"/>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Pr>
          <w:p>
            <w:pPr>
              <w:jc w:val="center"/>
              <w:ind w:right="410"/>
              <w:spacing w:after="0"/>
              <w:rPr>
                <w:sz w:val="20"/>
                <w:szCs w:val="20"/>
                <w:color w:val="auto"/>
              </w:rPr>
            </w:pPr>
            <w:r>
              <w:rPr>
                <w:rFonts w:ascii="Arial" w:cs="Arial" w:eastAsia="Arial" w:hAnsi="Arial"/>
                <w:sz w:val="18"/>
                <w:szCs w:val="18"/>
                <w:color w:val="auto"/>
                <w:w w:val="93"/>
              </w:rPr>
              <w:t>Rt. 101A, 730 Milford Road</w:t>
            </w:r>
          </w:p>
        </w:tc>
        <w:tc>
          <w:tcPr>
            <w:tcW w:w="5200" w:type="dxa"/>
            <w:vAlign w:val="bottom"/>
          </w:tcPr>
          <w:p>
            <w:pPr>
              <w:spacing w:after="0"/>
              <w:rPr>
                <w:sz w:val="18"/>
                <w:szCs w:val="18"/>
                <w:color w:val="auto"/>
              </w:rPr>
            </w:pPr>
          </w:p>
        </w:tc>
      </w:tr>
      <w:tr>
        <w:trPr>
          <w:trHeight w:val="237"/>
        </w:trPr>
        <w:tc>
          <w:tcPr>
            <w:tcW w:w="622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color w:val="auto"/>
                <w:w w:val="96"/>
              </w:rPr>
              <w:t>Merrimack, NH</w:t>
            </w:r>
          </w:p>
        </w:tc>
        <w:tc>
          <w:tcPr>
            <w:tcW w:w="5200" w:type="dxa"/>
            <w:vAlign w:val="bottom"/>
            <w:tcBorders>
              <w:bottom w:val="single" w:sz="8" w:color="auto"/>
            </w:tcBorders>
          </w:tcPr>
          <w:p>
            <w:pPr>
              <w:jc w:val="right"/>
              <w:ind w:right="2530"/>
              <w:spacing w:after="0"/>
              <w:rPr>
                <w:sz w:val="20"/>
                <w:szCs w:val="20"/>
                <w:color w:val="auto"/>
              </w:rPr>
            </w:pPr>
            <w:r>
              <w:rPr>
                <w:rFonts w:ascii="Arial" w:cs="Arial" w:eastAsia="Arial" w:hAnsi="Arial"/>
                <w:sz w:val="18"/>
                <w:szCs w:val="18"/>
                <w:color w:val="auto"/>
              </w:rPr>
              <w:t>03054</w:t>
            </w:r>
          </w:p>
        </w:tc>
      </w:tr>
      <w:tr>
        <w:trPr>
          <w:trHeight w:val="230"/>
        </w:trPr>
        <w:tc>
          <w:tcPr>
            <w:tcW w:w="6220" w:type="dxa"/>
            <w:vAlign w:val="bottom"/>
          </w:tcPr>
          <w:p>
            <w:pPr>
              <w:jc w:val="center"/>
              <w:ind w:right="430"/>
              <w:spacing w:after="0"/>
              <w:rPr>
                <w:sz w:val="20"/>
                <w:szCs w:val="20"/>
                <w:color w:val="auto"/>
              </w:rPr>
            </w:pPr>
            <w:r>
              <w:rPr>
                <w:rFonts w:ascii="Arial" w:cs="Arial" w:eastAsia="Arial" w:hAnsi="Arial"/>
                <w:sz w:val="18"/>
                <w:szCs w:val="18"/>
                <w:color w:val="auto"/>
                <w:w w:val="92"/>
              </w:rPr>
              <w:t>(Address of principal executive offices)</w:t>
            </w:r>
          </w:p>
        </w:tc>
        <w:tc>
          <w:tcPr>
            <w:tcW w:w="5200" w:type="dxa"/>
            <w:vAlign w:val="bottom"/>
          </w:tcPr>
          <w:p>
            <w:pPr>
              <w:jc w:val="center"/>
              <w:ind w:right="43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21"/>
          <w:szCs w:val="21"/>
          <w:color w:val="auto"/>
        </w:rPr>
        <w:t>(603) 683-2000</w:t>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309"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2" w:lineRule="exact"/>
        <w:rPr>
          <w:sz w:val="20"/>
          <w:szCs w:val="20"/>
          <w:color w:val="auto"/>
        </w:rPr>
      </w:pPr>
    </w:p>
    <w:p>
      <w:pPr>
        <w:ind w:firstLine="405"/>
        <w:spacing w:after="0" w:line="328" w:lineRule="auto"/>
        <w:rPr>
          <w:sz w:val="20"/>
          <w:szCs w:val="20"/>
          <w:color w:val="auto"/>
        </w:rPr>
      </w:pPr>
      <w:r>
        <w:rPr>
          <w:rFonts w:ascii="Arial" w:cs="Arial" w:eastAsia="Arial" w:hAnsi="Arial"/>
          <w:sz w:val="19"/>
          <w:szCs w:val="19"/>
          <w:color w:val="auto"/>
        </w:rPr>
        <w:t>On July 31, 2008, PC Connection, Inc. announced its financial results for the quarter ended June 30, 2008. The full text of the press release issued in connection with the announcement is furnished as Exhibit 99.1 to this Current Report on Form 8-K.</w:t>
      </w:r>
    </w:p>
    <w:p>
      <w:pPr>
        <w:spacing w:after="0" w:line="105" w:lineRule="exact"/>
        <w:rPr>
          <w:sz w:val="20"/>
          <w:szCs w:val="20"/>
          <w:color w:val="auto"/>
        </w:rPr>
      </w:pPr>
    </w:p>
    <w:p>
      <w:pPr>
        <w:ind w:right="80" w:firstLine="405"/>
        <w:spacing w:after="0" w:line="238" w:lineRule="auto"/>
        <w:rPr>
          <w:sz w:val="20"/>
          <w:szCs w:val="20"/>
          <w:color w:val="auto"/>
        </w:rPr>
      </w:pPr>
      <w:r>
        <w:rPr>
          <w:rFonts w:ascii="Arial" w:cs="Arial" w:eastAsia="Arial" w:hAnsi="Arial"/>
          <w:sz w:val="22"/>
          <w:szCs w:val="22"/>
          <w:color w:val="auto"/>
        </w:rPr>
        <w:t>The information in this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12" w:lineRule="exact"/>
        <w:rPr>
          <w:sz w:val="20"/>
          <w:szCs w:val="20"/>
          <w:color w:val="auto"/>
        </w:rPr>
      </w:pPr>
    </w:p>
    <w:p>
      <w:pPr>
        <w:ind w:left="940" w:hanging="527"/>
        <w:spacing w:after="0"/>
        <w:tabs>
          <w:tab w:leader="none" w:pos="940" w:val="left"/>
        </w:tabs>
        <w:numPr>
          <w:ilvl w:val="0"/>
          <w:numId w:val="1"/>
        </w:numPr>
        <w:rPr>
          <w:rFonts w:ascii="Arial" w:cs="Arial" w:eastAsia="Arial" w:hAnsi="Arial"/>
          <w:sz w:val="22"/>
          <w:szCs w:val="22"/>
          <w:color w:val="auto"/>
        </w:rPr>
      </w:pPr>
      <w:r>
        <w:rPr>
          <w:rFonts w:ascii="Arial" w:cs="Arial" w:eastAsia="Arial" w:hAnsi="Arial"/>
          <w:sz w:val="22"/>
          <w:szCs w:val="22"/>
          <w:color w:val="auto"/>
        </w:rPr>
        <w:t>Exhibits</w:t>
      </w:r>
    </w:p>
    <w:p>
      <w:pPr>
        <w:spacing w:after="0" w:line="206" w:lineRule="exact"/>
        <w:rPr>
          <w:sz w:val="20"/>
          <w:szCs w:val="20"/>
          <w:color w:val="auto"/>
        </w:rPr>
      </w:pPr>
    </w:p>
    <w:p>
      <w:pPr>
        <w:ind w:left="820"/>
        <w:spacing w:after="0"/>
        <w:rPr>
          <w:sz w:val="20"/>
          <w:szCs w:val="20"/>
          <w:color w:val="auto"/>
        </w:rPr>
      </w:pPr>
      <w:r>
        <w:rPr>
          <w:rFonts w:ascii="Arial" w:cs="Arial" w:eastAsia="Arial" w:hAnsi="Arial"/>
          <w:sz w:val="22"/>
          <w:szCs w:val="22"/>
          <w:color w:val="auto"/>
        </w:rPr>
        <w:t>The following exhibit relating to Item 2.02 shall be deemed to be furnished, and not filed:</w:t>
      </w:r>
    </w:p>
    <w:p>
      <w:pPr>
        <w:spacing w:after="0" w:line="206" w:lineRule="exact"/>
        <w:rPr>
          <w:sz w:val="20"/>
          <w:szCs w:val="20"/>
          <w:color w:val="auto"/>
        </w:rPr>
      </w:pPr>
    </w:p>
    <w:p>
      <w:pPr>
        <w:ind w:left="820"/>
        <w:spacing w:after="0"/>
        <w:tabs>
          <w:tab w:leader="none" w:pos="156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Press Release issued by PC Connection, Inc. on July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423545</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43" w:lineRule="exact"/>
        <w:rPr>
          <w:sz w:val="20"/>
          <w:szCs w:val="20"/>
          <w:color w:val="auto"/>
        </w:rPr>
      </w:pPr>
    </w:p>
    <w:p>
      <w:pPr>
        <w:spacing w:after="0"/>
        <w:tabs>
          <w:tab w:leader="none" w:pos="68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31, 2008</w:t>
      </w:r>
      <w:r>
        <w:rPr>
          <w:sz w:val="20"/>
          <w:szCs w:val="20"/>
          <w:color w:val="auto"/>
        </w:rPr>
        <w:tab/>
      </w:r>
      <w:r>
        <w:rPr>
          <w:rFonts w:ascii="Arial" w:cs="Arial" w:eastAsia="Arial" w:hAnsi="Arial"/>
          <w:sz w:val="17"/>
          <w:szCs w:val="17"/>
          <w:color w:val="auto"/>
        </w:rPr>
        <w:t>PC CONNECTION, INC.</w:t>
      </w:r>
    </w:p>
    <w:p>
      <w:pPr>
        <w:spacing w:after="0" w:line="279" w:lineRule="exact"/>
        <w:rPr>
          <w:sz w:val="20"/>
          <w:szCs w:val="20"/>
          <w:color w:val="auto"/>
        </w:rPr>
      </w:pPr>
    </w:p>
    <w:p>
      <w:pPr>
        <w:ind w:left="574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Jack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3327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Jack Ferguson</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Vice President, Treasurer, and</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27202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760"/>
          </w:cols>
          <w:pgMar w:left="240" w:top="125" w:right="8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8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0" w:type="dxa"/>
            <w:vAlign w:val="bottom"/>
          </w:tcPr>
          <w:p>
            <w:pPr>
              <w:ind w:left="1780"/>
              <w:spacing w:after="0"/>
              <w:rPr>
                <w:sz w:val="20"/>
                <w:szCs w:val="20"/>
                <w:color w:val="auto"/>
              </w:rPr>
            </w:pPr>
            <w:r>
              <w:rPr>
                <w:rFonts w:ascii="Arial" w:cs="Arial" w:eastAsia="Arial" w:hAnsi="Arial"/>
                <w:sz w:val="22"/>
                <w:szCs w:val="22"/>
                <w:color w:val="auto"/>
              </w:rPr>
              <w:t>EXHIBIT INDEX</w:t>
            </w:r>
          </w:p>
        </w:tc>
      </w:tr>
      <w:tr>
        <w:trPr>
          <w:trHeight w:val="395"/>
        </w:trPr>
        <w:tc>
          <w:tcPr>
            <w:tcW w:w="156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5180" w:type="dxa"/>
            <w:vAlign w:val="bottom"/>
            <w:gridSpan w:val="3"/>
          </w:tcPr>
          <w:p>
            <w:pPr>
              <w:ind w:left="740"/>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507"/>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720" w:type="dxa"/>
            <w:vAlign w:val="bottom"/>
          </w:tcPr>
          <w:p>
            <w:pPr>
              <w:spacing w:after="0"/>
              <w:rPr>
                <w:sz w:val="24"/>
                <w:szCs w:val="24"/>
                <w:color w:val="auto"/>
              </w:rPr>
            </w:pPr>
          </w:p>
        </w:tc>
        <w:tc>
          <w:tcPr>
            <w:tcW w:w="5180" w:type="dxa"/>
            <w:vAlign w:val="bottom"/>
            <w:gridSpan w:val="3"/>
          </w:tcPr>
          <w:p>
            <w:pPr>
              <w:ind w:left="740"/>
              <w:spacing w:after="0"/>
              <w:rPr>
                <w:sz w:val="20"/>
                <w:szCs w:val="20"/>
                <w:color w:val="auto"/>
              </w:rPr>
            </w:pPr>
            <w:r>
              <w:rPr>
                <w:rFonts w:ascii="Arial" w:cs="Arial" w:eastAsia="Arial" w:hAnsi="Arial"/>
                <w:sz w:val="18"/>
                <w:szCs w:val="18"/>
                <w:color w:val="auto"/>
                <w:w w:val="88"/>
              </w:rPr>
              <w:t>Press release issued by PC Connection, Inc. on July 31, 2008.</w:t>
            </w:r>
          </w:p>
        </w:tc>
      </w:tr>
    </w:tbl>
    <w:p>
      <w:pPr>
        <w:sectPr>
          <w:pgSz w:w="11900" w:h="16838" w:orient="portrait"/>
          <w:cols w:equalWidth="0" w:num="1">
            <w:col w:w="10219"/>
          </w:cols>
          <w:pgMar w:left="240" w:top="11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right="3260" w:firstLine="3257"/>
        <w:spacing w:after="0" w:line="435" w:lineRule="auto"/>
        <w:rPr>
          <w:sz w:val="20"/>
          <w:szCs w:val="20"/>
          <w:color w:val="auto"/>
        </w:rPr>
      </w:pPr>
      <w:r>
        <w:rPr>
          <w:rFonts w:ascii="Arial" w:cs="Arial" w:eastAsia="Arial" w:hAnsi="Arial"/>
          <w:sz w:val="22"/>
          <w:szCs w:val="22"/>
          <w:b w:val="1"/>
          <w:bCs w:val="1"/>
          <w:color w:val="auto"/>
        </w:rPr>
        <w:t xml:space="preserve">PC Connection, Inc. Reports Second Quarter Results </w:t>
      </w:r>
      <w:r>
        <w:rPr>
          <w:rFonts w:ascii="Arial" w:cs="Arial" w:eastAsia="Arial" w:hAnsi="Arial"/>
          <w:sz w:val="22"/>
          <w:szCs w:val="22"/>
          <w:b w:val="1"/>
          <w:bCs w:val="1"/>
          <w:u w:val="single" w:color="auto"/>
          <w:color w:val="auto"/>
        </w:rPr>
        <w:t>SECOND QUARTER HIGHLIGHTS</w:t>
      </w:r>
      <w:r>
        <w:rPr>
          <w:rFonts w:ascii="Arial" w:cs="Arial" w:eastAsia="Arial" w:hAnsi="Arial"/>
          <w:sz w:val="22"/>
          <w:szCs w:val="22"/>
          <w:b w:val="1"/>
          <w:bCs w:val="1"/>
          <w:color w:val="auto"/>
        </w:rPr>
        <w:t>:</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22"/>
          <w:szCs w:val="22"/>
          <w:b w:val="1"/>
          <w:bCs w:val="1"/>
          <w:u w:val="single" w:color="auto"/>
          <w:color w:val="auto"/>
        </w:rPr>
        <w:t>Q2 net sales: $449.4 million, up 2% year over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b w:val="1"/>
          <w:bCs w:val="1"/>
          <w:u w:val="single" w:color="auto"/>
          <w:color w:val="auto"/>
        </w:rPr>
        <w:t>Gross margin: 12.65%, up from 12.25%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b w:val="1"/>
          <w:bCs w:val="1"/>
          <w:u w:val="single" w:color="auto"/>
          <w:color w:val="auto"/>
        </w:rPr>
        <w:t>Net income: $5.1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b w:val="1"/>
          <w:bCs w:val="1"/>
          <w:u w:val="single" w:color="auto"/>
          <w:color w:val="auto"/>
        </w:rPr>
        <w:t>Diluted earnings per share: $.19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 xml:space="preserve">MERRIMACK, N.H.--(BUSINESS WIRE)--PC Connection, Inc. </w:t>
      </w:r>
      <w:r>
        <w:rPr>
          <w:rFonts w:ascii="Arial" w:cs="Arial" w:eastAsia="Arial" w:hAnsi="Arial"/>
          <w:sz w:val="22"/>
          <w:szCs w:val="22"/>
          <w:b w:val="1"/>
          <w:bCs w:val="1"/>
          <w:color w:val="auto"/>
        </w:rPr>
        <w:t>(NASDAQ: PCCC)</w:t>
      </w:r>
      <w:r>
        <w:rPr>
          <w:rFonts w:ascii="Arial" w:cs="Arial" w:eastAsia="Arial" w:hAnsi="Arial"/>
          <w:sz w:val="22"/>
          <w:szCs w:val="22"/>
          <w:color w:val="auto"/>
        </w:rPr>
        <w:t>, a leading direct marketer of information technology (IT) products and services, today announced results for the quarter ended June 30, 2008. Net sales for the three months ended June 30, 2008 increased by $8.3 million, or 1.9%, to $449.4 million from $441.1 million for the three months ended June 30, 2007. Net income for the quarter was $5.1 million, or $.19 per share, compared to $5.8 million, or $.21 per share, for the corresponding prior year quarter. Management believes the current economic environment affected the level of demand for IT solutions during the quarter.</w:t>
      </w:r>
    </w:p>
    <w:p>
      <w:pPr>
        <w:spacing w:after="0" w:line="188" w:lineRule="exact"/>
        <w:rPr>
          <w:sz w:val="20"/>
          <w:szCs w:val="20"/>
          <w:color w:val="auto"/>
        </w:rPr>
      </w:pPr>
    </w:p>
    <w:p>
      <w:pPr>
        <w:ind w:right="320"/>
        <w:spacing w:after="0" w:line="258" w:lineRule="auto"/>
        <w:rPr>
          <w:sz w:val="20"/>
          <w:szCs w:val="20"/>
          <w:color w:val="auto"/>
        </w:rPr>
      </w:pPr>
      <w:r>
        <w:rPr>
          <w:rFonts w:ascii="Arial" w:cs="Arial" w:eastAsia="Arial" w:hAnsi="Arial"/>
          <w:sz w:val="21"/>
          <w:szCs w:val="21"/>
          <w:color w:val="auto"/>
        </w:rPr>
        <w:t>Net sales for the six months ended June 30, 2008 increased by $33.8 million, or 4.0%, to $873.1 million from $839.3 million for the six months ended June 30, 2007. Net income for the six months ended June 30, 2008 was $9.9 million, or $.37 per share, compared to $9.1 million, or $.34 per share, for the six months ended June 30, 2007.</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Quarterly Sales Growth by Business Segment</w:t>
      </w:r>
      <w:r>
        <w:rPr>
          <w:rFonts w:ascii="Arial" w:cs="Arial" w:eastAsia="Arial" w:hAnsi="Arial"/>
          <w:sz w:val="22"/>
          <w:szCs w:val="22"/>
          <w:i w:val="1"/>
          <w:iCs w:val="1"/>
          <w:color w:val="auto"/>
        </w:rPr>
        <w:t>:</w:t>
      </w:r>
    </w:p>
    <w:p>
      <w:pPr>
        <w:spacing w:after="0" w:line="206" w:lineRule="exact"/>
        <w:rPr>
          <w:sz w:val="20"/>
          <w:szCs w:val="20"/>
          <w:color w:val="auto"/>
        </w:rPr>
      </w:pPr>
    </w:p>
    <w:p>
      <w:pPr>
        <w:ind w:left="540" w:right="160"/>
        <w:spacing w:after="0"/>
        <w:rPr>
          <w:sz w:val="20"/>
          <w:szCs w:val="20"/>
          <w:color w:val="auto"/>
        </w:rPr>
      </w:pPr>
      <w:r>
        <w:rPr>
          <w:rFonts w:ascii="Arial" w:cs="Arial" w:eastAsia="Arial" w:hAnsi="Arial"/>
          <w:sz w:val="22"/>
          <w:szCs w:val="22"/>
          <w:color w:val="auto"/>
        </w:rPr>
        <w:t>Net sales for the small- and medium-sized business (SMB) segment increased by 1.9% to $236.4 million compared to the second quarter of 2007. Corporate sales within the segment grew year over year, as sales to consumers continued to decline, reflecting our focus on business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5" w:lineRule="exact"/>
        <w:rPr>
          <w:sz w:val="20"/>
          <w:szCs w:val="20"/>
          <w:color w:val="auto"/>
        </w:rPr>
      </w:pPr>
    </w:p>
    <w:p>
      <w:pPr>
        <w:ind w:left="540" w:right="20"/>
        <w:spacing w:after="0"/>
        <w:rPr>
          <w:sz w:val="20"/>
          <w:szCs w:val="20"/>
          <w:color w:val="auto"/>
        </w:rPr>
      </w:pPr>
      <w:r>
        <w:rPr>
          <w:rFonts w:ascii="Arial" w:cs="Arial" w:eastAsia="Arial" w:hAnsi="Arial"/>
          <w:sz w:val="22"/>
          <w:szCs w:val="22"/>
          <w:color w:val="auto"/>
        </w:rPr>
        <w:t>Net sales for MoreDirect, Inc., the Company’s Large Account segment, decreased by 4.7% to $127.4 million compared to the second quarter of 2007. MoreDirect experienced decreased revenues from its larger enterprise customers, but partly offset these during the quarter with the addition of new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5" w:lineRule="exact"/>
        <w:rPr>
          <w:sz w:val="20"/>
          <w:szCs w:val="20"/>
          <w:color w:val="auto"/>
        </w:rPr>
      </w:pPr>
    </w:p>
    <w:p>
      <w:pPr>
        <w:ind w:left="540" w:right="480"/>
        <w:spacing w:after="0"/>
        <w:rPr>
          <w:sz w:val="20"/>
          <w:szCs w:val="20"/>
          <w:color w:val="auto"/>
        </w:rPr>
      </w:pPr>
      <w:r>
        <w:rPr>
          <w:rFonts w:ascii="Arial" w:cs="Arial" w:eastAsia="Arial" w:hAnsi="Arial"/>
          <w:sz w:val="22"/>
          <w:szCs w:val="22"/>
          <w:color w:val="auto"/>
        </w:rPr>
        <w:t>Net sales to GovConnection, Inc., the Company’s Public Sector segment, increased by $10.1 million, or 13.3%, to $85.7 million compared to the second quarter of 2007. Strong federal government contract sales and larger education sales contributed to this double-digit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27202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5969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i w:val="1"/>
          <w:iCs w:val="1"/>
          <w:color w:val="auto"/>
        </w:rPr>
        <w:t>Quarterly Sales Growth by Product Mix</w:t>
      </w:r>
      <w:r>
        <w:rPr>
          <w:rFonts w:ascii="Arial" w:cs="Arial" w:eastAsia="Arial" w:hAnsi="Arial"/>
          <w:sz w:val="22"/>
          <w:szCs w:val="22"/>
          <w:i w:val="1"/>
          <w:iCs w:val="1"/>
          <w:color w:val="auto"/>
        </w:rPr>
        <w:t>:</w:t>
      </w:r>
    </w:p>
    <w:p>
      <w:pPr>
        <w:spacing w:after="0" w:line="207" w:lineRule="exact"/>
        <w:rPr>
          <w:sz w:val="20"/>
          <w:szCs w:val="20"/>
          <w:color w:val="auto"/>
        </w:rPr>
      </w:pPr>
    </w:p>
    <w:p>
      <w:pPr>
        <w:ind w:left="540" w:right="160"/>
        <w:spacing w:after="0"/>
        <w:rPr>
          <w:sz w:val="20"/>
          <w:szCs w:val="20"/>
          <w:color w:val="auto"/>
        </w:rPr>
      </w:pPr>
      <w:r>
        <w:rPr>
          <w:rFonts w:ascii="Arial" w:cs="Arial" w:eastAsia="Arial" w:hAnsi="Arial"/>
          <w:sz w:val="22"/>
          <w:szCs w:val="22"/>
          <w:color w:val="auto"/>
        </w:rPr>
        <w:t>Net/Com Products sales increased 43% year over year, accounting for 11% of net sales in the second quarter of 2008 compared to 8% of net sales for the corresponding period a year ago. We experienced double digit year-over-year growth in all three segments, and with several vendors.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5" w:lineRule="exact"/>
        <w:rPr>
          <w:sz w:val="20"/>
          <w:szCs w:val="20"/>
          <w:color w:val="auto"/>
        </w:rPr>
      </w:pPr>
    </w:p>
    <w:p>
      <w:pPr>
        <w:jc w:val="both"/>
        <w:ind w:left="540" w:right="120"/>
        <w:spacing w:after="0"/>
        <w:rPr>
          <w:sz w:val="20"/>
          <w:szCs w:val="20"/>
          <w:color w:val="auto"/>
        </w:rPr>
      </w:pPr>
      <w:r>
        <w:rPr>
          <w:rFonts w:ascii="Arial" w:cs="Arial" w:eastAsia="Arial" w:hAnsi="Arial"/>
          <w:sz w:val="22"/>
          <w:szCs w:val="22"/>
          <w:color w:val="auto"/>
        </w:rPr>
        <w:t>Video, Imaging and Sound sales increased 9% year over year, accounting for 14% of net sales in the second quarter of 2008 compared to 13% for the corresponding prior year quarter. Strong video product sales continued to drive the majority of this 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5" w:lineRule="exact"/>
        <w:rPr>
          <w:sz w:val="20"/>
          <w:szCs w:val="20"/>
          <w:color w:val="auto"/>
        </w:rPr>
      </w:pPr>
    </w:p>
    <w:p>
      <w:pPr>
        <w:ind w:left="540" w:right="80"/>
        <w:spacing w:after="0" w:line="251" w:lineRule="auto"/>
        <w:rPr>
          <w:sz w:val="20"/>
          <w:szCs w:val="20"/>
          <w:color w:val="auto"/>
        </w:rPr>
      </w:pPr>
      <w:r>
        <w:rPr>
          <w:rFonts w:ascii="Arial" w:cs="Arial" w:eastAsia="Arial" w:hAnsi="Arial"/>
          <w:sz w:val="22"/>
          <w:szCs w:val="22"/>
          <w:color w:val="auto"/>
        </w:rPr>
        <w:t>Sales of Notebooks and PDAs decreased 3% year over year, accounting for 16% of net sales in both second quarters of 2008 and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ind w:right="40"/>
        <w:spacing w:after="0" w:line="297" w:lineRule="auto"/>
        <w:rPr>
          <w:sz w:val="20"/>
          <w:szCs w:val="20"/>
          <w:color w:val="auto"/>
        </w:rPr>
      </w:pPr>
      <w:r>
        <w:rPr>
          <w:rFonts w:ascii="Arial" w:cs="Arial" w:eastAsia="Arial" w:hAnsi="Arial"/>
          <w:sz w:val="19"/>
          <w:szCs w:val="19"/>
          <w:color w:val="auto"/>
        </w:rPr>
        <w:t>Gross profit dollars increased by $2.8 million, or 5.2%, in the second quarter of 2008 from the corresponding period a year ago due to improved rate and volume in 2008. Gross profit margin, as a percentage of net sales, increased 40 basis-points to 12.6% in the second quarter of 2008 compared to the second quarter of 2007, primarily due to increased vendor allowances in 2008.</w:t>
      </w:r>
    </w:p>
    <w:p>
      <w:pPr>
        <w:spacing w:after="0" w:line="134" w:lineRule="exact"/>
        <w:rPr>
          <w:sz w:val="20"/>
          <w:szCs w:val="20"/>
          <w:color w:val="auto"/>
        </w:rPr>
      </w:pPr>
    </w:p>
    <w:p>
      <w:pPr>
        <w:ind w:right="160"/>
        <w:spacing w:after="0" w:line="235" w:lineRule="auto"/>
        <w:rPr>
          <w:sz w:val="20"/>
          <w:szCs w:val="20"/>
          <w:color w:val="auto"/>
        </w:rPr>
      </w:pPr>
      <w:r>
        <w:rPr>
          <w:rFonts w:ascii="Arial" w:cs="Arial" w:eastAsia="Arial" w:hAnsi="Arial"/>
          <w:sz w:val="22"/>
          <w:szCs w:val="22"/>
          <w:color w:val="auto"/>
        </w:rPr>
        <w:t>Overall annualized sales productivity was unchanged in the second quarter of 2008 compared to the second quarter of 2007. Sales productivity in our Large Account segment increased 5% in the second quarter of 2008 compared to the second quarter of 2007. Sales productivity in our Public Sector segment increased 9% year over year primarily due to increased Federal contract and education sales in 2008. For our SMB segment, productivity decreased 3% year over year due to the addition of new sales representatives. On a consolidated basis, the total number of sales representatives was 667 at June 30, 2008, compared to 652 at June 30, 2007.</w:t>
      </w:r>
    </w:p>
    <w:p>
      <w:pPr>
        <w:spacing w:after="0" w:line="188"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Total selling, general and administrative expenses for the quarter increased year over year by $3.2 million, or 7.0%, and increased as a percentage of net sales to 10.7% for the second quarter of 2008 from 10.3% for the second quarter of 2007. The year-over-year dollar and rate increase was primarily attributable to the incremental variable compensation associated with higher gross profits, additional investment in sales and promotion costs in 2008, as well as the weaker demand environment.</w:t>
      </w:r>
    </w:p>
    <w:p>
      <w:pPr>
        <w:spacing w:after="0" w:line="143" w:lineRule="exact"/>
        <w:rPr>
          <w:sz w:val="20"/>
          <w:szCs w:val="20"/>
          <w:color w:val="auto"/>
        </w:rPr>
      </w:pPr>
    </w:p>
    <w:p>
      <w:pPr>
        <w:ind w:right="80"/>
        <w:spacing w:after="0" w:line="287" w:lineRule="auto"/>
        <w:rPr>
          <w:sz w:val="20"/>
          <w:szCs w:val="20"/>
          <w:color w:val="auto"/>
        </w:rPr>
      </w:pPr>
      <w:r>
        <w:rPr>
          <w:rFonts w:ascii="Arial" w:cs="Arial" w:eastAsia="Arial" w:hAnsi="Arial"/>
          <w:sz w:val="19"/>
          <w:szCs w:val="19"/>
          <w:color w:val="auto"/>
        </w:rPr>
        <w:t>The Company believes revenue for the third quarter of 2008 will be in the same range as the third quarter of 2007, reflecting the current economic environment. “We are continuing to move our business forward and are taking a number of actions to bring costs in line with expected sales levels,” said Patricia Gallup, Chairman and Chief Executive Officer. “We believe that our talented and experienced team will be successful in executing our plans, and that we will continue to build long-term shareholder value.”</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PC Connection, Inc.</w:t>
      </w:r>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 xml:space="preserve">PC Connection, Inc., a Fortune 1000 company, has three sales subsidiaries: PC Connection Sales Corporation, MoreDirect, Inc., and GovConnection, Inc., headquartered in Merrimack, NH, Boca Raton, FL, and Rockville, MD, respectively. All three companies can deliver custom-configured computer systems overnight. Investors and media can find more information about PC Connection, Inc. at </w:t>
      </w:r>
      <w:r>
        <w:rPr>
          <w:rFonts w:ascii="Arial" w:cs="Arial" w:eastAsia="Arial" w:hAnsi="Arial"/>
          <w:sz w:val="22"/>
          <w:szCs w:val="22"/>
          <w:u w:val="single" w:color="auto"/>
          <w:color w:val="auto"/>
        </w:rPr>
        <w:t>http://ir.pcconnection.com</w:t>
      </w:r>
      <w:r>
        <w:rPr>
          <w:rFonts w:ascii="Arial" w:cs="Arial" w:eastAsia="Arial" w:hAnsi="Arial"/>
          <w:sz w:val="22"/>
          <w:szCs w:val="22"/>
          <w:color w:val="auto"/>
        </w:rPr>
        <w:t>.</w:t>
      </w:r>
    </w:p>
    <w:p>
      <w:pPr>
        <w:spacing w:after="0" w:line="185" w:lineRule="exact"/>
        <w:rPr>
          <w:sz w:val="20"/>
          <w:szCs w:val="20"/>
          <w:color w:val="auto"/>
        </w:rPr>
      </w:pPr>
    </w:p>
    <w:p>
      <w:pPr>
        <w:ind w:right="60"/>
        <w:spacing w:after="0" w:line="235" w:lineRule="auto"/>
        <w:rPr>
          <w:sz w:val="20"/>
          <w:szCs w:val="20"/>
          <w:color w:val="auto"/>
        </w:rPr>
      </w:pPr>
      <w:r>
        <w:rPr>
          <w:rFonts w:ascii="Arial" w:cs="Arial" w:eastAsia="Arial" w:hAnsi="Arial"/>
          <w:sz w:val="22"/>
          <w:szCs w:val="22"/>
          <w:color w:val="auto"/>
        </w:rPr>
        <w:t xml:space="preserve">PC Connection Sales Corporation (1-800-800-5555), the original business of PC Connection, Inc. serving the small- and medium-sized business sector (SMB), is a rapid-response provider of information technology (IT) products and services. It offers more than 150,000 brand-name products through its staff of technically trained sales account managers and catalog telesales representatives, catalogs, and publications, and its website at </w:t>
      </w:r>
      <w:r>
        <w:rPr>
          <w:rFonts w:ascii="Arial" w:cs="Arial" w:eastAsia="Arial" w:hAnsi="Arial"/>
          <w:sz w:val="22"/>
          <w:szCs w:val="22"/>
          <w:u w:val="single" w:color="auto"/>
          <w:color w:val="auto"/>
        </w:rPr>
        <w:t>www.pcconnection.com</w:t>
      </w:r>
      <w:r>
        <w:rPr>
          <w:rFonts w:ascii="Arial" w:cs="Arial" w:eastAsia="Arial" w:hAnsi="Arial"/>
          <w:sz w:val="22"/>
          <w:szCs w:val="22"/>
          <w:color w:val="auto"/>
        </w:rPr>
        <w:t xml:space="preserve">. The subsidiary serves the Apple/Macintosh community through its MacConnection division (1-800-800-2222), which also publishes specialized catalogs and is online at </w:t>
      </w:r>
      <w:r>
        <w:rPr>
          <w:rFonts w:ascii="Arial" w:cs="Arial" w:eastAsia="Arial" w:hAnsi="Arial"/>
          <w:sz w:val="22"/>
          <w:szCs w:val="22"/>
          <w:u w:val="single" w:color="auto"/>
          <w:color w:val="auto"/>
        </w:rPr>
        <w:t>www.macconnection.com</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 w:name="page7"/>
    <w:bookmarkEnd w:id="6"/>
    <w:p>
      <w:pPr>
        <w:spacing w:after="0" w:line="236" w:lineRule="auto"/>
        <w:rPr>
          <w:sz w:val="20"/>
          <w:szCs w:val="20"/>
          <w:color w:val="auto"/>
        </w:rPr>
      </w:pPr>
      <w:r>
        <w:rPr>
          <w:rFonts w:ascii="Arial" w:cs="Arial" w:eastAsia="Arial" w:hAnsi="Arial"/>
          <w:sz w:val="22"/>
          <w:szCs w:val="22"/>
          <w:color w:val="auto"/>
        </w:rPr>
        <w:t xml:space="preserve">MoreDirect, Inc. (561-237-3300), </w:t>
      </w:r>
      <w:r>
        <w:rPr>
          <w:rFonts w:ascii="Arial" w:cs="Arial" w:eastAsia="Arial" w:hAnsi="Arial"/>
          <w:sz w:val="22"/>
          <w:szCs w:val="22"/>
          <w:u w:val="single" w:color="auto"/>
          <w:color w:val="auto"/>
        </w:rPr>
        <w:t>www.moredirect.com</w:t>
      </w:r>
      <w:r>
        <w:rPr>
          <w:rFonts w:ascii="Arial" w:cs="Arial" w:eastAsia="Arial" w:hAnsi="Arial"/>
          <w:sz w:val="22"/>
          <w:szCs w:val="22"/>
          <w:color w:val="auto"/>
        </w:rPr>
        <w:t>, provides corporate technology buyers with a comprehensive web-based e-procurement solution and in-depth IT supply-chain expertise, serving as a one-stop source by aggregating more than 300,000 products from the inventories of leading IT wholesale distributors and manufacturers. MoreDirect’s TRAXX™ system is a seamless end-to-end interface that empowers clients to electronically source, evaluate, compare prices, and track related technology product purchases in real-time.</w:t>
      </w:r>
    </w:p>
    <w:p>
      <w:pPr>
        <w:spacing w:after="0" w:line="188"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 xml:space="preserve">GovConnection, Inc. (1-800-800-0019) is a provider of IT products and services to federal, state, and local government agencies and educational institutions through specialized account managers, catalogs, and publications, and online at </w:t>
      </w:r>
      <w:r>
        <w:rPr>
          <w:rFonts w:ascii="Arial" w:cs="Arial" w:eastAsia="Arial" w:hAnsi="Arial"/>
          <w:sz w:val="22"/>
          <w:szCs w:val="22"/>
          <w:u w:val="single" w:color="auto"/>
          <w:color w:val="auto"/>
        </w:rPr>
        <w:t>www.govconnection.com</w:t>
      </w:r>
      <w:r>
        <w:rPr>
          <w:rFonts w:ascii="Arial" w:cs="Arial" w:eastAsia="Arial" w:hAnsi="Arial"/>
          <w:sz w:val="22"/>
          <w:szCs w:val="22"/>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pccc-g</w:t>
      </w:r>
    </w:p>
    <w:p>
      <w:pPr>
        <w:spacing w:after="0" w:line="206"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“Safe Harbor” Statement Under the Private Securities Litigation Reform Act of 1995: This release contains forward-looking statements that are subject to risks and uncertainties, including, but not limited to, the impact of changes in market demand and the overall level of economic activity, or in the level of business investment in information technology products, competitive products and pricing, product availability and market acceptance, new products, fluctuations in operating results, and the ability of the Company to hire and retain essential personnel, and other risks that could cause actual results to differ materially from these detailed under the caption “Risk Factors” in the Company’s Quarterly Report on Form 10-Q filed with the Securities and Exchange Commission for the quarter ended March 31, 2008. More specifically, the statements in this release concerning the Company’s outlook for 2008 and the statements concerning the Company’s gross margin percentage, productivity, and selling and administrative costs and other statements of a non-historical basis (including statements regarding implementing strategies for future growth and the ability of the Company to improve sales productivity) are forward-looking statements that involve certain risks and uncertainties. Such risks and uncertainties include the ability to realize market demand for and competitive pricing pressures on the products and services marketed by the Company, the continued acceptance of the Company's distribution channel by vendors and customers, continuation of key vendor and customer relationships and support programs and the ability of the Company to hire and retain qualified sales representatives and other essential personnel. The Company assumes no obligation to update the information in this press release or revise any forward-looking statements, whether as a result of any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257810</wp:posOffset>
            </wp:positionV>
            <wp:extent cx="727202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u w:val="single" w:color="auto"/>
          <w:color w:val="auto"/>
        </w:rPr>
        <w:t>PC Connection, Inc. -- Second Quarter Earnings -- 07/31/08</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SELECTED FINANCIAL HIGHLIGHTS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At or for the Three Months Ended June 30,</w:t>
            </w:r>
          </w:p>
        </w:tc>
        <w:tc>
          <w:tcPr>
            <w:tcW w:w="50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2007</w:t>
            </w:r>
          </w:p>
        </w:tc>
        <w:tc>
          <w:tcPr>
            <w:tcW w:w="8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720" w:type="dxa"/>
            <w:vAlign w:val="bottom"/>
          </w:tcPr>
          <w:p>
            <w:pPr>
              <w:spacing w:after="0" w:line="133" w:lineRule="exact"/>
              <w:rPr>
                <w:sz w:val="20"/>
                <w:szCs w:val="20"/>
                <w:color w:val="auto"/>
              </w:rPr>
            </w:pPr>
            <w:r>
              <w:rPr>
                <w:rFonts w:ascii="Arial" w:cs="Arial" w:eastAsia="Arial" w:hAnsi="Arial"/>
                <w:sz w:val="14"/>
                <w:szCs w:val="14"/>
                <w:i w:val="1"/>
                <w:iCs w:val="1"/>
                <w:color w:val="auto"/>
                <w:w w:val="94"/>
              </w:rPr>
              <w:t>(Dollars and shares in thousands, except operating data, price/earnings ratio, and per share data)</w:t>
            </w: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960" w:type="dxa"/>
            <w:vAlign w:val="bottom"/>
            <w:gridSpan w:val="2"/>
            <w:vMerge w:val="restart"/>
          </w:tcPr>
          <w:p>
            <w:pPr>
              <w:jc w:val="right"/>
              <w:ind w:right="40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Net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Net</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7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Sales</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Sales</w:t>
            </w:r>
          </w:p>
        </w:tc>
        <w:tc>
          <w:tcPr>
            <w:tcW w:w="80" w:type="dxa"/>
            <w:vAlign w:val="bottom"/>
          </w:tcPr>
          <w:p>
            <w:pPr>
              <w:spacing w:after="0"/>
              <w:rPr>
                <w:sz w:val="16"/>
                <w:szCs w:val="16"/>
                <w:color w:val="auto"/>
              </w:rPr>
            </w:pPr>
          </w:p>
        </w:tc>
        <w:tc>
          <w:tcPr>
            <w:tcW w:w="8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339"/>
        </w:trPr>
        <w:tc>
          <w:tcPr>
            <w:tcW w:w="5720" w:type="dxa"/>
            <w:vAlign w:val="bottom"/>
          </w:tcPr>
          <w:p>
            <w:pPr>
              <w:spacing w:after="0"/>
              <w:rPr>
                <w:sz w:val="20"/>
                <w:szCs w:val="20"/>
                <w:color w:val="auto"/>
              </w:rPr>
            </w:pPr>
            <w:r>
              <w:rPr>
                <w:rFonts w:ascii="Arial" w:cs="Arial" w:eastAsia="Arial" w:hAnsi="Arial"/>
                <w:sz w:val="14"/>
                <w:szCs w:val="14"/>
                <w:b w:val="1"/>
                <w:bCs w:val="1"/>
                <w:color w:val="auto"/>
              </w:rPr>
              <w:t>Operating Data:</w:t>
            </w: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720" w:type="dxa"/>
            <w:vAlign w:val="bottom"/>
          </w:tcPr>
          <w:p>
            <w:pPr>
              <w:ind w:left="140"/>
              <w:spacing w:after="0"/>
              <w:rPr>
                <w:sz w:val="20"/>
                <w:szCs w:val="20"/>
                <w:color w:val="auto"/>
              </w:rPr>
            </w:pPr>
            <w:r>
              <w:rPr>
                <w:rFonts w:ascii="Arial" w:cs="Arial" w:eastAsia="Arial" w:hAnsi="Arial"/>
                <w:sz w:val="14"/>
                <w:szCs w:val="14"/>
                <w:color w:val="auto"/>
              </w:rPr>
              <w:t>Net sales</w:t>
            </w:r>
          </w:p>
        </w:tc>
        <w:tc>
          <w:tcPr>
            <w:tcW w:w="500" w:type="dxa"/>
            <w:vAlign w:val="bottom"/>
          </w:tcPr>
          <w:p>
            <w:pPr>
              <w:spacing w:after="0"/>
              <w:rPr>
                <w:sz w:val="15"/>
                <w:szCs w:val="15"/>
                <w:color w:val="auto"/>
              </w:rPr>
            </w:pPr>
          </w:p>
        </w:tc>
        <w:tc>
          <w:tcPr>
            <w:tcW w:w="1400" w:type="dxa"/>
            <w:vAlign w:val="bottom"/>
            <w:gridSpan w:val="2"/>
          </w:tcPr>
          <w:p>
            <w:pPr>
              <w:jc w:val="center"/>
              <w:ind w:left="94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449,399</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gridSpan w:val="3"/>
          </w:tcPr>
          <w:p>
            <w:pPr>
              <w:jc w:val="center"/>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441,122</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gridSpan w:val="2"/>
          </w:tcPr>
          <w:p>
            <w:pPr>
              <w:jc w:val="right"/>
              <w:ind w:right="4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2"/>
        </w:trPr>
        <w:tc>
          <w:tcPr>
            <w:tcW w:w="5720" w:type="dxa"/>
            <w:vAlign w:val="bottom"/>
          </w:tcPr>
          <w:p>
            <w:pPr>
              <w:ind w:left="140"/>
              <w:spacing w:after="0"/>
              <w:rPr>
                <w:sz w:val="20"/>
                <w:szCs w:val="20"/>
                <w:color w:val="auto"/>
              </w:rPr>
            </w:pPr>
            <w:r>
              <w:rPr>
                <w:rFonts w:ascii="Arial" w:cs="Arial" w:eastAsia="Arial" w:hAnsi="Arial"/>
                <w:sz w:val="14"/>
                <w:szCs w:val="14"/>
                <w:color w:val="auto"/>
              </w:rPr>
              <w:t>Diluted earnings per share</w:t>
            </w:r>
          </w:p>
        </w:tc>
        <w:tc>
          <w:tcPr>
            <w:tcW w:w="500" w:type="dxa"/>
            <w:vAlign w:val="bottom"/>
          </w:tcPr>
          <w:p>
            <w:pPr>
              <w:spacing w:after="0"/>
              <w:rPr>
                <w:sz w:val="15"/>
                <w:szCs w:val="15"/>
                <w:color w:val="auto"/>
              </w:rPr>
            </w:pPr>
          </w:p>
        </w:tc>
        <w:tc>
          <w:tcPr>
            <w:tcW w:w="1400" w:type="dxa"/>
            <w:vAlign w:val="bottom"/>
            <w:gridSpan w:val="2"/>
          </w:tcPr>
          <w:p>
            <w:pPr>
              <w:jc w:val="center"/>
              <w:ind w:left="94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gridSpan w:val="3"/>
          </w:tcPr>
          <w:p>
            <w:pPr>
              <w:jc w:val="center"/>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gridSpan w:val="2"/>
          </w:tcPr>
          <w:p>
            <w:pPr>
              <w:jc w:val="right"/>
              <w:ind w:right="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344"/>
        </w:trPr>
        <w:tc>
          <w:tcPr>
            <w:tcW w:w="5720" w:type="dxa"/>
            <w:vAlign w:val="bottom"/>
          </w:tcPr>
          <w:p>
            <w:pPr>
              <w:ind w:left="140"/>
              <w:spacing w:after="0"/>
              <w:rPr>
                <w:sz w:val="20"/>
                <w:szCs w:val="20"/>
                <w:color w:val="auto"/>
              </w:rPr>
            </w:pPr>
            <w:r>
              <w:rPr>
                <w:rFonts w:ascii="Arial" w:cs="Arial" w:eastAsia="Arial" w:hAnsi="Arial"/>
                <w:sz w:val="14"/>
                <w:szCs w:val="14"/>
                <w:color w:val="auto"/>
              </w:rPr>
              <w:t>Gross profit margin</w:t>
            </w: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12.6%</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12.3%</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720" w:type="dxa"/>
            <w:vAlign w:val="bottom"/>
          </w:tcPr>
          <w:p>
            <w:pPr>
              <w:ind w:left="140"/>
              <w:spacing w:after="0"/>
              <w:rPr>
                <w:sz w:val="20"/>
                <w:szCs w:val="20"/>
                <w:color w:val="auto"/>
              </w:rPr>
            </w:pPr>
            <w:r>
              <w:rPr>
                <w:rFonts w:ascii="Arial" w:cs="Arial" w:eastAsia="Arial" w:hAnsi="Arial"/>
                <w:sz w:val="14"/>
                <w:szCs w:val="14"/>
                <w:color w:val="auto"/>
              </w:rPr>
              <w:t>Operating margin</w:t>
            </w: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6"/>
        </w:trPr>
        <w:tc>
          <w:tcPr>
            <w:tcW w:w="5720" w:type="dxa"/>
            <w:vAlign w:val="bottom"/>
          </w:tcPr>
          <w:p>
            <w:pPr>
              <w:ind w:left="140"/>
              <w:spacing w:after="0"/>
              <w:rPr>
                <w:sz w:val="20"/>
                <w:szCs w:val="20"/>
                <w:color w:val="auto"/>
              </w:rPr>
            </w:pPr>
            <w:r>
              <w:rPr>
                <w:rFonts w:ascii="Arial" w:cs="Arial" w:eastAsia="Arial" w:hAnsi="Arial"/>
                <w:sz w:val="14"/>
                <w:szCs w:val="14"/>
                <w:color w:val="auto"/>
              </w:rPr>
              <w:t xml:space="preserve">Return on equity </w:t>
            </w:r>
            <w:r>
              <w:rPr>
                <w:rFonts w:ascii="Arial" w:cs="Arial" w:eastAsia="Arial" w:hAnsi="Arial"/>
                <w:sz w:val="23"/>
                <w:szCs w:val="23"/>
                <w:color w:val="auto"/>
                <w:vertAlign w:val="superscript"/>
              </w:rPr>
              <w:t>(1)</w:t>
            </w: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11.2</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5720" w:type="dxa"/>
            <w:vAlign w:val="bottom"/>
          </w:tcPr>
          <w:p>
            <w:pPr>
              <w:ind w:left="140"/>
              <w:spacing w:after="0"/>
              <w:rPr>
                <w:sz w:val="20"/>
                <w:szCs w:val="20"/>
                <w:color w:val="auto"/>
              </w:rPr>
            </w:pPr>
            <w:r>
              <w:rPr>
                <w:rFonts w:ascii="Arial" w:cs="Arial" w:eastAsia="Arial" w:hAnsi="Arial"/>
                <w:sz w:val="14"/>
                <w:szCs w:val="14"/>
                <w:color w:val="auto"/>
              </w:rPr>
              <w:t>Catalogs distributed</w:t>
            </w:r>
          </w:p>
        </w:tc>
        <w:tc>
          <w:tcPr>
            <w:tcW w:w="5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89"/>
              </w:rPr>
              <w:t>3,060,000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w w:val="93"/>
              </w:rPr>
              <w:t>3,404,000</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gridSpan w:val="2"/>
          </w:tcPr>
          <w:p>
            <w:pPr>
              <w:jc w:val="right"/>
              <w:ind w:right="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19"/>
        </w:trPr>
        <w:tc>
          <w:tcPr>
            <w:tcW w:w="5720" w:type="dxa"/>
            <w:vAlign w:val="bottom"/>
          </w:tcPr>
          <w:p>
            <w:pPr>
              <w:ind w:left="140"/>
              <w:spacing w:after="0" w:line="219" w:lineRule="exact"/>
              <w:rPr>
                <w:sz w:val="20"/>
                <w:szCs w:val="20"/>
                <w:color w:val="auto"/>
              </w:rPr>
            </w:pPr>
            <w:r>
              <w:rPr>
                <w:rFonts w:ascii="Arial" w:cs="Arial" w:eastAsia="Arial" w:hAnsi="Arial"/>
                <w:sz w:val="14"/>
                <w:szCs w:val="14"/>
                <w:color w:val="auto"/>
              </w:rPr>
              <w:t xml:space="preserve">Orders entered </w:t>
            </w:r>
            <w:r>
              <w:rPr>
                <w:rFonts w:ascii="Arial" w:cs="Arial" w:eastAsia="Arial" w:hAnsi="Arial"/>
                <w:sz w:val="23"/>
                <w:szCs w:val="23"/>
                <w:color w:val="auto"/>
                <w:vertAlign w:val="superscript"/>
              </w:rPr>
              <w:t>(2)</w:t>
            </w: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361,500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365,200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313"/>
        </w:trPr>
        <w:tc>
          <w:tcPr>
            <w:tcW w:w="5720" w:type="dxa"/>
            <w:vAlign w:val="bottom"/>
          </w:tcPr>
          <w:p>
            <w:pPr>
              <w:ind w:left="140"/>
              <w:spacing w:after="0"/>
              <w:rPr>
                <w:sz w:val="20"/>
                <w:szCs w:val="20"/>
                <w:color w:val="auto"/>
              </w:rPr>
            </w:pPr>
            <w:r>
              <w:rPr>
                <w:rFonts w:ascii="Arial" w:cs="Arial" w:eastAsia="Arial" w:hAnsi="Arial"/>
                <w:sz w:val="14"/>
                <w:szCs w:val="14"/>
                <w:color w:val="auto"/>
              </w:rPr>
              <w:t xml:space="preserve">Average order size </w:t>
            </w:r>
            <w:r>
              <w:rPr>
                <w:rFonts w:ascii="Arial" w:cs="Arial" w:eastAsia="Arial" w:hAnsi="Arial"/>
                <w:sz w:val="23"/>
                <w:szCs w:val="23"/>
                <w:color w:val="auto"/>
                <w:vertAlign w:val="superscript"/>
              </w:rPr>
              <w:t>(2)</w:t>
            </w:r>
          </w:p>
        </w:tc>
        <w:tc>
          <w:tcPr>
            <w:tcW w:w="500" w:type="dxa"/>
            <w:vAlign w:val="bottom"/>
          </w:tcPr>
          <w:p>
            <w:pPr>
              <w:spacing w:after="0"/>
              <w:rPr>
                <w:sz w:val="24"/>
                <w:szCs w:val="24"/>
                <w:color w:val="auto"/>
              </w:rPr>
            </w:pPr>
          </w:p>
        </w:tc>
        <w:tc>
          <w:tcPr>
            <w:tcW w:w="1400" w:type="dxa"/>
            <w:vAlign w:val="bottom"/>
            <w:gridSpan w:val="2"/>
          </w:tcPr>
          <w:p>
            <w:pPr>
              <w:jc w:val="center"/>
              <w:ind w:left="94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1,462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gridSpan w:val="3"/>
          </w:tcPr>
          <w:p>
            <w:pPr>
              <w:jc w:val="center"/>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1,396</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gridSpan w:val="2"/>
          </w:tcPr>
          <w:p>
            <w:pPr>
              <w:jc w:val="right"/>
              <w:ind w:right="4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85"/>
        </w:trPr>
        <w:tc>
          <w:tcPr>
            <w:tcW w:w="5720" w:type="dxa"/>
            <w:vAlign w:val="bottom"/>
          </w:tcPr>
          <w:p>
            <w:pPr>
              <w:ind w:left="140"/>
              <w:spacing w:after="0"/>
              <w:rPr>
                <w:sz w:val="20"/>
                <w:szCs w:val="20"/>
                <w:color w:val="auto"/>
              </w:rPr>
            </w:pPr>
            <w:r>
              <w:rPr>
                <w:rFonts w:ascii="Arial" w:cs="Arial" w:eastAsia="Arial" w:hAnsi="Arial"/>
                <w:sz w:val="14"/>
                <w:szCs w:val="14"/>
                <w:color w:val="auto"/>
              </w:rPr>
              <w:t xml:space="preserve">Inventory turns </w:t>
            </w:r>
            <w:r>
              <w:rPr>
                <w:rFonts w:ascii="Arial" w:cs="Arial" w:eastAsia="Arial" w:hAnsi="Arial"/>
                <w:sz w:val="23"/>
                <w:szCs w:val="23"/>
                <w:color w:val="auto"/>
                <w:vertAlign w:val="superscript"/>
              </w:rPr>
              <w:t>(1)</w:t>
            </w: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720" w:type="dxa"/>
            <w:vAlign w:val="bottom"/>
          </w:tcPr>
          <w:p>
            <w:pPr>
              <w:ind w:left="140"/>
              <w:spacing w:after="0"/>
              <w:rPr>
                <w:sz w:val="20"/>
                <w:szCs w:val="20"/>
                <w:color w:val="auto"/>
              </w:rPr>
            </w:pPr>
            <w:r>
              <w:rPr>
                <w:rFonts w:ascii="Arial" w:cs="Arial" w:eastAsia="Arial" w:hAnsi="Arial"/>
                <w:sz w:val="14"/>
                <w:szCs w:val="14"/>
                <w:color w:val="auto"/>
              </w:rPr>
              <w:t>Days sales outstanding</w:t>
            </w: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0"/>
        </w:trPr>
        <w:tc>
          <w:tcPr>
            <w:tcW w:w="5720" w:type="dxa"/>
            <w:vAlign w:val="bottom"/>
          </w:tcPr>
          <w:p>
            <w:pPr>
              <w:spacing w:after="0"/>
              <w:rPr>
                <w:sz w:val="20"/>
                <w:szCs w:val="20"/>
                <w:color w:val="auto"/>
              </w:rPr>
            </w:pPr>
            <w:r>
              <w:rPr>
                <w:rFonts w:ascii="Arial" w:cs="Arial" w:eastAsia="Arial" w:hAnsi="Arial"/>
                <w:sz w:val="14"/>
                <w:szCs w:val="14"/>
                <w:b w:val="1"/>
                <w:bCs w:val="1"/>
                <w:color w:val="auto"/>
              </w:rPr>
              <w:t>Product Mix:</w:t>
            </w: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720" w:type="dxa"/>
            <w:vAlign w:val="bottom"/>
          </w:tcPr>
          <w:p>
            <w:pPr>
              <w:ind w:left="140"/>
              <w:spacing w:after="0"/>
              <w:rPr>
                <w:sz w:val="20"/>
                <w:szCs w:val="20"/>
                <w:color w:val="auto"/>
              </w:rPr>
            </w:pPr>
            <w:r>
              <w:rPr>
                <w:rFonts w:ascii="Arial" w:cs="Arial" w:eastAsia="Arial" w:hAnsi="Arial"/>
                <w:sz w:val="14"/>
                <w:szCs w:val="14"/>
                <w:color w:val="auto"/>
              </w:rPr>
              <w:t>Notebooks &amp; PDAs</w:t>
            </w:r>
          </w:p>
        </w:tc>
        <w:tc>
          <w:tcPr>
            <w:tcW w:w="500" w:type="dxa"/>
            <w:vAlign w:val="bottom"/>
          </w:tcPr>
          <w:p>
            <w:pPr>
              <w:spacing w:after="0"/>
              <w:rPr>
                <w:sz w:val="15"/>
                <w:szCs w:val="15"/>
                <w:color w:val="auto"/>
              </w:rPr>
            </w:pPr>
          </w:p>
        </w:tc>
        <w:tc>
          <w:tcPr>
            <w:tcW w:w="1400" w:type="dxa"/>
            <w:vAlign w:val="bottom"/>
            <w:gridSpan w:val="2"/>
          </w:tcPr>
          <w:p>
            <w:pPr>
              <w:jc w:val="center"/>
              <w:ind w:left="94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69,939</w:t>
            </w:r>
          </w:p>
        </w:tc>
        <w:tc>
          <w:tcPr>
            <w:tcW w:w="100" w:type="dxa"/>
            <w:vAlign w:val="bottom"/>
          </w:tcPr>
          <w:p>
            <w:pPr>
              <w:spacing w:after="0"/>
              <w:rPr>
                <w:sz w:val="15"/>
                <w:szCs w:val="15"/>
                <w:color w:val="auto"/>
              </w:rPr>
            </w:pPr>
          </w:p>
        </w:tc>
        <w:tc>
          <w:tcPr>
            <w:tcW w:w="460" w:type="dxa"/>
            <w:vAlign w:val="bottom"/>
            <w:gridSpan w:val="3"/>
          </w:tcPr>
          <w:p>
            <w:pPr>
              <w:jc w:val="right"/>
              <w:spacing w:after="0"/>
              <w:rPr>
                <w:sz w:val="20"/>
                <w:szCs w:val="20"/>
                <w:color w:val="auto"/>
              </w:rPr>
            </w:pPr>
            <w:r>
              <w:rPr>
                <w:rFonts w:ascii="Arial" w:cs="Arial" w:eastAsia="Arial" w:hAnsi="Arial"/>
                <w:sz w:val="14"/>
                <w:szCs w:val="14"/>
                <w:color w:val="auto"/>
              </w:rPr>
              <w:t>16%</w:t>
            </w:r>
          </w:p>
        </w:tc>
        <w:tc>
          <w:tcPr>
            <w:tcW w:w="360" w:type="dxa"/>
            <w:vAlign w:val="bottom"/>
            <w:gridSpan w:val="3"/>
          </w:tcPr>
          <w:p>
            <w:pPr>
              <w:jc w:val="center"/>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72,374</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16%</w:t>
            </w:r>
          </w:p>
        </w:tc>
        <w:tc>
          <w:tcPr>
            <w:tcW w:w="960" w:type="dxa"/>
            <w:vAlign w:val="bottom"/>
            <w:gridSpan w:val="2"/>
          </w:tcPr>
          <w:p>
            <w:pPr>
              <w:jc w:val="right"/>
              <w:ind w:right="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6"/>
        </w:trPr>
        <w:tc>
          <w:tcPr>
            <w:tcW w:w="5720" w:type="dxa"/>
            <w:vAlign w:val="bottom"/>
          </w:tcPr>
          <w:p>
            <w:pPr>
              <w:ind w:left="140"/>
              <w:spacing w:after="0"/>
              <w:rPr>
                <w:sz w:val="20"/>
                <w:szCs w:val="20"/>
                <w:color w:val="auto"/>
              </w:rPr>
            </w:pPr>
            <w:r>
              <w:rPr>
                <w:rFonts w:ascii="Arial" w:cs="Arial" w:eastAsia="Arial" w:hAnsi="Arial"/>
                <w:sz w:val="14"/>
                <w:szCs w:val="14"/>
                <w:color w:val="auto"/>
              </w:rPr>
              <w:t>Video, Imaging &amp; Sound</w:t>
            </w: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64,521</w:t>
            </w:r>
          </w:p>
        </w:tc>
        <w:tc>
          <w:tcPr>
            <w:tcW w:w="100" w:type="dxa"/>
            <w:vAlign w:val="bottom"/>
          </w:tcPr>
          <w:p>
            <w:pPr>
              <w:spacing w:after="0"/>
              <w:rPr>
                <w:sz w:val="15"/>
                <w:szCs w:val="15"/>
                <w:color w:val="auto"/>
              </w:rPr>
            </w:pPr>
          </w:p>
        </w:tc>
        <w:tc>
          <w:tcPr>
            <w:tcW w:w="460" w:type="dxa"/>
            <w:vAlign w:val="bottom"/>
            <w:gridSpan w:val="3"/>
          </w:tcPr>
          <w:p>
            <w:pPr>
              <w:jc w:val="right"/>
              <w:ind w:right="48"/>
              <w:spacing w:after="0"/>
              <w:rPr>
                <w:sz w:val="20"/>
                <w:szCs w:val="20"/>
                <w:color w:val="auto"/>
              </w:rPr>
            </w:pPr>
            <w:r>
              <w:rPr>
                <w:rFonts w:ascii="Arial" w:cs="Arial" w:eastAsia="Arial" w:hAnsi="Arial"/>
                <w:sz w:val="14"/>
                <w:szCs w:val="14"/>
                <w:color w:val="auto"/>
              </w:rPr>
              <w:t>14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59,146</w:t>
            </w:r>
          </w:p>
        </w:tc>
        <w:tc>
          <w:tcPr>
            <w:tcW w:w="520" w:type="dxa"/>
            <w:vAlign w:val="bottom"/>
            <w:gridSpan w:val="2"/>
          </w:tcPr>
          <w:p>
            <w:pPr>
              <w:jc w:val="right"/>
              <w:ind w:right="88"/>
              <w:spacing w:after="0"/>
              <w:rPr>
                <w:sz w:val="20"/>
                <w:szCs w:val="20"/>
                <w:color w:val="auto"/>
              </w:rPr>
            </w:pPr>
            <w:r>
              <w:rPr>
                <w:rFonts w:ascii="Arial" w:cs="Arial" w:eastAsia="Arial" w:hAnsi="Arial"/>
                <w:sz w:val="14"/>
                <w:szCs w:val="14"/>
                <w:color w:val="auto"/>
              </w:rPr>
              <w:t>13</w:t>
            </w:r>
          </w:p>
        </w:tc>
        <w:tc>
          <w:tcPr>
            <w:tcW w:w="960" w:type="dxa"/>
            <w:vAlign w:val="bottom"/>
            <w:gridSpan w:val="2"/>
          </w:tcPr>
          <w:p>
            <w:pPr>
              <w:jc w:val="right"/>
              <w:ind w:right="16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76"/>
        </w:trPr>
        <w:tc>
          <w:tcPr>
            <w:tcW w:w="5720" w:type="dxa"/>
            <w:vAlign w:val="bottom"/>
          </w:tcPr>
          <w:p>
            <w:pPr>
              <w:ind w:left="140"/>
              <w:spacing w:after="0"/>
              <w:rPr>
                <w:sz w:val="20"/>
                <w:szCs w:val="20"/>
                <w:color w:val="auto"/>
              </w:rPr>
            </w:pPr>
            <w:r>
              <w:rPr>
                <w:rFonts w:ascii="Arial" w:cs="Arial" w:eastAsia="Arial" w:hAnsi="Arial"/>
                <w:sz w:val="14"/>
                <w:szCs w:val="14"/>
                <w:color w:val="auto"/>
              </w:rPr>
              <w:t>Desktops/Servers</w:t>
            </w: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62,035</w:t>
            </w:r>
          </w:p>
        </w:tc>
        <w:tc>
          <w:tcPr>
            <w:tcW w:w="100" w:type="dxa"/>
            <w:vAlign w:val="bottom"/>
          </w:tcPr>
          <w:p>
            <w:pPr>
              <w:spacing w:after="0"/>
              <w:rPr>
                <w:sz w:val="15"/>
                <w:szCs w:val="15"/>
                <w:color w:val="auto"/>
              </w:rPr>
            </w:pPr>
          </w:p>
        </w:tc>
        <w:tc>
          <w:tcPr>
            <w:tcW w:w="460" w:type="dxa"/>
            <w:vAlign w:val="bottom"/>
            <w:gridSpan w:val="3"/>
          </w:tcPr>
          <w:p>
            <w:pPr>
              <w:jc w:val="right"/>
              <w:ind w:right="48"/>
              <w:spacing w:after="0"/>
              <w:rPr>
                <w:sz w:val="20"/>
                <w:szCs w:val="20"/>
                <w:color w:val="auto"/>
              </w:rPr>
            </w:pPr>
            <w:r>
              <w:rPr>
                <w:rFonts w:ascii="Arial" w:cs="Arial" w:eastAsia="Arial" w:hAnsi="Arial"/>
                <w:sz w:val="14"/>
                <w:szCs w:val="14"/>
                <w:color w:val="auto"/>
              </w:rPr>
              <w:t>14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62,479</w:t>
            </w:r>
          </w:p>
        </w:tc>
        <w:tc>
          <w:tcPr>
            <w:tcW w:w="520" w:type="dxa"/>
            <w:vAlign w:val="bottom"/>
            <w:gridSpan w:val="2"/>
          </w:tcPr>
          <w:p>
            <w:pPr>
              <w:jc w:val="right"/>
              <w:ind w:right="88"/>
              <w:spacing w:after="0"/>
              <w:rPr>
                <w:sz w:val="20"/>
                <w:szCs w:val="20"/>
                <w:color w:val="auto"/>
              </w:rPr>
            </w:pPr>
            <w:r>
              <w:rPr>
                <w:rFonts w:ascii="Arial" w:cs="Arial" w:eastAsia="Arial" w:hAnsi="Arial"/>
                <w:sz w:val="14"/>
                <w:szCs w:val="14"/>
                <w:color w:val="auto"/>
              </w:rPr>
              <w:t>14</w:t>
            </w:r>
          </w:p>
        </w:tc>
        <w:tc>
          <w:tcPr>
            <w:tcW w:w="960" w:type="dxa"/>
            <w:vAlign w:val="bottom"/>
            <w:gridSpan w:val="2"/>
          </w:tcPr>
          <w:p>
            <w:pPr>
              <w:jc w:val="right"/>
              <w:ind w:right="1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6"/>
        </w:trPr>
        <w:tc>
          <w:tcPr>
            <w:tcW w:w="5720" w:type="dxa"/>
            <w:vAlign w:val="bottom"/>
          </w:tcPr>
          <w:p>
            <w:pPr>
              <w:ind w:left="140"/>
              <w:spacing w:after="0"/>
              <w:rPr>
                <w:sz w:val="20"/>
                <w:szCs w:val="20"/>
                <w:color w:val="auto"/>
              </w:rPr>
            </w:pPr>
            <w:r>
              <w:rPr>
                <w:rFonts w:ascii="Arial" w:cs="Arial" w:eastAsia="Arial" w:hAnsi="Arial"/>
                <w:sz w:val="14"/>
                <w:szCs w:val="14"/>
                <w:color w:val="auto"/>
              </w:rPr>
              <w:t>Software</w:t>
            </w: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57,010</w:t>
            </w:r>
          </w:p>
        </w:tc>
        <w:tc>
          <w:tcPr>
            <w:tcW w:w="100" w:type="dxa"/>
            <w:vAlign w:val="bottom"/>
          </w:tcPr>
          <w:p>
            <w:pPr>
              <w:spacing w:after="0"/>
              <w:rPr>
                <w:sz w:val="15"/>
                <w:szCs w:val="15"/>
                <w:color w:val="auto"/>
              </w:rPr>
            </w:pPr>
          </w:p>
        </w:tc>
        <w:tc>
          <w:tcPr>
            <w:tcW w:w="460" w:type="dxa"/>
            <w:vAlign w:val="bottom"/>
            <w:gridSpan w:val="3"/>
          </w:tcPr>
          <w:p>
            <w:pPr>
              <w:jc w:val="right"/>
              <w:ind w:right="48"/>
              <w:spacing w:after="0"/>
              <w:rPr>
                <w:sz w:val="20"/>
                <w:szCs w:val="20"/>
                <w:color w:val="auto"/>
              </w:rPr>
            </w:pPr>
            <w:r>
              <w:rPr>
                <w:rFonts w:ascii="Arial" w:cs="Arial" w:eastAsia="Arial" w:hAnsi="Arial"/>
                <w:sz w:val="14"/>
                <w:szCs w:val="14"/>
                <w:color w:val="auto"/>
              </w:rPr>
              <w:t>13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56,205</w:t>
            </w:r>
          </w:p>
        </w:tc>
        <w:tc>
          <w:tcPr>
            <w:tcW w:w="520" w:type="dxa"/>
            <w:vAlign w:val="bottom"/>
            <w:gridSpan w:val="2"/>
          </w:tcPr>
          <w:p>
            <w:pPr>
              <w:jc w:val="right"/>
              <w:ind w:right="88"/>
              <w:spacing w:after="0"/>
              <w:rPr>
                <w:sz w:val="20"/>
                <w:szCs w:val="20"/>
                <w:color w:val="auto"/>
              </w:rPr>
            </w:pPr>
            <w:r>
              <w:rPr>
                <w:rFonts w:ascii="Arial" w:cs="Arial" w:eastAsia="Arial" w:hAnsi="Arial"/>
                <w:sz w:val="14"/>
                <w:szCs w:val="14"/>
                <w:color w:val="auto"/>
              </w:rPr>
              <w:t>13</w:t>
            </w:r>
          </w:p>
        </w:tc>
        <w:tc>
          <w:tcPr>
            <w:tcW w:w="960" w:type="dxa"/>
            <w:vAlign w:val="bottom"/>
            <w:gridSpan w:val="2"/>
          </w:tcPr>
          <w:p>
            <w:pPr>
              <w:jc w:val="right"/>
              <w:ind w:right="16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6"/>
        </w:trPr>
        <w:tc>
          <w:tcPr>
            <w:tcW w:w="5720" w:type="dxa"/>
            <w:vAlign w:val="bottom"/>
          </w:tcPr>
          <w:p>
            <w:pPr>
              <w:ind w:left="140"/>
              <w:spacing w:after="0"/>
              <w:rPr>
                <w:sz w:val="20"/>
                <w:szCs w:val="20"/>
                <w:color w:val="auto"/>
              </w:rPr>
            </w:pPr>
            <w:r>
              <w:rPr>
                <w:rFonts w:ascii="Arial" w:cs="Arial" w:eastAsia="Arial" w:hAnsi="Arial"/>
                <w:sz w:val="14"/>
                <w:szCs w:val="14"/>
                <w:color w:val="auto"/>
              </w:rPr>
              <w:t>Net/Com Products</w:t>
            </w: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51,046</w:t>
            </w:r>
          </w:p>
        </w:tc>
        <w:tc>
          <w:tcPr>
            <w:tcW w:w="100" w:type="dxa"/>
            <w:vAlign w:val="bottom"/>
          </w:tcPr>
          <w:p>
            <w:pPr>
              <w:spacing w:after="0"/>
              <w:rPr>
                <w:sz w:val="15"/>
                <w:szCs w:val="15"/>
                <w:color w:val="auto"/>
              </w:rPr>
            </w:pPr>
          </w:p>
        </w:tc>
        <w:tc>
          <w:tcPr>
            <w:tcW w:w="460" w:type="dxa"/>
            <w:vAlign w:val="bottom"/>
            <w:gridSpan w:val="3"/>
          </w:tcPr>
          <w:p>
            <w:pPr>
              <w:jc w:val="right"/>
              <w:ind w:right="48"/>
              <w:spacing w:after="0"/>
              <w:rPr>
                <w:sz w:val="20"/>
                <w:szCs w:val="20"/>
                <w:color w:val="auto"/>
              </w:rPr>
            </w:pPr>
            <w:r>
              <w:rPr>
                <w:rFonts w:ascii="Arial" w:cs="Arial" w:eastAsia="Arial" w:hAnsi="Arial"/>
                <w:sz w:val="14"/>
                <w:szCs w:val="14"/>
                <w:color w:val="auto"/>
              </w:rPr>
              <w:t>11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35,630</w:t>
            </w:r>
          </w:p>
        </w:tc>
        <w:tc>
          <w:tcPr>
            <w:tcW w:w="520" w:type="dxa"/>
            <w:vAlign w:val="bottom"/>
            <w:gridSpan w:val="2"/>
          </w:tcPr>
          <w:p>
            <w:pPr>
              <w:jc w:val="right"/>
              <w:ind w:right="88"/>
              <w:spacing w:after="0"/>
              <w:rPr>
                <w:sz w:val="20"/>
                <w:szCs w:val="20"/>
                <w:color w:val="auto"/>
              </w:rPr>
            </w:pPr>
            <w:r>
              <w:rPr>
                <w:rFonts w:ascii="Arial" w:cs="Arial" w:eastAsia="Arial" w:hAnsi="Arial"/>
                <w:sz w:val="14"/>
                <w:szCs w:val="14"/>
                <w:color w:val="auto"/>
              </w:rPr>
              <w:t>8</w:t>
            </w:r>
          </w:p>
        </w:tc>
        <w:tc>
          <w:tcPr>
            <w:tcW w:w="960" w:type="dxa"/>
            <w:vAlign w:val="bottom"/>
            <w:gridSpan w:val="2"/>
          </w:tcPr>
          <w:p>
            <w:pPr>
              <w:jc w:val="right"/>
              <w:ind w:right="168"/>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76"/>
        </w:trPr>
        <w:tc>
          <w:tcPr>
            <w:tcW w:w="5720" w:type="dxa"/>
            <w:vAlign w:val="bottom"/>
          </w:tcPr>
          <w:p>
            <w:pPr>
              <w:ind w:left="140"/>
              <w:spacing w:after="0"/>
              <w:rPr>
                <w:sz w:val="20"/>
                <w:szCs w:val="20"/>
                <w:color w:val="auto"/>
              </w:rPr>
            </w:pPr>
            <w:r>
              <w:rPr>
                <w:rFonts w:ascii="Arial" w:cs="Arial" w:eastAsia="Arial" w:hAnsi="Arial"/>
                <w:sz w:val="14"/>
                <w:szCs w:val="14"/>
                <w:color w:val="auto"/>
              </w:rPr>
              <w:t>Printers &amp; Printer Supplies</w:t>
            </w: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40,305</w:t>
            </w:r>
          </w:p>
        </w:tc>
        <w:tc>
          <w:tcPr>
            <w:tcW w:w="100" w:type="dxa"/>
            <w:vAlign w:val="bottom"/>
          </w:tcPr>
          <w:p>
            <w:pPr>
              <w:spacing w:after="0"/>
              <w:rPr>
                <w:sz w:val="15"/>
                <w:szCs w:val="15"/>
                <w:color w:val="auto"/>
              </w:rPr>
            </w:pPr>
          </w:p>
        </w:tc>
        <w:tc>
          <w:tcPr>
            <w:tcW w:w="460" w:type="dxa"/>
            <w:vAlign w:val="bottom"/>
            <w:gridSpan w:val="3"/>
          </w:tcPr>
          <w:p>
            <w:pPr>
              <w:jc w:val="right"/>
              <w:ind w:right="48"/>
              <w:spacing w:after="0"/>
              <w:rPr>
                <w:sz w:val="20"/>
                <w:szCs w:val="20"/>
                <w:color w:val="auto"/>
              </w:rPr>
            </w:pPr>
            <w:r>
              <w:rPr>
                <w:rFonts w:ascii="Arial" w:cs="Arial" w:eastAsia="Arial" w:hAnsi="Arial"/>
                <w:sz w:val="14"/>
                <w:szCs w:val="14"/>
                <w:color w:val="auto"/>
              </w:rPr>
              <w:t>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41,743</w:t>
            </w:r>
          </w:p>
        </w:tc>
        <w:tc>
          <w:tcPr>
            <w:tcW w:w="520" w:type="dxa"/>
            <w:vAlign w:val="bottom"/>
            <w:gridSpan w:val="2"/>
          </w:tcPr>
          <w:p>
            <w:pPr>
              <w:jc w:val="right"/>
              <w:ind w:right="88"/>
              <w:spacing w:after="0"/>
              <w:rPr>
                <w:sz w:val="20"/>
                <w:szCs w:val="20"/>
                <w:color w:val="auto"/>
              </w:rPr>
            </w:pPr>
            <w:r>
              <w:rPr>
                <w:rFonts w:ascii="Arial" w:cs="Arial" w:eastAsia="Arial" w:hAnsi="Arial"/>
                <w:sz w:val="14"/>
                <w:szCs w:val="14"/>
                <w:color w:val="auto"/>
              </w:rPr>
              <w:t>10</w:t>
            </w:r>
          </w:p>
        </w:tc>
        <w:tc>
          <w:tcPr>
            <w:tcW w:w="960" w:type="dxa"/>
            <w:vAlign w:val="bottom"/>
            <w:gridSpan w:val="2"/>
          </w:tcPr>
          <w:p>
            <w:pPr>
              <w:jc w:val="right"/>
              <w:ind w:right="1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6"/>
        </w:trPr>
        <w:tc>
          <w:tcPr>
            <w:tcW w:w="5720" w:type="dxa"/>
            <w:vAlign w:val="bottom"/>
          </w:tcPr>
          <w:p>
            <w:pPr>
              <w:ind w:left="140"/>
              <w:spacing w:after="0"/>
              <w:rPr>
                <w:sz w:val="20"/>
                <w:szCs w:val="20"/>
                <w:color w:val="auto"/>
              </w:rPr>
            </w:pPr>
            <w:r>
              <w:rPr>
                <w:rFonts w:ascii="Arial" w:cs="Arial" w:eastAsia="Arial" w:hAnsi="Arial"/>
                <w:sz w:val="14"/>
                <w:szCs w:val="14"/>
                <w:color w:val="auto"/>
              </w:rPr>
              <w:t>Storage Devices</w:t>
            </w: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36,583</w:t>
            </w:r>
          </w:p>
        </w:tc>
        <w:tc>
          <w:tcPr>
            <w:tcW w:w="100" w:type="dxa"/>
            <w:vAlign w:val="bottom"/>
          </w:tcPr>
          <w:p>
            <w:pPr>
              <w:spacing w:after="0"/>
              <w:rPr>
                <w:sz w:val="15"/>
                <w:szCs w:val="15"/>
                <w:color w:val="auto"/>
              </w:rPr>
            </w:pPr>
          </w:p>
        </w:tc>
        <w:tc>
          <w:tcPr>
            <w:tcW w:w="460" w:type="dxa"/>
            <w:vAlign w:val="bottom"/>
            <w:gridSpan w:val="3"/>
          </w:tcPr>
          <w:p>
            <w:pPr>
              <w:jc w:val="right"/>
              <w:ind w:right="48"/>
              <w:spacing w:after="0"/>
              <w:rPr>
                <w:sz w:val="20"/>
                <w:szCs w:val="20"/>
                <w:color w:val="auto"/>
              </w:rPr>
            </w:pPr>
            <w:r>
              <w:rPr>
                <w:rFonts w:ascii="Arial" w:cs="Arial" w:eastAsia="Arial" w:hAnsi="Arial"/>
                <w:sz w:val="14"/>
                <w:szCs w:val="14"/>
                <w:color w:val="auto"/>
              </w:rPr>
              <w:t>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39,649</w:t>
            </w:r>
          </w:p>
        </w:tc>
        <w:tc>
          <w:tcPr>
            <w:tcW w:w="520" w:type="dxa"/>
            <w:vAlign w:val="bottom"/>
            <w:gridSpan w:val="2"/>
          </w:tcPr>
          <w:p>
            <w:pPr>
              <w:jc w:val="right"/>
              <w:ind w:right="88"/>
              <w:spacing w:after="0"/>
              <w:rPr>
                <w:sz w:val="20"/>
                <w:szCs w:val="20"/>
                <w:color w:val="auto"/>
              </w:rPr>
            </w:pPr>
            <w:r>
              <w:rPr>
                <w:rFonts w:ascii="Arial" w:cs="Arial" w:eastAsia="Arial" w:hAnsi="Arial"/>
                <w:sz w:val="14"/>
                <w:szCs w:val="14"/>
                <w:color w:val="auto"/>
              </w:rPr>
              <w:t>9</w:t>
            </w:r>
          </w:p>
        </w:tc>
        <w:tc>
          <w:tcPr>
            <w:tcW w:w="960" w:type="dxa"/>
            <w:vAlign w:val="bottom"/>
            <w:gridSpan w:val="2"/>
          </w:tcPr>
          <w:p>
            <w:pPr>
              <w:jc w:val="right"/>
              <w:ind w:right="12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6"/>
        </w:trPr>
        <w:tc>
          <w:tcPr>
            <w:tcW w:w="5720" w:type="dxa"/>
            <w:vAlign w:val="bottom"/>
          </w:tcPr>
          <w:p>
            <w:pPr>
              <w:ind w:left="140"/>
              <w:spacing w:after="0"/>
              <w:rPr>
                <w:sz w:val="20"/>
                <w:szCs w:val="20"/>
                <w:color w:val="auto"/>
              </w:rPr>
            </w:pPr>
            <w:r>
              <w:rPr>
                <w:rFonts w:ascii="Arial" w:cs="Arial" w:eastAsia="Arial" w:hAnsi="Arial"/>
                <w:sz w:val="14"/>
                <w:szCs w:val="14"/>
                <w:color w:val="auto"/>
              </w:rPr>
              <w:t>Memory &amp; System Enhancements</w:t>
            </w: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17,887</w:t>
            </w:r>
          </w:p>
        </w:tc>
        <w:tc>
          <w:tcPr>
            <w:tcW w:w="100" w:type="dxa"/>
            <w:vAlign w:val="bottom"/>
          </w:tcPr>
          <w:p>
            <w:pPr>
              <w:spacing w:after="0"/>
              <w:rPr>
                <w:sz w:val="15"/>
                <w:szCs w:val="15"/>
                <w:color w:val="auto"/>
              </w:rPr>
            </w:pPr>
          </w:p>
        </w:tc>
        <w:tc>
          <w:tcPr>
            <w:tcW w:w="460" w:type="dxa"/>
            <w:vAlign w:val="bottom"/>
            <w:gridSpan w:val="3"/>
          </w:tcPr>
          <w:p>
            <w:pPr>
              <w:jc w:val="right"/>
              <w:ind w:right="48"/>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24,032</w:t>
            </w:r>
          </w:p>
        </w:tc>
        <w:tc>
          <w:tcPr>
            <w:tcW w:w="520" w:type="dxa"/>
            <w:vAlign w:val="bottom"/>
            <w:gridSpan w:val="2"/>
          </w:tcPr>
          <w:p>
            <w:pPr>
              <w:jc w:val="right"/>
              <w:ind w:right="88"/>
              <w:spacing w:after="0"/>
              <w:rPr>
                <w:sz w:val="20"/>
                <w:szCs w:val="20"/>
                <w:color w:val="auto"/>
              </w:rPr>
            </w:pPr>
            <w:r>
              <w:rPr>
                <w:rFonts w:ascii="Arial" w:cs="Arial" w:eastAsia="Arial" w:hAnsi="Arial"/>
                <w:sz w:val="14"/>
                <w:szCs w:val="14"/>
                <w:color w:val="auto"/>
              </w:rPr>
              <w:t>6</w:t>
            </w:r>
          </w:p>
        </w:tc>
        <w:tc>
          <w:tcPr>
            <w:tcW w:w="960" w:type="dxa"/>
            <w:vAlign w:val="bottom"/>
            <w:gridSpan w:val="2"/>
          </w:tcPr>
          <w:p>
            <w:pPr>
              <w:jc w:val="right"/>
              <w:ind w:right="12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1"/>
        </w:trPr>
        <w:tc>
          <w:tcPr>
            <w:tcW w:w="5720" w:type="dxa"/>
            <w:vAlign w:val="bottom"/>
          </w:tcPr>
          <w:p>
            <w:pPr>
              <w:ind w:left="140"/>
              <w:spacing w:after="0"/>
              <w:rPr>
                <w:sz w:val="20"/>
                <w:szCs w:val="20"/>
                <w:color w:val="auto"/>
              </w:rPr>
            </w:pPr>
            <w:r>
              <w:rPr>
                <w:rFonts w:ascii="Arial" w:cs="Arial" w:eastAsia="Arial" w:hAnsi="Arial"/>
                <w:sz w:val="14"/>
                <w:szCs w:val="14"/>
                <w:color w:val="auto"/>
              </w:rPr>
              <w:t>Accessories/Other</w:t>
            </w: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50,073</w:t>
            </w:r>
          </w:p>
        </w:tc>
        <w:tc>
          <w:tcPr>
            <w:tcW w:w="100" w:type="dxa"/>
            <w:vAlign w:val="bottom"/>
          </w:tcPr>
          <w:p>
            <w:pPr>
              <w:spacing w:after="0"/>
              <w:rPr>
                <w:sz w:val="15"/>
                <w:szCs w:val="15"/>
                <w:color w:val="auto"/>
              </w:rPr>
            </w:pPr>
          </w:p>
        </w:tc>
        <w:tc>
          <w:tcPr>
            <w:tcW w:w="460" w:type="dxa"/>
            <w:vAlign w:val="bottom"/>
            <w:gridSpan w:val="3"/>
          </w:tcPr>
          <w:p>
            <w:pPr>
              <w:jc w:val="right"/>
              <w:ind w:right="48"/>
              <w:spacing w:after="0"/>
              <w:rPr>
                <w:sz w:val="20"/>
                <w:szCs w:val="20"/>
                <w:color w:val="auto"/>
              </w:rPr>
            </w:pPr>
            <w:r>
              <w:rPr>
                <w:rFonts w:ascii="Arial" w:cs="Arial" w:eastAsia="Arial" w:hAnsi="Arial"/>
                <w:sz w:val="14"/>
                <w:szCs w:val="14"/>
                <w:color w:val="auto"/>
              </w:rPr>
              <w:t>11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49,864</w:t>
            </w:r>
          </w:p>
        </w:tc>
        <w:tc>
          <w:tcPr>
            <w:tcW w:w="520" w:type="dxa"/>
            <w:vAlign w:val="bottom"/>
            <w:gridSpan w:val="2"/>
          </w:tcPr>
          <w:p>
            <w:pPr>
              <w:jc w:val="right"/>
              <w:ind w:right="88"/>
              <w:spacing w:after="0"/>
              <w:rPr>
                <w:sz w:val="20"/>
                <w:szCs w:val="20"/>
                <w:color w:val="auto"/>
              </w:rPr>
            </w:pPr>
            <w:r>
              <w:rPr>
                <w:rFonts w:ascii="Arial" w:cs="Arial" w:eastAsia="Arial" w:hAnsi="Arial"/>
                <w:sz w:val="14"/>
                <w:szCs w:val="14"/>
                <w:color w:val="auto"/>
              </w:rPr>
              <w:t>11</w:t>
            </w:r>
          </w:p>
        </w:tc>
        <w:tc>
          <w:tcPr>
            <w:tcW w:w="9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5720" w:type="dxa"/>
            <w:vAlign w:val="bottom"/>
          </w:tcPr>
          <w:p>
            <w:pPr>
              <w:ind w:left="140"/>
              <w:spacing w:after="0"/>
              <w:rPr>
                <w:sz w:val="20"/>
                <w:szCs w:val="20"/>
                <w:color w:val="auto"/>
              </w:rPr>
            </w:pPr>
            <w:r>
              <w:rPr>
                <w:rFonts w:ascii="Arial" w:cs="Arial" w:eastAsia="Arial" w:hAnsi="Arial"/>
                <w:sz w:val="14"/>
                <w:szCs w:val="14"/>
                <w:color w:val="auto"/>
              </w:rPr>
              <w:t>Total</w:t>
            </w:r>
          </w:p>
        </w:tc>
        <w:tc>
          <w:tcPr>
            <w:tcW w:w="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center"/>
              <w:ind w:right="4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449,399</w:t>
            </w:r>
          </w:p>
        </w:tc>
        <w:tc>
          <w:tcPr>
            <w:tcW w:w="100" w:type="dxa"/>
            <w:vAlign w:val="bottom"/>
            <w:tcBorders>
              <w:top w:val="single" w:sz="8" w:color="auto"/>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center"/>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441,122</w:t>
            </w:r>
          </w:p>
        </w:tc>
        <w:tc>
          <w:tcPr>
            <w:tcW w:w="8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960" w:type="dxa"/>
            <w:vAlign w:val="bottom"/>
            <w:gridSpan w:val="2"/>
          </w:tcPr>
          <w:p>
            <w:pPr>
              <w:jc w:val="right"/>
              <w:ind w:right="4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Sales of Enterprise Server and Networking Products (included in the above Product Mix):</w:t>
            </w:r>
          </w:p>
        </w:tc>
        <w:tc>
          <w:tcPr>
            <w:tcW w:w="1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622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5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gridSpan w:val="2"/>
          </w:tcPr>
          <w:p>
            <w:pPr>
              <w:jc w:val="center"/>
              <w:ind w:left="94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163,228</w:t>
            </w:r>
          </w:p>
        </w:tc>
        <w:tc>
          <w:tcPr>
            <w:tcW w:w="100" w:type="dxa"/>
            <w:vAlign w:val="bottom"/>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Arial" w:cs="Arial" w:eastAsia="Arial" w:hAnsi="Arial"/>
                <w:sz w:val="14"/>
                <w:szCs w:val="14"/>
                <w:color w:val="auto"/>
              </w:rPr>
              <w:t>36%</w:t>
            </w:r>
          </w:p>
        </w:tc>
        <w:tc>
          <w:tcPr>
            <w:tcW w:w="360" w:type="dxa"/>
            <w:vAlign w:val="bottom"/>
            <w:gridSpan w:val="3"/>
          </w:tcPr>
          <w:p>
            <w:pPr>
              <w:jc w:val="center"/>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144,552</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33%</w:t>
            </w:r>
          </w:p>
        </w:tc>
        <w:tc>
          <w:tcPr>
            <w:tcW w:w="960" w:type="dxa"/>
            <w:vAlign w:val="bottom"/>
            <w:gridSpan w:val="2"/>
          </w:tcPr>
          <w:p>
            <w:pPr>
              <w:jc w:val="right"/>
              <w:ind w:right="4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Stock Performance Indicators:</w:t>
            </w: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57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720" w:type="dxa"/>
            <w:vAlign w:val="bottom"/>
          </w:tcPr>
          <w:p>
            <w:pPr>
              <w:ind w:left="140"/>
              <w:spacing w:after="0" w:line="209" w:lineRule="exact"/>
              <w:rPr>
                <w:sz w:val="20"/>
                <w:szCs w:val="20"/>
                <w:color w:val="auto"/>
              </w:rPr>
            </w:pPr>
            <w:r>
              <w:rPr>
                <w:rFonts w:ascii="Arial" w:cs="Arial" w:eastAsia="Arial" w:hAnsi="Arial"/>
                <w:sz w:val="14"/>
                <w:szCs w:val="14"/>
                <w:color w:val="auto"/>
              </w:rPr>
              <w:t xml:space="preserve">Actual shares outstanding </w:t>
            </w:r>
            <w:r>
              <w:rPr>
                <w:rFonts w:ascii="Arial" w:cs="Arial" w:eastAsia="Arial" w:hAnsi="Arial"/>
                <w:sz w:val="23"/>
                <w:szCs w:val="23"/>
                <w:color w:val="auto"/>
                <w:vertAlign w:val="superscript"/>
              </w:rPr>
              <w:t>(4)</w:t>
            </w: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27,057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26,824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720" w:type="dxa"/>
            <w:vAlign w:val="bottom"/>
          </w:tcPr>
          <w:p>
            <w:pPr>
              <w:ind w:left="140"/>
              <w:spacing w:after="0"/>
              <w:rPr>
                <w:sz w:val="20"/>
                <w:szCs w:val="20"/>
                <w:color w:val="auto"/>
              </w:rPr>
            </w:pPr>
            <w:r>
              <w:rPr>
                <w:rFonts w:ascii="Arial" w:cs="Arial" w:eastAsia="Arial" w:hAnsi="Arial"/>
                <w:sz w:val="14"/>
                <w:szCs w:val="14"/>
                <w:color w:val="auto"/>
              </w:rPr>
              <w:t>Total book value per share</w:t>
            </w:r>
          </w:p>
        </w:tc>
        <w:tc>
          <w:tcPr>
            <w:tcW w:w="500" w:type="dxa"/>
            <w:vAlign w:val="bottom"/>
          </w:tcPr>
          <w:p>
            <w:pPr>
              <w:spacing w:after="0"/>
              <w:rPr>
                <w:sz w:val="15"/>
                <w:szCs w:val="15"/>
                <w:color w:val="auto"/>
              </w:rPr>
            </w:pPr>
          </w:p>
        </w:tc>
        <w:tc>
          <w:tcPr>
            <w:tcW w:w="1400" w:type="dxa"/>
            <w:vAlign w:val="bottom"/>
            <w:gridSpan w:val="2"/>
          </w:tcPr>
          <w:p>
            <w:pPr>
              <w:jc w:val="center"/>
              <w:ind w:left="94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8.72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gridSpan w:val="3"/>
          </w:tcPr>
          <w:p>
            <w:pPr>
              <w:jc w:val="center"/>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7.80</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20" w:type="dxa"/>
            <w:vAlign w:val="bottom"/>
          </w:tcPr>
          <w:p>
            <w:pPr>
              <w:ind w:left="140"/>
              <w:spacing w:after="0"/>
              <w:rPr>
                <w:sz w:val="20"/>
                <w:szCs w:val="20"/>
                <w:color w:val="auto"/>
              </w:rPr>
            </w:pPr>
            <w:r>
              <w:rPr>
                <w:rFonts w:ascii="Arial" w:cs="Arial" w:eastAsia="Arial" w:hAnsi="Arial"/>
                <w:sz w:val="14"/>
                <w:szCs w:val="14"/>
                <w:color w:val="auto"/>
              </w:rPr>
              <w:t>Tangible book value per share</w:t>
            </w:r>
          </w:p>
        </w:tc>
        <w:tc>
          <w:tcPr>
            <w:tcW w:w="500" w:type="dxa"/>
            <w:vAlign w:val="bottom"/>
          </w:tcPr>
          <w:p>
            <w:pPr>
              <w:spacing w:after="0"/>
              <w:rPr>
                <w:sz w:val="15"/>
                <w:szCs w:val="15"/>
                <w:color w:val="auto"/>
              </w:rPr>
            </w:pPr>
          </w:p>
        </w:tc>
        <w:tc>
          <w:tcPr>
            <w:tcW w:w="1400" w:type="dxa"/>
            <w:vAlign w:val="bottom"/>
            <w:gridSpan w:val="2"/>
          </w:tcPr>
          <w:p>
            <w:pPr>
              <w:jc w:val="center"/>
              <w:ind w:left="94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6.50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gridSpan w:val="3"/>
          </w:tcPr>
          <w:p>
            <w:pPr>
              <w:jc w:val="center"/>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5.54</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20" w:type="dxa"/>
            <w:vAlign w:val="bottom"/>
          </w:tcPr>
          <w:p>
            <w:pPr>
              <w:ind w:left="140"/>
              <w:spacing w:after="0"/>
              <w:rPr>
                <w:sz w:val="20"/>
                <w:szCs w:val="20"/>
                <w:color w:val="auto"/>
              </w:rPr>
            </w:pPr>
            <w:r>
              <w:rPr>
                <w:rFonts w:ascii="Arial" w:cs="Arial" w:eastAsia="Arial" w:hAnsi="Arial"/>
                <w:sz w:val="14"/>
                <w:szCs w:val="14"/>
                <w:color w:val="auto"/>
              </w:rPr>
              <w:t>Closing price</w:t>
            </w:r>
          </w:p>
        </w:tc>
        <w:tc>
          <w:tcPr>
            <w:tcW w:w="500" w:type="dxa"/>
            <w:vAlign w:val="bottom"/>
          </w:tcPr>
          <w:p>
            <w:pPr>
              <w:spacing w:after="0"/>
              <w:rPr>
                <w:sz w:val="15"/>
                <w:szCs w:val="15"/>
                <w:color w:val="auto"/>
              </w:rPr>
            </w:pPr>
          </w:p>
        </w:tc>
        <w:tc>
          <w:tcPr>
            <w:tcW w:w="1400" w:type="dxa"/>
            <w:vAlign w:val="bottom"/>
            <w:gridSpan w:val="2"/>
          </w:tcPr>
          <w:p>
            <w:pPr>
              <w:jc w:val="center"/>
              <w:ind w:left="94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9.31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gridSpan w:val="3"/>
          </w:tcPr>
          <w:p>
            <w:pPr>
              <w:jc w:val="center"/>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13.24</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720" w:type="dxa"/>
            <w:vAlign w:val="bottom"/>
          </w:tcPr>
          <w:p>
            <w:pPr>
              <w:ind w:left="140"/>
              <w:spacing w:after="0"/>
              <w:rPr>
                <w:sz w:val="20"/>
                <w:szCs w:val="20"/>
                <w:color w:val="auto"/>
              </w:rPr>
            </w:pPr>
            <w:r>
              <w:rPr>
                <w:rFonts w:ascii="Arial" w:cs="Arial" w:eastAsia="Arial" w:hAnsi="Arial"/>
                <w:sz w:val="14"/>
                <w:szCs w:val="14"/>
                <w:color w:val="auto"/>
              </w:rPr>
              <w:t>Market capitalization</w:t>
            </w:r>
          </w:p>
        </w:tc>
        <w:tc>
          <w:tcPr>
            <w:tcW w:w="500" w:type="dxa"/>
            <w:vAlign w:val="bottom"/>
          </w:tcPr>
          <w:p>
            <w:pPr>
              <w:spacing w:after="0"/>
              <w:rPr>
                <w:sz w:val="15"/>
                <w:szCs w:val="15"/>
                <w:color w:val="auto"/>
              </w:rPr>
            </w:pPr>
          </w:p>
        </w:tc>
        <w:tc>
          <w:tcPr>
            <w:tcW w:w="1400" w:type="dxa"/>
            <w:vAlign w:val="bottom"/>
            <w:gridSpan w:val="2"/>
          </w:tcPr>
          <w:p>
            <w:pPr>
              <w:jc w:val="center"/>
              <w:ind w:left="94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251,901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gridSpan w:val="3"/>
          </w:tcPr>
          <w:p>
            <w:pPr>
              <w:jc w:val="center"/>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355,150</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6"/>
        </w:trPr>
        <w:tc>
          <w:tcPr>
            <w:tcW w:w="5720" w:type="dxa"/>
            <w:vAlign w:val="bottom"/>
          </w:tcPr>
          <w:p>
            <w:pPr>
              <w:ind w:left="140"/>
              <w:spacing w:after="0"/>
              <w:rPr>
                <w:sz w:val="20"/>
                <w:szCs w:val="20"/>
                <w:color w:val="auto"/>
              </w:rPr>
            </w:pPr>
            <w:r>
              <w:rPr>
                <w:rFonts w:ascii="Arial" w:cs="Arial" w:eastAsia="Arial" w:hAnsi="Arial"/>
                <w:sz w:val="14"/>
                <w:szCs w:val="14"/>
                <w:color w:val="auto"/>
              </w:rPr>
              <w:t xml:space="preserve">Trailing price/earnings ratio </w:t>
            </w:r>
            <w:r>
              <w:rPr>
                <w:rFonts w:ascii="Arial" w:cs="Arial" w:eastAsia="Arial" w:hAnsi="Arial"/>
                <w:sz w:val="23"/>
                <w:szCs w:val="23"/>
                <w:color w:val="auto"/>
                <w:vertAlign w:val="superscript"/>
              </w:rPr>
              <w:t>(3)</w:t>
            </w: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720" w:type="dxa"/>
            <w:vAlign w:val="bottom"/>
          </w:tcPr>
          <w:p>
            <w:pPr>
              <w:spacing w:after="0"/>
              <w:rPr>
                <w:sz w:val="20"/>
                <w:szCs w:val="20"/>
                <w:color w:val="auto"/>
              </w:rPr>
            </w:pPr>
            <w:r>
              <w:rPr>
                <w:rFonts w:ascii="Arial" w:cs="Arial" w:eastAsia="Arial" w:hAnsi="Arial"/>
                <w:sz w:val="14"/>
                <w:szCs w:val="14"/>
                <w:color w:val="auto"/>
              </w:rPr>
              <w:t>(1) Annualized</w:t>
            </w:r>
          </w:p>
        </w:tc>
        <w:tc>
          <w:tcPr>
            <w:tcW w:w="5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720" w:type="dxa"/>
            <w:vAlign w:val="bottom"/>
          </w:tcPr>
          <w:p>
            <w:pPr>
              <w:spacing w:after="0"/>
              <w:rPr>
                <w:sz w:val="20"/>
                <w:szCs w:val="20"/>
                <w:color w:val="auto"/>
              </w:rPr>
            </w:pPr>
            <w:r>
              <w:rPr>
                <w:rFonts w:ascii="Arial" w:cs="Arial" w:eastAsia="Arial" w:hAnsi="Arial"/>
                <w:sz w:val="14"/>
                <w:szCs w:val="14"/>
                <w:color w:val="auto"/>
              </w:rPr>
              <w:t>(2) Does not reflect cancellations or returns</w:t>
            </w: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20" w:type="dxa"/>
            <w:vAlign w:val="bottom"/>
          </w:tcPr>
          <w:p>
            <w:pPr>
              <w:spacing w:after="0"/>
              <w:rPr>
                <w:sz w:val="20"/>
                <w:szCs w:val="20"/>
                <w:color w:val="auto"/>
              </w:rPr>
            </w:pPr>
            <w:r>
              <w:rPr>
                <w:rFonts w:ascii="Arial" w:cs="Arial" w:eastAsia="Arial" w:hAnsi="Arial"/>
                <w:sz w:val="14"/>
                <w:szCs w:val="14"/>
                <w:color w:val="auto"/>
              </w:rPr>
              <w:t>(3) Earnings is based on the last four quarters</w:t>
            </w: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720" w:type="dxa"/>
            <w:vAlign w:val="bottom"/>
          </w:tcPr>
          <w:p>
            <w:pPr>
              <w:spacing w:after="0"/>
              <w:rPr>
                <w:sz w:val="20"/>
                <w:szCs w:val="20"/>
                <w:color w:val="auto"/>
              </w:rPr>
            </w:pPr>
            <w:r>
              <w:rPr>
                <w:rFonts w:ascii="Arial" w:cs="Arial" w:eastAsia="Arial" w:hAnsi="Arial"/>
                <w:sz w:val="14"/>
                <w:szCs w:val="14"/>
                <w:color w:val="auto"/>
              </w:rPr>
              <w:t>(4) Includes outstanding nonvested stock awards</w:t>
            </w: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5"/>
        </w:trPr>
        <w:tc>
          <w:tcPr>
            <w:tcW w:w="5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SELECTED SEGMENT INFORMATION</w:t>
            </w:r>
          </w:p>
        </w:tc>
        <w:tc>
          <w:tcPr>
            <w:tcW w:w="5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Three Months Ended June 30,</w:t>
            </w:r>
          </w:p>
        </w:tc>
        <w:tc>
          <w:tcPr>
            <w:tcW w:w="5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2008</w:t>
            </w: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2007</w:t>
            </w: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720" w:type="dxa"/>
            <w:vAlign w:val="bottom"/>
          </w:tcPr>
          <w:p>
            <w:pPr>
              <w:spacing w:after="0" w:line="133" w:lineRule="exact"/>
              <w:rPr>
                <w:sz w:val="20"/>
                <w:szCs w:val="20"/>
                <w:color w:val="auto"/>
              </w:rPr>
            </w:pPr>
            <w:r>
              <w:rPr>
                <w:rFonts w:ascii="Arial" w:cs="Arial" w:eastAsia="Arial" w:hAnsi="Arial"/>
                <w:sz w:val="14"/>
                <w:szCs w:val="14"/>
                <w:i w:val="1"/>
                <w:iCs w:val="1"/>
                <w:color w:val="auto"/>
              </w:rPr>
              <w:t>(Dollars in thousands)</w:t>
            </w:r>
          </w:p>
        </w:tc>
        <w:tc>
          <w:tcPr>
            <w:tcW w:w="500" w:type="dxa"/>
            <w:vAlign w:val="bottom"/>
          </w:tcPr>
          <w:p>
            <w:pPr>
              <w:jc w:val="center"/>
              <w:ind w:right="48"/>
              <w:spacing w:after="0" w:line="133" w:lineRule="exact"/>
              <w:rPr>
                <w:sz w:val="20"/>
                <w:szCs w:val="20"/>
                <w:color w:val="auto"/>
              </w:rPr>
            </w:pPr>
            <w:r>
              <w:rPr>
                <w:rFonts w:ascii="Arial" w:cs="Arial" w:eastAsia="Arial" w:hAnsi="Arial"/>
                <w:sz w:val="14"/>
                <w:szCs w:val="14"/>
                <w:b w:val="1"/>
                <w:bCs w:val="1"/>
                <w:color w:val="auto"/>
                <w:w w:val="97"/>
              </w:rPr>
              <w:t>Net</w:t>
            </w:r>
          </w:p>
        </w:tc>
        <w:tc>
          <w:tcPr>
            <w:tcW w:w="1400" w:type="dxa"/>
            <w:vAlign w:val="bottom"/>
            <w:gridSpan w:val="2"/>
          </w:tcPr>
          <w:p>
            <w:pPr>
              <w:jc w:val="center"/>
              <w:ind w:left="968"/>
              <w:spacing w:after="0" w:line="133" w:lineRule="exact"/>
              <w:rPr>
                <w:sz w:val="20"/>
                <w:szCs w:val="20"/>
                <w:color w:val="auto"/>
              </w:rPr>
            </w:pPr>
            <w:r>
              <w:rPr>
                <w:rFonts w:ascii="Arial" w:cs="Arial" w:eastAsia="Arial" w:hAnsi="Arial"/>
                <w:sz w:val="14"/>
                <w:szCs w:val="14"/>
                <w:b w:val="1"/>
                <w:bCs w:val="1"/>
                <w:color w:val="auto"/>
                <w:w w:val="88"/>
              </w:rPr>
              <w:t>Gross</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7"/>
              </w:rPr>
              <w:t>Net</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3"/>
          </w:tcPr>
          <w:p>
            <w:pPr>
              <w:jc w:val="right"/>
              <w:ind w:right="588"/>
              <w:spacing w:after="0" w:line="133" w:lineRule="exact"/>
              <w:rPr>
                <w:sz w:val="20"/>
                <w:szCs w:val="20"/>
                <w:color w:val="auto"/>
              </w:rPr>
            </w:pPr>
            <w:r>
              <w:rPr>
                <w:rFonts w:ascii="Arial" w:cs="Arial" w:eastAsia="Arial" w:hAnsi="Arial"/>
                <w:sz w:val="14"/>
                <w:szCs w:val="14"/>
                <w:b w:val="1"/>
                <w:bCs w:val="1"/>
                <w:color w:val="auto"/>
              </w:rPr>
              <w:t>Gross</w:t>
            </w:r>
          </w:p>
        </w:tc>
        <w:tc>
          <w:tcPr>
            <w:tcW w:w="0" w:type="dxa"/>
            <w:vAlign w:val="bottom"/>
          </w:tcPr>
          <w:p>
            <w:pPr>
              <w:spacing w:after="0"/>
              <w:rPr>
                <w:sz w:val="1"/>
                <w:szCs w:val="1"/>
                <w:color w:val="auto"/>
              </w:rPr>
            </w:pPr>
          </w:p>
        </w:tc>
      </w:tr>
      <w:tr>
        <w:trPr>
          <w:trHeight w:val="185"/>
        </w:trPr>
        <w:tc>
          <w:tcPr>
            <w:tcW w:w="57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7"/>
              </w:rPr>
              <w:t>Sales</w:t>
            </w:r>
          </w:p>
        </w:tc>
        <w:tc>
          <w:tcPr>
            <w:tcW w:w="2040" w:type="dxa"/>
            <w:vAlign w:val="bottom"/>
            <w:tcBorders>
              <w:bottom w:val="single" w:sz="8" w:color="auto"/>
            </w:tcBorders>
            <w:gridSpan w:val="3"/>
          </w:tcPr>
          <w:p>
            <w:pPr>
              <w:jc w:val="center"/>
              <w:ind w:left="308"/>
              <w:spacing w:after="0"/>
              <w:rPr>
                <w:sz w:val="20"/>
                <w:szCs w:val="20"/>
                <w:color w:val="auto"/>
              </w:rPr>
            </w:pPr>
            <w:r>
              <w:rPr>
                <w:rFonts w:ascii="Arial" w:cs="Arial" w:eastAsia="Arial" w:hAnsi="Arial"/>
                <w:sz w:val="14"/>
                <w:szCs w:val="14"/>
                <w:b w:val="1"/>
                <w:bCs w:val="1"/>
                <w:color w:val="auto"/>
              </w:rPr>
              <w:t>Margin (%)</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1"/>
              </w:rPr>
              <w:t>Sales</w:t>
            </w: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Margin (%)</w:t>
            </w:r>
          </w:p>
        </w:tc>
        <w:tc>
          <w:tcPr>
            <w:tcW w:w="0" w:type="dxa"/>
            <w:vAlign w:val="bottom"/>
          </w:tcPr>
          <w:p>
            <w:pPr>
              <w:spacing w:after="0"/>
              <w:rPr>
                <w:sz w:val="1"/>
                <w:szCs w:val="1"/>
                <w:color w:val="auto"/>
              </w:rPr>
            </w:pPr>
          </w:p>
        </w:tc>
      </w:tr>
    </w:tbl>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20" w:type="dxa"/>
            <w:vAlign w:val="bottom"/>
          </w:tcPr>
          <w:p>
            <w:pPr>
              <w:spacing w:after="0"/>
              <w:rPr>
                <w:sz w:val="20"/>
                <w:szCs w:val="20"/>
                <w:color w:val="auto"/>
              </w:rPr>
            </w:pPr>
            <w:r>
              <w:rPr>
                <w:rFonts w:ascii="Arial" w:cs="Arial" w:eastAsia="Arial" w:hAnsi="Arial"/>
                <w:sz w:val="14"/>
                <w:szCs w:val="14"/>
                <w:color w:val="auto"/>
              </w:rPr>
              <w:t>PC Connection Sales Corporation (SMB)</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236,375</w:t>
            </w:r>
          </w:p>
        </w:tc>
        <w:tc>
          <w:tcPr>
            <w:tcW w:w="1900" w:type="dxa"/>
            <w:vAlign w:val="bottom"/>
          </w:tcPr>
          <w:p>
            <w:pPr>
              <w:ind w:left="980"/>
              <w:spacing w:after="0"/>
              <w:rPr>
                <w:sz w:val="20"/>
                <w:szCs w:val="20"/>
                <w:color w:val="auto"/>
              </w:rPr>
            </w:pPr>
            <w:r>
              <w:rPr>
                <w:rFonts w:ascii="Arial" w:cs="Arial" w:eastAsia="Arial" w:hAnsi="Arial"/>
                <w:sz w:val="14"/>
                <w:szCs w:val="14"/>
                <w:color w:val="auto"/>
              </w:rPr>
              <w:t>14.0%</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520"/>
              <w:spacing w:after="0"/>
              <w:rPr>
                <w:sz w:val="20"/>
                <w:szCs w:val="20"/>
                <w:color w:val="auto"/>
              </w:rPr>
            </w:pPr>
            <w:r>
              <w:rPr>
                <w:rFonts w:ascii="Arial" w:cs="Arial" w:eastAsia="Arial" w:hAnsi="Arial"/>
                <w:sz w:val="14"/>
                <w:szCs w:val="14"/>
                <w:color w:val="auto"/>
              </w:rPr>
              <w:t>231,935</w:t>
            </w:r>
          </w:p>
        </w:tc>
        <w:tc>
          <w:tcPr>
            <w:tcW w:w="1300" w:type="dxa"/>
            <w:vAlign w:val="bottom"/>
          </w:tcPr>
          <w:p>
            <w:pPr>
              <w:ind w:left="500"/>
              <w:spacing w:after="0"/>
              <w:rPr>
                <w:sz w:val="20"/>
                <w:szCs w:val="20"/>
                <w:color w:val="auto"/>
              </w:rPr>
            </w:pPr>
            <w:r>
              <w:rPr>
                <w:rFonts w:ascii="Arial" w:cs="Arial" w:eastAsia="Arial" w:hAnsi="Arial"/>
                <w:sz w:val="14"/>
                <w:szCs w:val="14"/>
                <w:color w:val="auto"/>
              </w:rPr>
              <w:t>13.3%</w:t>
            </w:r>
          </w:p>
        </w:tc>
      </w:tr>
      <w:tr>
        <w:trPr>
          <w:trHeight w:val="176"/>
        </w:trPr>
        <w:tc>
          <w:tcPr>
            <w:tcW w:w="5320" w:type="dxa"/>
            <w:vAlign w:val="bottom"/>
          </w:tcPr>
          <w:p>
            <w:pPr>
              <w:spacing w:after="0"/>
              <w:rPr>
                <w:sz w:val="20"/>
                <w:szCs w:val="20"/>
                <w:color w:val="auto"/>
              </w:rPr>
            </w:pPr>
            <w:r>
              <w:rPr>
                <w:rFonts w:ascii="Arial" w:cs="Arial" w:eastAsia="Arial" w:hAnsi="Arial"/>
                <w:sz w:val="14"/>
                <w:szCs w:val="14"/>
                <w:color w:val="auto"/>
              </w:rPr>
              <w:t>MoreDirect (Large Account)</w:t>
            </w: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127,368</w:t>
            </w:r>
          </w:p>
        </w:tc>
        <w:tc>
          <w:tcPr>
            <w:tcW w:w="1900" w:type="dxa"/>
            <w:vAlign w:val="bottom"/>
          </w:tcPr>
          <w:p>
            <w:pPr>
              <w:ind w:left="980"/>
              <w:spacing w:after="0"/>
              <w:rPr>
                <w:sz w:val="20"/>
                <w:szCs w:val="20"/>
                <w:color w:val="auto"/>
              </w:rPr>
            </w:pPr>
            <w:r>
              <w:rPr>
                <w:rFonts w:ascii="Arial" w:cs="Arial" w:eastAsia="Arial" w:hAnsi="Arial"/>
                <w:sz w:val="14"/>
                <w:szCs w:val="14"/>
                <w:color w:val="auto"/>
              </w:rPr>
              <w:t>11.8</w:t>
            </w:r>
          </w:p>
        </w:tc>
        <w:tc>
          <w:tcPr>
            <w:tcW w:w="440" w:type="dxa"/>
            <w:vAlign w:val="bottom"/>
          </w:tcPr>
          <w:p>
            <w:pPr>
              <w:spacing w:after="0"/>
              <w:rPr>
                <w:sz w:val="15"/>
                <w:szCs w:val="15"/>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4"/>
                <w:szCs w:val="14"/>
                <w:color w:val="auto"/>
              </w:rPr>
              <w:t>133,602</w:t>
            </w:r>
          </w:p>
        </w:tc>
        <w:tc>
          <w:tcPr>
            <w:tcW w:w="1300" w:type="dxa"/>
            <w:vAlign w:val="bottom"/>
          </w:tcPr>
          <w:p>
            <w:pPr>
              <w:ind w:left="520"/>
              <w:spacing w:after="0"/>
              <w:rPr>
                <w:sz w:val="20"/>
                <w:szCs w:val="20"/>
                <w:color w:val="auto"/>
              </w:rPr>
            </w:pPr>
            <w:r>
              <w:rPr>
                <w:rFonts w:ascii="Arial" w:cs="Arial" w:eastAsia="Arial" w:hAnsi="Arial"/>
                <w:sz w:val="14"/>
                <w:szCs w:val="14"/>
                <w:color w:val="auto"/>
              </w:rPr>
              <w:t>11.3</w:t>
            </w:r>
          </w:p>
        </w:tc>
      </w:tr>
      <w:tr>
        <w:trPr>
          <w:trHeight w:val="181"/>
        </w:trPr>
        <w:tc>
          <w:tcPr>
            <w:tcW w:w="5320" w:type="dxa"/>
            <w:vAlign w:val="bottom"/>
          </w:tcPr>
          <w:p>
            <w:pPr>
              <w:spacing w:after="0"/>
              <w:rPr>
                <w:sz w:val="20"/>
                <w:szCs w:val="20"/>
                <w:color w:val="auto"/>
              </w:rPr>
            </w:pPr>
            <w:r>
              <w:rPr>
                <w:rFonts w:ascii="Arial" w:cs="Arial" w:eastAsia="Arial" w:hAnsi="Arial"/>
                <w:sz w:val="14"/>
                <w:szCs w:val="14"/>
                <w:color w:val="auto"/>
              </w:rPr>
              <w:t>GovConnection (Public Sector)</w:t>
            </w: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85,656</w:t>
            </w:r>
          </w:p>
        </w:tc>
        <w:tc>
          <w:tcPr>
            <w:tcW w:w="1900" w:type="dxa"/>
            <w:vAlign w:val="bottom"/>
          </w:tcPr>
          <w:p>
            <w:pPr>
              <w:ind w:left="980"/>
              <w:spacing w:after="0"/>
              <w:rPr>
                <w:sz w:val="20"/>
                <w:szCs w:val="20"/>
                <w:color w:val="auto"/>
              </w:rPr>
            </w:pPr>
            <w:r>
              <w:rPr>
                <w:rFonts w:ascii="Arial" w:cs="Arial" w:eastAsia="Arial" w:hAnsi="Arial"/>
                <w:sz w:val="14"/>
                <w:szCs w:val="14"/>
                <w:color w:val="auto"/>
              </w:rPr>
              <w:t>10.0</w:t>
            </w:r>
          </w:p>
        </w:tc>
        <w:tc>
          <w:tcPr>
            <w:tcW w:w="440" w:type="dxa"/>
            <w:vAlign w:val="bottom"/>
          </w:tcPr>
          <w:p>
            <w:pPr>
              <w:spacing w:after="0"/>
              <w:rPr>
                <w:sz w:val="15"/>
                <w:szCs w:val="15"/>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4"/>
                <w:szCs w:val="14"/>
                <w:color w:val="auto"/>
              </w:rPr>
              <w:t>75,585</w:t>
            </w:r>
          </w:p>
        </w:tc>
        <w:tc>
          <w:tcPr>
            <w:tcW w:w="1300" w:type="dxa"/>
            <w:vAlign w:val="bottom"/>
          </w:tcPr>
          <w:p>
            <w:pPr>
              <w:ind w:left="500"/>
              <w:spacing w:after="0"/>
              <w:rPr>
                <w:sz w:val="20"/>
                <w:szCs w:val="20"/>
                <w:color w:val="auto"/>
              </w:rPr>
            </w:pPr>
            <w:r>
              <w:rPr>
                <w:rFonts w:ascii="Arial" w:cs="Arial" w:eastAsia="Arial" w:hAnsi="Arial"/>
                <w:sz w:val="14"/>
                <w:szCs w:val="14"/>
                <w:color w:val="auto"/>
              </w:rPr>
              <w:t>10.8</w:t>
            </w:r>
          </w:p>
        </w:tc>
      </w:tr>
      <w:tr>
        <w:trPr>
          <w:trHeight w:val="169"/>
        </w:trPr>
        <w:tc>
          <w:tcPr>
            <w:tcW w:w="5320" w:type="dxa"/>
            <w:vAlign w:val="bottom"/>
          </w:tcPr>
          <w:p>
            <w:pPr>
              <w:spacing w:after="0"/>
              <w:rPr>
                <w:sz w:val="20"/>
                <w:szCs w:val="20"/>
                <w:color w:val="auto"/>
              </w:rPr>
            </w:pPr>
            <w:r>
              <w:rPr>
                <w:rFonts w:ascii="Arial" w:cs="Arial" w:eastAsia="Arial" w:hAnsi="Arial"/>
                <w:sz w:val="14"/>
                <w:szCs w:val="14"/>
                <w:color w:val="auto"/>
              </w:rPr>
              <w:t>Total</w:t>
            </w:r>
          </w:p>
        </w:tc>
        <w:tc>
          <w:tcPr>
            <w:tcW w:w="44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449,399</w:t>
            </w:r>
          </w:p>
        </w:tc>
        <w:tc>
          <w:tcPr>
            <w:tcW w:w="1900" w:type="dxa"/>
            <w:vAlign w:val="bottom"/>
          </w:tcPr>
          <w:p>
            <w:pPr>
              <w:ind w:left="980"/>
              <w:spacing w:after="0"/>
              <w:rPr>
                <w:sz w:val="20"/>
                <w:szCs w:val="20"/>
                <w:color w:val="auto"/>
              </w:rPr>
            </w:pPr>
            <w:r>
              <w:rPr>
                <w:rFonts w:ascii="Arial" w:cs="Arial" w:eastAsia="Arial" w:hAnsi="Arial"/>
                <w:sz w:val="14"/>
                <w:szCs w:val="14"/>
                <w:color w:val="auto"/>
              </w:rPr>
              <w:t>12.6%</w:t>
            </w:r>
          </w:p>
        </w:tc>
        <w:tc>
          <w:tcPr>
            <w:tcW w:w="4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441,122</w:t>
            </w:r>
          </w:p>
        </w:tc>
        <w:tc>
          <w:tcPr>
            <w:tcW w:w="520" w:type="dxa"/>
            <w:vAlign w:val="bottom"/>
          </w:tcPr>
          <w:p>
            <w:pPr>
              <w:spacing w:after="0"/>
              <w:rPr>
                <w:sz w:val="14"/>
                <w:szCs w:val="14"/>
                <w:color w:val="auto"/>
              </w:rPr>
            </w:pPr>
          </w:p>
        </w:tc>
        <w:tc>
          <w:tcPr>
            <w:tcW w:w="1300" w:type="dxa"/>
            <w:vAlign w:val="bottom"/>
          </w:tcPr>
          <w:p>
            <w:pPr>
              <w:ind w:left="500"/>
              <w:spacing w:after="0"/>
              <w:rPr>
                <w:sz w:val="20"/>
                <w:szCs w:val="20"/>
                <w:color w:val="auto"/>
              </w:rPr>
            </w:pPr>
            <w:r>
              <w:rPr>
                <w:rFonts w:ascii="Arial" w:cs="Arial" w:eastAsia="Arial" w:hAnsi="Arial"/>
                <w:sz w:val="14"/>
                <w:szCs w:val="14"/>
                <w:color w:val="auto"/>
              </w:rPr>
              <w:t>12.3%</w:t>
            </w:r>
          </w:p>
        </w:tc>
      </w:tr>
      <w:tr>
        <w:trPr>
          <w:trHeight w:val="20"/>
        </w:trPr>
        <w:tc>
          <w:tcPr>
            <w:tcW w:w="5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16"/>
        </w:trPr>
        <w:tc>
          <w:tcPr>
            <w:tcW w:w="53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r>
      <w:tr>
        <w:trPr>
          <w:trHeight w:val="21"/>
        </w:trPr>
        <w:tc>
          <w:tcPr>
            <w:tcW w:w="532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190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13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color w:val="auto"/>
        </w:rPr>
        <w:t>CONSOLIDATED INCOME STATEMENTS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2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gridSpan w:val="5"/>
          </w:tcPr>
          <w:p>
            <w:pPr>
              <w:jc w:val="right"/>
              <w:ind w:right="708"/>
              <w:spacing w:after="0"/>
              <w:rPr>
                <w:sz w:val="20"/>
                <w:szCs w:val="20"/>
                <w:color w:val="auto"/>
              </w:rPr>
            </w:pPr>
            <w:r>
              <w:rPr>
                <w:rFonts w:ascii="Arial" w:cs="Arial" w:eastAsia="Arial" w:hAnsi="Arial"/>
                <w:sz w:val="14"/>
                <w:szCs w:val="14"/>
                <w:b w:val="1"/>
                <w:bCs w:val="1"/>
                <w:color w:val="auto"/>
                <w:w w:val="89"/>
              </w:rPr>
              <w:t>2008</w:t>
            </w:r>
          </w:p>
        </w:tc>
        <w:tc>
          <w:tcPr>
            <w:tcW w:w="8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spacing w:after="0"/>
              <w:rPr>
                <w:sz w:val="14"/>
                <w:szCs w:val="14"/>
                <w:color w:val="auto"/>
              </w:rPr>
            </w:pPr>
          </w:p>
        </w:tc>
        <w:tc>
          <w:tcPr>
            <w:tcW w:w="1940" w:type="dxa"/>
            <w:vAlign w:val="bottom"/>
            <w:tcBorders>
              <w:top w:val="single" w:sz="8" w:color="auto"/>
              <w:bottom w:val="single" w:sz="8" w:color="auto"/>
            </w:tcBorders>
            <w:gridSpan w:val="5"/>
          </w:tcPr>
          <w:p>
            <w:pPr>
              <w:jc w:val="right"/>
              <w:ind w:right="1568"/>
              <w:spacing w:after="0"/>
              <w:rPr>
                <w:sz w:val="20"/>
                <w:szCs w:val="20"/>
                <w:color w:val="auto"/>
              </w:rPr>
            </w:pPr>
            <w:r>
              <w:rPr>
                <w:rFonts w:ascii="Arial" w:cs="Arial" w:eastAsia="Arial" w:hAnsi="Arial"/>
                <w:sz w:val="14"/>
                <w:szCs w:val="14"/>
                <w:b w:val="1"/>
                <w:bCs w:val="1"/>
                <w:color w:val="auto"/>
                <w:w w:val="89"/>
              </w:rPr>
              <w:t>2007</w:t>
            </w:r>
          </w:p>
        </w:tc>
        <w:tc>
          <w:tcPr>
            <w:tcW w:w="0" w:type="dxa"/>
            <w:vAlign w:val="bottom"/>
          </w:tcPr>
          <w:p>
            <w:pPr>
              <w:spacing w:after="0"/>
              <w:rPr>
                <w:sz w:val="1"/>
                <w:szCs w:val="1"/>
                <w:color w:val="auto"/>
              </w:rPr>
            </w:pPr>
          </w:p>
        </w:tc>
      </w:tr>
      <w:tr>
        <w:trPr>
          <w:trHeight w:val="169"/>
        </w:trPr>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i w:val="1"/>
                <w:iCs w:val="1"/>
                <w:color w:val="auto"/>
              </w:rPr>
              <w:t>(amounts in thousands, except per share data)</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Amount</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 of Net Sales</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Amount</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w w:val="91"/>
              </w:rPr>
              <w:t>% of Net Sales</w:t>
            </w:r>
          </w:p>
        </w:tc>
        <w:tc>
          <w:tcPr>
            <w:tcW w:w="0" w:type="dxa"/>
            <w:vAlign w:val="bottom"/>
          </w:tcPr>
          <w:p>
            <w:pPr>
              <w:spacing w:after="0"/>
              <w:rPr>
                <w:sz w:val="1"/>
                <w:szCs w:val="1"/>
                <w:color w:val="auto"/>
              </w:rPr>
            </w:pPr>
          </w:p>
        </w:tc>
      </w:tr>
      <w:tr>
        <w:trPr>
          <w:trHeight w:val="339"/>
        </w:trPr>
        <w:tc>
          <w:tcPr>
            <w:tcW w:w="524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449,399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color w:val="auto"/>
                <w:w w:val="92"/>
              </w:rPr>
              <w:t>100.0%</w:t>
            </w:r>
          </w:p>
        </w:tc>
        <w:tc>
          <w:tcPr>
            <w:tcW w:w="36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441,122</w:t>
            </w:r>
          </w:p>
        </w:tc>
        <w:tc>
          <w:tcPr>
            <w:tcW w:w="1940" w:type="dxa"/>
            <w:vAlign w:val="bottom"/>
            <w:gridSpan w:val="5"/>
          </w:tcPr>
          <w:p>
            <w:pPr>
              <w:jc w:val="right"/>
              <w:ind w:right="308"/>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1"/>
        </w:trPr>
        <w:tc>
          <w:tcPr>
            <w:tcW w:w="5240" w:type="dxa"/>
            <w:vAlign w:val="bottom"/>
            <w:gridSpan w:val="2"/>
          </w:tcPr>
          <w:p>
            <w:pPr>
              <w:spacing w:after="0"/>
              <w:rPr>
                <w:sz w:val="20"/>
                <w:szCs w:val="20"/>
                <w:color w:val="auto"/>
              </w:rPr>
            </w:pPr>
            <w:r>
              <w:rPr>
                <w:rFonts w:ascii="Arial" w:cs="Arial" w:eastAsia="Arial" w:hAnsi="Arial"/>
                <w:sz w:val="14"/>
                <w:szCs w:val="14"/>
                <w:color w:val="auto"/>
              </w:rPr>
              <w:t>Cost of sales</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392,559</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jc w:val="right"/>
              <w:ind w:right="408"/>
              <w:spacing w:after="0"/>
              <w:rPr>
                <w:sz w:val="20"/>
                <w:szCs w:val="20"/>
                <w:color w:val="auto"/>
              </w:rPr>
            </w:pPr>
            <w:r>
              <w:rPr>
                <w:rFonts w:ascii="Arial" w:cs="Arial" w:eastAsia="Arial" w:hAnsi="Arial"/>
                <w:sz w:val="14"/>
                <w:szCs w:val="14"/>
                <w:color w:val="auto"/>
              </w:rPr>
              <w:t>87.4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387,082</w:t>
            </w:r>
          </w:p>
        </w:tc>
        <w:tc>
          <w:tcPr>
            <w:tcW w:w="1940" w:type="dxa"/>
            <w:vAlign w:val="bottom"/>
            <w:gridSpan w:val="5"/>
          </w:tcPr>
          <w:p>
            <w:pPr>
              <w:jc w:val="right"/>
              <w:ind w:right="428"/>
              <w:spacing w:after="0"/>
              <w:rPr>
                <w:sz w:val="20"/>
                <w:szCs w:val="20"/>
                <w:color w:val="auto"/>
              </w:rPr>
            </w:pPr>
            <w:r>
              <w:rPr>
                <w:rFonts w:ascii="Arial" w:cs="Arial" w:eastAsia="Arial" w:hAnsi="Arial"/>
                <w:sz w:val="14"/>
                <w:szCs w:val="14"/>
                <w:color w:val="auto"/>
              </w:rPr>
              <w:t>87.7</w:t>
            </w:r>
          </w:p>
        </w:tc>
        <w:tc>
          <w:tcPr>
            <w:tcW w:w="0" w:type="dxa"/>
            <w:vAlign w:val="bottom"/>
          </w:tcPr>
          <w:p>
            <w:pPr>
              <w:spacing w:after="0"/>
              <w:rPr>
                <w:sz w:val="1"/>
                <w:szCs w:val="1"/>
                <w:color w:val="auto"/>
              </w:rPr>
            </w:pPr>
          </w:p>
        </w:tc>
      </w:tr>
      <w:tr>
        <w:trPr>
          <w:trHeight w:val="176"/>
        </w:trPr>
        <w:tc>
          <w:tcPr>
            <w:tcW w:w="5240" w:type="dxa"/>
            <w:vAlign w:val="bottom"/>
            <w:gridSpan w:val="2"/>
          </w:tcPr>
          <w:p>
            <w:pPr>
              <w:ind w:left="280"/>
              <w:spacing w:after="0"/>
              <w:rPr>
                <w:sz w:val="20"/>
                <w:szCs w:val="20"/>
                <w:color w:val="auto"/>
              </w:rPr>
            </w:pPr>
            <w:r>
              <w:rPr>
                <w:rFonts w:ascii="Arial" w:cs="Arial" w:eastAsia="Arial" w:hAnsi="Arial"/>
                <w:sz w:val="14"/>
                <w:szCs w:val="14"/>
                <w:b w:val="1"/>
                <w:bCs w:val="1"/>
                <w:color w:val="auto"/>
              </w:rPr>
              <w:t>Gross Profit</w:t>
            </w: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56,840</w:t>
            </w: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408"/>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54,040</w:t>
            </w: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6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344"/>
        </w:trPr>
        <w:tc>
          <w:tcPr>
            <w:tcW w:w="5240" w:type="dxa"/>
            <w:vAlign w:val="bottom"/>
            <w:gridSpan w:val="2"/>
          </w:tcPr>
          <w:p>
            <w:pPr>
              <w:spacing w:after="0"/>
              <w:rPr>
                <w:sz w:val="20"/>
                <w:szCs w:val="20"/>
                <w:color w:val="auto"/>
              </w:rPr>
            </w:pPr>
            <w:r>
              <w:rPr>
                <w:rFonts w:ascii="Arial" w:cs="Arial" w:eastAsia="Arial" w:hAnsi="Arial"/>
                <w:sz w:val="14"/>
                <w:szCs w:val="14"/>
                <w:color w:val="auto"/>
              </w:rPr>
              <w:t>Selling, general and administrative expenses</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48,173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jc w:val="right"/>
              <w:ind w:right="408"/>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45,005</w:t>
            </w:r>
          </w:p>
        </w:tc>
        <w:tc>
          <w:tcPr>
            <w:tcW w:w="1940" w:type="dxa"/>
            <w:vAlign w:val="bottom"/>
            <w:gridSpan w:val="5"/>
          </w:tcPr>
          <w:p>
            <w:pPr>
              <w:jc w:val="right"/>
              <w:ind w:right="428"/>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76"/>
        </w:trPr>
        <w:tc>
          <w:tcPr>
            <w:tcW w:w="5240" w:type="dxa"/>
            <w:vAlign w:val="bottom"/>
            <w:gridSpan w:val="2"/>
          </w:tcPr>
          <w:p>
            <w:pPr>
              <w:ind w:left="280"/>
              <w:spacing w:after="0"/>
              <w:rPr>
                <w:sz w:val="20"/>
                <w:szCs w:val="20"/>
                <w:color w:val="auto"/>
              </w:rPr>
            </w:pPr>
            <w:r>
              <w:rPr>
                <w:rFonts w:ascii="Arial" w:cs="Arial" w:eastAsia="Arial" w:hAnsi="Arial"/>
                <w:sz w:val="14"/>
                <w:szCs w:val="14"/>
                <w:b w:val="1"/>
                <w:bCs w:val="1"/>
                <w:color w:val="auto"/>
              </w:rPr>
              <w:t>Income From Operations</w:t>
            </w: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8,667</w:t>
            </w: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40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9,035</w:t>
            </w: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6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339"/>
        </w:trPr>
        <w:tc>
          <w:tcPr>
            <w:tcW w:w="524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(242)</w:t>
            </w:r>
          </w:p>
        </w:tc>
        <w:tc>
          <w:tcPr>
            <w:tcW w:w="1940" w:type="dxa"/>
            <w:vAlign w:val="bottom"/>
            <w:gridSpan w:val="5"/>
          </w:tcPr>
          <w:p>
            <w:pPr>
              <w:jc w:val="right"/>
              <w:ind w:right="38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76"/>
        </w:trPr>
        <w:tc>
          <w:tcPr>
            <w:tcW w:w="5240" w:type="dxa"/>
            <w:vAlign w:val="bottom"/>
            <w:gridSpan w:val="2"/>
          </w:tcPr>
          <w:p>
            <w:pPr>
              <w:spacing w:after="0"/>
              <w:rPr>
                <w:sz w:val="20"/>
                <w:szCs w:val="20"/>
                <w:color w:val="auto"/>
              </w:rPr>
            </w:pPr>
            <w:r>
              <w:rPr>
                <w:rFonts w:ascii="Arial" w:cs="Arial" w:eastAsia="Arial" w:hAnsi="Arial"/>
                <w:sz w:val="14"/>
                <w:szCs w:val="14"/>
                <w:color w:val="auto"/>
              </w:rPr>
              <w:t>Other, net</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205</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260</w:t>
            </w:r>
          </w:p>
        </w:tc>
        <w:tc>
          <w:tcPr>
            <w:tcW w:w="1940" w:type="dxa"/>
            <w:vAlign w:val="bottom"/>
            <w:gridSpan w:val="5"/>
          </w:tcPr>
          <w:p>
            <w:pPr>
              <w:jc w:val="right"/>
              <w:ind w:right="42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1"/>
        </w:trPr>
        <w:tc>
          <w:tcPr>
            <w:tcW w:w="5240" w:type="dxa"/>
            <w:vAlign w:val="bottom"/>
            <w:gridSpan w:val="2"/>
          </w:tcPr>
          <w:p>
            <w:pPr>
              <w:spacing w:after="0"/>
              <w:rPr>
                <w:sz w:val="20"/>
                <w:szCs w:val="20"/>
                <w:color w:val="auto"/>
              </w:rPr>
            </w:pPr>
            <w:r>
              <w:rPr>
                <w:rFonts w:ascii="Arial" w:cs="Arial" w:eastAsia="Arial" w:hAnsi="Arial"/>
                <w:sz w:val="14"/>
                <w:szCs w:val="14"/>
                <w:color w:val="auto"/>
              </w:rPr>
              <w:t>Income tax provision</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(3,586)</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jc w:val="right"/>
              <w:ind w:right="36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(3,300)</w:t>
            </w:r>
          </w:p>
        </w:tc>
        <w:tc>
          <w:tcPr>
            <w:tcW w:w="1940" w:type="dxa"/>
            <w:vAlign w:val="bottom"/>
            <w:gridSpan w:val="5"/>
          </w:tcPr>
          <w:p>
            <w:pPr>
              <w:jc w:val="right"/>
              <w:ind w:right="38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69"/>
        </w:trPr>
        <w:tc>
          <w:tcPr>
            <w:tcW w:w="5240" w:type="dxa"/>
            <w:vAlign w:val="bottom"/>
            <w:gridSpan w:val="2"/>
          </w:tcPr>
          <w:p>
            <w:pPr>
              <w:ind w:left="280"/>
              <w:spacing w:after="0"/>
              <w:rPr>
                <w:sz w:val="20"/>
                <w:szCs w:val="20"/>
                <w:color w:val="auto"/>
              </w:rPr>
            </w:pPr>
            <w:r>
              <w:rPr>
                <w:rFonts w:ascii="Arial" w:cs="Arial" w:eastAsia="Arial" w:hAnsi="Arial"/>
                <w:sz w:val="14"/>
                <w:szCs w:val="14"/>
                <w:b w:val="1"/>
                <w:bCs w:val="1"/>
                <w:color w:val="auto"/>
              </w:rPr>
              <w:t>Net Income</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5,087</w:t>
            </w:r>
          </w:p>
        </w:tc>
        <w:tc>
          <w:tcPr>
            <w:tcW w:w="4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5,753</w:t>
            </w:r>
          </w:p>
        </w:tc>
        <w:tc>
          <w:tcPr>
            <w:tcW w:w="4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4"/>
                <w:szCs w:val="14"/>
                <w:color w:val="auto"/>
              </w:rPr>
              <w:t>Weighted average common shares outstanding:</w:t>
            </w: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52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240" w:type="dxa"/>
            <w:vAlign w:val="bottom"/>
            <w:gridSpan w:val="2"/>
          </w:tcPr>
          <w:p>
            <w:pPr>
              <w:ind w:left="280"/>
              <w:spacing w:after="0"/>
              <w:rPr>
                <w:sz w:val="20"/>
                <w:szCs w:val="20"/>
                <w:color w:val="auto"/>
              </w:rPr>
            </w:pPr>
            <w:r>
              <w:rPr>
                <w:rFonts w:ascii="Arial" w:cs="Arial" w:eastAsia="Arial" w:hAnsi="Arial"/>
                <w:sz w:val="14"/>
                <w:szCs w:val="14"/>
                <w:color w:val="auto"/>
              </w:rPr>
              <w:t>Basic</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26,807</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26,798</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ind w:left="280"/>
              <w:spacing w:after="0"/>
              <w:rPr>
                <w:sz w:val="20"/>
                <w:szCs w:val="20"/>
                <w:color w:val="auto"/>
              </w:rPr>
            </w:pPr>
            <w:r>
              <w:rPr>
                <w:rFonts w:ascii="Arial" w:cs="Arial" w:eastAsia="Arial" w:hAnsi="Arial"/>
                <w:sz w:val="14"/>
                <w:szCs w:val="14"/>
                <w:color w:val="auto"/>
              </w:rPr>
              <w:t>Diluted</w:t>
            </w: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40" w:type="dxa"/>
            <w:vAlign w:val="bottom"/>
            <w:gridSpan w:val="2"/>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26,930</w:t>
            </w: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26,995</w:t>
            </w: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4"/>
                <w:szCs w:val="14"/>
                <w:color w:val="auto"/>
              </w:rPr>
              <w:t>Earnings per common share:</w:t>
            </w: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2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240" w:type="dxa"/>
            <w:vAlign w:val="bottom"/>
            <w:gridSpan w:val="2"/>
          </w:tcPr>
          <w:p>
            <w:pPr>
              <w:ind w:left="280"/>
              <w:spacing w:after="0"/>
              <w:rPr>
                <w:sz w:val="20"/>
                <w:szCs w:val="20"/>
                <w:color w:val="auto"/>
              </w:rPr>
            </w:pPr>
            <w:r>
              <w:rPr>
                <w:rFonts w:ascii="Arial" w:cs="Arial" w:eastAsia="Arial" w:hAnsi="Arial"/>
                <w:sz w:val="14"/>
                <w:szCs w:val="14"/>
                <w:color w:val="auto"/>
              </w:rPr>
              <w:t>Basic</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0.19</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0.21</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ind w:left="280"/>
              <w:spacing w:after="0"/>
              <w:rPr>
                <w:sz w:val="20"/>
                <w:szCs w:val="20"/>
                <w:color w:val="auto"/>
              </w:rPr>
            </w:pPr>
            <w:r>
              <w:rPr>
                <w:rFonts w:ascii="Arial" w:cs="Arial" w:eastAsia="Arial" w:hAnsi="Arial"/>
                <w:sz w:val="14"/>
                <w:szCs w:val="14"/>
                <w:color w:val="auto"/>
              </w:rPr>
              <w:t>Diluted</w:t>
            </w: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40" w:type="dxa"/>
            <w:vAlign w:val="bottom"/>
            <w:gridSpan w:val="2"/>
            <w:vMerge w:val="continue"/>
          </w:tcPr>
          <w:p>
            <w:pPr>
              <w:spacing w:after="0"/>
              <w:rPr>
                <w:sz w:val="13"/>
                <w:szCs w:val="13"/>
                <w:color w:val="auto"/>
              </w:rPr>
            </w:pPr>
          </w:p>
        </w:tc>
        <w:tc>
          <w:tcPr>
            <w:tcW w:w="2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0.19</w:t>
            </w:r>
          </w:p>
        </w:tc>
        <w:tc>
          <w:tcPr>
            <w:tcW w:w="4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0.21</w:t>
            </w:r>
          </w:p>
        </w:tc>
        <w:tc>
          <w:tcPr>
            <w:tcW w:w="4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CONSOLIDATED INCOME STATEMENTS</w:t>
            </w: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240" w:type="dxa"/>
            <w:vAlign w:val="bottom"/>
            <w:tcBorders>
              <w:bottom w:val="single" w:sz="8" w:color="auto"/>
            </w:tcBorders>
            <w:gridSpan w:val="2"/>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5"/>
          </w:tcPr>
          <w:p>
            <w:pPr>
              <w:jc w:val="right"/>
              <w:ind w:right="708"/>
              <w:spacing w:after="0"/>
              <w:rPr>
                <w:sz w:val="20"/>
                <w:szCs w:val="20"/>
                <w:color w:val="auto"/>
              </w:rPr>
            </w:pPr>
            <w:r>
              <w:rPr>
                <w:rFonts w:ascii="Arial" w:cs="Arial" w:eastAsia="Arial" w:hAnsi="Arial"/>
                <w:sz w:val="14"/>
                <w:szCs w:val="14"/>
                <w:b w:val="1"/>
                <w:bCs w:val="1"/>
                <w:color w:val="auto"/>
                <w:w w:val="89"/>
              </w:rPr>
              <w:t>2008</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right"/>
              <w:ind w:right="1568"/>
              <w:spacing w:after="0"/>
              <w:rPr>
                <w:sz w:val="20"/>
                <w:szCs w:val="20"/>
                <w:color w:val="auto"/>
              </w:rPr>
            </w:pPr>
            <w:r>
              <w:rPr>
                <w:rFonts w:ascii="Arial" w:cs="Arial" w:eastAsia="Arial" w:hAnsi="Arial"/>
                <w:sz w:val="14"/>
                <w:szCs w:val="14"/>
                <w:b w:val="1"/>
                <w:bCs w:val="1"/>
                <w:color w:val="auto"/>
                <w:w w:val="89"/>
              </w:rPr>
              <w:t>2007</w:t>
            </w:r>
          </w:p>
        </w:tc>
        <w:tc>
          <w:tcPr>
            <w:tcW w:w="0" w:type="dxa"/>
            <w:vAlign w:val="bottom"/>
          </w:tcPr>
          <w:p>
            <w:pPr>
              <w:spacing w:after="0"/>
              <w:rPr>
                <w:sz w:val="1"/>
                <w:szCs w:val="1"/>
                <w:color w:val="auto"/>
              </w:rPr>
            </w:pPr>
          </w:p>
        </w:tc>
      </w:tr>
      <w:tr>
        <w:trPr>
          <w:trHeight w:val="169"/>
        </w:trPr>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i w:val="1"/>
                <w:iCs w:val="1"/>
                <w:color w:val="auto"/>
              </w:rPr>
              <w:t>(amounts in thousands, except per share data)</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Amount</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 of Net Sales</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Amount</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808"/>
              <w:spacing w:after="0"/>
              <w:rPr>
                <w:sz w:val="20"/>
                <w:szCs w:val="20"/>
                <w:color w:val="auto"/>
              </w:rPr>
            </w:pPr>
            <w:r>
              <w:rPr>
                <w:rFonts w:ascii="Arial" w:cs="Arial" w:eastAsia="Arial" w:hAnsi="Arial"/>
                <w:sz w:val="14"/>
                <w:szCs w:val="14"/>
                <w:b w:val="1"/>
                <w:bCs w:val="1"/>
                <w:color w:val="auto"/>
              </w:rPr>
              <w:t>% of Net Sales</w:t>
            </w:r>
          </w:p>
        </w:tc>
        <w:tc>
          <w:tcPr>
            <w:tcW w:w="0" w:type="dxa"/>
            <w:vAlign w:val="bottom"/>
          </w:tcPr>
          <w:p>
            <w:pPr>
              <w:spacing w:after="0"/>
              <w:rPr>
                <w:sz w:val="1"/>
                <w:szCs w:val="1"/>
                <w:color w:val="auto"/>
              </w:rPr>
            </w:pPr>
          </w:p>
        </w:tc>
      </w:tr>
      <w:tr>
        <w:trPr>
          <w:trHeight w:val="339"/>
        </w:trPr>
        <w:tc>
          <w:tcPr>
            <w:tcW w:w="524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873,123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color w:val="auto"/>
                <w:w w:val="92"/>
              </w:rPr>
              <w:t>100.0%</w:t>
            </w:r>
          </w:p>
        </w:tc>
        <w:tc>
          <w:tcPr>
            <w:tcW w:w="360" w:type="dxa"/>
            <w:vAlign w:val="bottom"/>
            <w:gridSpan w:val="3"/>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839,302</w:t>
            </w:r>
          </w:p>
        </w:tc>
        <w:tc>
          <w:tcPr>
            <w:tcW w:w="1940" w:type="dxa"/>
            <w:vAlign w:val="bottom"/>
            <w:gridSpan w:val="5"/>
          </w:tcPr>
          <w:p>
            <w:pPr>
              <w:jc w:val="right"/>
              <w:ind w:right="308"/>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1"/>
        </w:trPr>
        <w:tc>
          <w:tcPr>
            <w:tcW w:w="5240" w:type="dxa"/>
            <w:vAlign w:val="bottom"/>
            <w:gridSpan w:val="2"/>
          </w:tcPr>
          <w:p>
            <w:pPr>
              <w:spacing w:after="0"/>
              <w:rPr>
                <w:sz w:val="20"/>
                <w:szCs w:val="20"/>
                <w:color w:val="auto"/>
              </w:rPr>
            </w:pPr>
            <w:r>
              <w:rPr>
                <w:rFonts w:ascii="Arial" w:cs="Arial" w:eastAsia="Arial" w:hAnsi="Arial"/>
                <w:sz w:val="14"/>
                <w:szCs w:val="14"/>
                <w:color w:val="auto"/>
              </w:rPr>
              <w:t>Cost of sales</w:t>
            </w:r>
          </w:p>
        </w:tc>
        <w:tc>
          <w:tcPr>
            <w:tcW w:w="22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763,539</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jc w:val="right"/>
              <w:ind w:right="408"/>
              <w:spacing w:after="0"/>
              <w:rPr>
                <w:sz w:val="20"/>
                <w:szCs w:val="20"/>
                <w:color w:val="auto"/>
              </w:rPr>
            </w:pPr>
            <w:r>
              <w:rPr>
                <w:rFonts w:ascii="Arial" w:cs="Arial" w:eastAsia="Arial" w:hAnsi="Arial"/>
                <w:sz w:val="14"/>
                <w:szCs w:val="14"/>
                <w:color w:val="auto"/>
              </w:rPr>
              <w:t>87.5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735,347</w:t>
            </w:r>
          </w:p>
        </w:tc>
        <w:tc>
          <w:tcPr>
            <w:tcW w:w="1940" w:type="dxa"/>
            <w:vAlign w:val="bottom"/>
            <w:gridSpan w:val="5"/>
          </w:tcPr>
          <w:p>
            <w:pPr>
              <w:jc w:val="right"/>
              <w:ind w:right="428"/>
              <w:spacing w:after="0"/>
              <w:rPr>
                <w:sz w:val="20"/>
                <w:szCs w:val="20"/>
                <w:color w:val="auto"/>
              </w:rPr>
            </w:pPr>
            <w:r>
              <w:rPr>
                <w:rFonts w:ascii="Arial" w:cs="Arial" w:eastAsia="Arial" w:hAnsi="Arial"/>
                <w:sz w:val="14"/>
                <w:szCs w:val="14"/>
                <w:color w:val="auto"/>
              </w:rPr>
              <w:t>87.6</w:t>
            </w:r>
          </w:p>
        </w:tc>
        <w:tc>
          <w:tcPr>
            <w:tcW w:w="0" w:type="dxa"/>
            <w:vAlign w:val="bottom"/>
          </w:tcPr>
          <w:p>
            <w:pPr>
              <w:spacing w:after="0"/>
              <w:rPr>
                <w:sz w:val="1"/>
                <w:szCs w:val="1"/>
                <w:color w:val="auto"/>
              </w:rPr>
            </w:pPr>
          </w:p>
        </w:tc>
      </w:tr>
      <w:tr>
        <w:trPr>
          <w:trHeight w:val="176"/>
        </w:trPr>
        <w:tc>
          <w:tcPr>
            <w:tcW w:w="5220" w:type="dxa"/>
            <w:vAlign w:val="bottom"/>
          </w:tcPr>
          <w:p>
            <w:pPr>
              <w:ind w:left="140"/>
              <w:spacing w:after="0"/>
              <w:rPr>
                <w:sz w:val="20"/>
                <w:szCs w:val="20"/>
                <w:color w:val="auto"/>
              </w:rPr>
            </w:pPr>
            <w:r>
              <w:rPr>
                <w:rFonts w:ascii="Arial" w:cs="Arial" w:eastAsia="Arial" w:hAnsi="Arial"/>
                <w:sz w:val="14"/>
                <w:szCs w:val="14"/>
                <w:b w:val="1"/>
                <w:bCs w:val="1"/>
                <w:color w:val="auto"/>
              </w:rPr>
              <w:t>Gross Profit</w:t>
            </w: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109,584</w:t>
            </w:r>
          </w:p>
        </w:tc>
        <w:tc>
          <w:tcPr>
            <w:tcW w:w="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408"/>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103,955</w:t>
            </w:r>
          </w:p>
        </w:tc>
        <w:tc>
          <w:tcPr>
            <w:tcW w:w="40" w:type="dxa"/>
            <w:vAlign w:val="bottom"/>
            <w:tcBorders>
              <w:top w:val="single" w:sz="8" w:color="auto"/>
            </w:tcBorders>
          </w:tcPr>
          <w:p>
            <w:pPr>
              <w:spacing w:after="0"/>
              <w:rPr>
                <w:sz w:val="15"/>
                <w:szCs w:val="15"/>
                <w:color w:val="auto"/>
              </w:rPr>
            </w:pPr>
          </w:p>
        </w:tc>
        <w:tc>
          <w:tcPr>
            <w:tcW w:w="120" w:type="dxa"/>
            <w:vAlign w:val="bottom"/>
            <w:gridSpan w:val="2"/>
          </w:tcPr>
          <w:p>
            <w:pPr>
              <w:spacing w:after="0"/>
              <w:rPr>
                <w:sz w:val="15"/>
                <w:szCs w:val="15"/>
                <w:color w:val="auto"/>
              </w:rPr>
            </w:pPr>
          </w:p>
        </w:tc>
        <w:tc>
          <w:tcPr>
            <w:tcW w:w="1780" w:type="dxa"/>
            <w:vAlign w:val="bottom"/>
            <w:tcBorders>
              <w:top w:val="single" w:sz="8" w:color="auto"/>
            </w:tcBorders>
            <w:gridSpan w:val="2"/>
          </w:tcPr>
          <w:p>
            <w:pPr>
              <w:jc w:val="right"/>
              <w:ind w:right="428"/>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344"/>
        </w:trPr>
        <w:tc>
          <w:tcPr>
            <w:tcW w:w="5240" w:type="dxa"/>
            <w:vAlign w:val="bottom"/>
            <w:gridSpan w:val="2"/>
          </w:tcPr>
          <w:p>
            <w:pPr>
              <w:spacing w:after="0"/>
              <w:rPr>
                <w:sz w:val="20"/>
                <w:szCs w:val="20"/>
                <w:color w:val="auto"/>
              </w:rPr>
            </w:pPr>
            <w:r>
              <w:rPr>
                <w:rFonts w:ascii="Arial" w:cs="Arial" w:eastAsia="Arial" w:hAnsi="Arial"/>
                <w:sz w:val="14"/>
                <w:szCs w:val="14"/>
                <w:color w:val="auto"/>
              </w:rPr>
              <w:t>Selling, general and administrative expenses</w:t>
            </w:r>
          </w:p>
        </w:tc>
        <w:tc>
          <w:tcPr>
            <w:tcW w:w="22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93,566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jc w:val="right"/>
              <w:ind w:right="408"/>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89,198</w:t>
            </w:r>
          </w:p>
        </w:tc>
        <w:tc>
          <w:tcPr>
            <w:tcW w:w="1940" w:type="dxa"/>
            <w:vAlign w:val="bottom"/>
            <w:gridSpan w:val="5"/>
          </w:tcPr>
          <w:p>
            <w:pPr>
              <w:jc w:val="right"/>
              <w:ind w:right="428"/>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76"/>
        </w:trPr>
        <w:tc>
          <w:tcPr>
            <w:tcW w:w="5220" w:type="dxa"/>
            <w:vAlign w:val="bottom"/>
          </w:tcPr>
          <w:p>
            <w:pPr>
              <w:ind w:left="140"/>
              <w:spacing w:after="0"/>
              <w:rPr>
                <w:sz w:val="20"/>
                <w:szCs w:val="20"/>
                <w:color w:val="auto"/>
              </w:rPr>
            </w:pPr>
            <w:r>
              <w:rPr>
                <w:rFonts w:ascii="Arial" w:cs="Arial" w:eastAsia="Arial" w:hAnsi="Arial"/>
                <w:sz w:val="14"/>
                <w:szCs w:val="14"/>
                <w:b w:val="1"/>
                <w:bCs w:val="1"/>
                <w:color w:val="auto"/>
              </w:rPr>
              <w:t>Income From Operations</w:t>
            </w: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16,018</w:t>
            </w:r>
          </w:p>
        </w:tc>
        <w:tc>
          <w:tcPr>
            <w:tcW w:w="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40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14,757</w:t>
            </w:r>
          </w:p>
        </w:tc>
        <w:tc>
          <w:tcPr>
            <w:tcW w:w="40" w:type="dxa"/>
            <w:vAlign w:val="bottom"/>
            <w:tcBorders>
              <w:top w:val="single" w:sz="8" w:color="auto"/>
            </w:tcBorders>
          </w:tcPr>
          <w:p>
            <w:pPr>
              <w:spacing w:after="0"/>
              <w:rPr>
                <w:sz w:val="15"/>
                <w:szCs w:val="15"/>
                <w:color w:val="auto"/>
              </w:rPr>
            </w:pPr>
          </w:p>
        </w:tc>
        <w:tc>
          <w:tcPr>
            <w:tcW w:w="120" w:type="dxa"/>
            <w:vAlign w:val="bottom"/>
            <w:gridSpan w:val="2"/>
          </w:tcPr>
          <w:p>
            <w:pPr>
              <w:spacing w:after="0"/>
              <w:rPr>
                <w:sz w:val="15"/>
                <w:szCs w:val="15"/>
                <w:color w:val="auto"/>
              </w:rPr>
            </w:pPr>
          </w:p>
        </w:tc>
        <w:tc>
          <w:tcPr>
            <w:tcW w:w="1780" w:type="dxa"/>
            <w:vAlign w:val="bottom"/>
            <w:tcBorders>
              <w:top w:val="single" w:sz="8" w:color="auto"/>
            </w:tcBorders>
            <w:gridSpan w:val="2"/>
          </w:tcPr>
          <w:p>
            <w:pPr>
              <w:jc w:val="right"/>
              <w:ind w:right="4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339"/>
        </w:trPr>
        <w:tc>
          <w:tcPr>
            <w:tcW w:w="524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(450)</w:t>
            </w:r>
          </w:p>
        </w:tc>
        <w:tc>
          <w:tcPr>
            <w:tcW w:w="1940" w:type="dxa"/>
            <w:vAlign w:val="bottom"/>
            <w:gridSpan w:val="5"/>
          </w:tcPr>
          <w:p>
            <w:pPr>
              <w:jc w:val="right"/>
              <w:ind w:right="38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76"/>
        </w:trPr>
        <w:tc>
          <w:tcPr>
            <w:tcW w:w="5240" w:type="dxa"/>
            <w:vAlign w:val="bottom"/>
            <w:gridSpan w:val="2"/>
          </w:tcPr>
          <w:p>
            <w:pPr>
              <w:spacing w:after="0"/>
              <w:rPr>
                <w:sz w:val="20"/>
                <w:szCs w:val="20"/>
                <w:color w:val="auto"/>
              </w:rPr>
            </w:pPr>
            <w:r>
              <w:rPr>
                <w:rFonts w:ascii="Arial" w:cs="Arial" w:eastAsia="Arial" w:hAnsi="Arial"/>
                <w:sz w:val="14"/>
                <w:szCs w:val="14"/>
                <w:color w:val="auto"/>
              </w:rPr>
              <w:t>Other, net</w:t>
            </w:r>
          </w:p>
        </w:tc>
        <w:tc>
          <w:tcPr>
            <w:tcW w:w="22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364</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461</w:t>
            </w:r>
          </w:p>
        </w:tc>
        <w:tc>
          <w:tcPr>
            <w:tcW w:w="1940" w:type="dxa"/>
            <w:vAlign w:val="bottom"/>
            <w:gridSpan w:val="5"/>
          </w:tcPr>
          <w:p>
            <w:pPr>
              <w:jc w:val="right"/>
              <w:ind w:right="42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1"/>
        </w:trPr>
        <w:tc>
          <w:tcPr>
            <w:tcW w:w="5240" w:type="dxa"/>
            <w:vAlign w:val="bottom"/>
            <w:gridSpan w:val="2"/>
          </w:tcPr>
          <w:p>
            <w:pPr>
              <w:spacing w:after="0"/>
              <w:rPr>
                <w:sz w:val="20"/>
                <w:szCs w:val="20"/>
                <w:color w:val="auto"/>
              </w:rPr>
            </w:pPr>
            <w:r>
              <w:rPr>
                <w:rFonts w:ascii="Arial" w:cs="Arial" w:eastAsia="Arial" w:hAnsi="Arial"/>
                <w:sz w:val="14"/>
                <w:szCs w:val="14"/>
                <w:color w:val="auto"/>
              </w:rPr>
              <w:t>Income tax provision</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(6,160)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jc w:val="right"/>
              <w:ind w:right="36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(5,630)</w:t>
            </w:r>
          </w:p>
        </w:tc>
        <w:tc>
          <w:tcPr>
            <w:tcW w:w="1940" w:type="dxa"/>
            <w:vAlign w:val="bottom"/>
            <w:gridSpan w:val="5"/>
          </w:tcPr>
          <w:p>
            <w:pPr>
              <w:jc w:val="right"/>
              <w:ind w:right="38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69"/>
        </w:trPr>
        <w:tc>
          <w:tcPr>
            <w:tcW w:w="5220" w:type="dxa"/>
            <w:vAlign w:val="bottom"/>
          </w:tcPr>
          <w:p>
            <w:pPr>
              <w:ind w:left="140"/>
              <w:spacing w:after="0"/>
              <w:rPr>
                <w:sz w:val="20"/>
                <w:szCs w:val="20"/>
                <w:color w:val="auto"/>
              </w:rPr>
            </w:pPr>
            <w:r>
              <w:rPr>
                <w:rFonts w:ascii="Arial" w:cs="Arial" w:eastAsia="Arial" w:hAnsi="Arial"/>
                <w:sz w:val="14"/>
                <w:szCs w:val="14"/>
                <w:b w:val="1"/>
                <w:bCs w:val="1"/>
                <w:color w:val="auto"/>
              </w:rPr>
              <w:t>Net Income</w:t>
            </w:r>
          </w:p>
        </w:tc>
        <w:tc>
          <w:tcPr>
            <w:tcW w:w="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9,861</w:t>
            </w:r>
          </w:p>
        </w:tc>
        <w:tc>
          <w:tcPr>
            <w:tcW w:w="4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9,138</w:t>
            </w:r>
          </w:p>
        </w:tc>
        <w:tc>
          <w:tcPr>
            <w:tcW w:w="40" w:type="dxa"/>
            <w:vAlign w:val="bottom"/>
            <w:tcBorders>
              <w:top w:val="single" w:sz="8" w:color="auto"/>
              <w:bottom w:val="single" w:sz="8" w:color="auto"/>
            </w:tcBorders>
          </w:tcPr>
          <w:p>
            <w:pPr>
              <w:spacing w:after="0"/>
              <w:rPr>
                <w:sz w:val="14"/>
                <w:szCs w:val="14"/>
                <w:color w:val="auto"/>
              </w:rPr>
            </w:pPr>
          </w:p>
        </w:tc>
        <w:tc>
          <w:tcPr>
            <w:tcW w:w="120" w:type="dxa"/>
            <w:vAlign w:val="bottom"/>
            <w:gridSpan w:val="2"/>
          </w:tcPr>
          <w:p>
            <w:pPr>
              <w:spacing w:after="0"/>
              <w:rPr>
                <w:sz w:val="14"/>
                <w:szCs w:val="14"/>
                <w:color w:val="auto"/>
              </w:rPr>
            </w:pPr>
          </w:p>
        </w:tc>
        <w:tc>
          <w:tcPr>
            <w:tcW w:w="1780" w:type="dxa"/>
            <w:vAlign w:val="bottom"/>
            <w:tcBorders>
              <w:top w:val="single" w:sz="8" w:color="auto"/>
              <w:bottom w:val="single" w:sz="8" w:color="auto"/>
            </w:tcBorders>
            <w:gridSpan w:val="2"/>
          </w:tcPr>
          <w:p>
            <w:pPr>
              <w:jc w:val="right"/>
              <w:ind w:right="30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5240" w:type="dxa"/>
            <w:vAlign w:val="bottom"/>
            <w:gridSpan w:val="2"/>
          </w:tcPr>
          <w:p>
            <w:pPr>
              <w:spacing w:after="0"/>
              <w:rPr>
                <w:sz w:val="20"/>
                <w:szCs w:val="20"/>
                <w:color w:val="auto"/>
              </w:rPr>
            </w:pPr>
            <w:r>
              <w:rPr>
                <w:rFonts w:ascii="Arial" w:cs="Arial" w:eastAsia="Arial" w:hAnsi="Arial"/>
                <w:sz w:val="14"/>
                <w:szCs w:val="14"/>
                <w:color w:val="auto"/>
              </w:rPr>
              <w:t>Weighted average common shares outstanding:</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220" w:type="dxa"/>
            <w:vAlign w:val="bottom"/>
          </w:tcPr>
          <w:p>
            <w:pPr>
              <w:ind w:left="140"/>
              <w:spacing w:after="0"/>
              <w:rPr>
                <w:sz w:val="20"/>
                <w:szCs w:val="20"/>
                <w:color w:val="auto"/>
              </w:rPr>
            </w:pPr>
            <w:r>
              <w:rPr>
                <w:rFonts w:ascii="Arial" w:cs="Arial" w:eastAsia="Arial" w:hAnsi="Arial"/>
                <w:sz w:val="14"/>
                <w:szCs w:val="14"/>
                <w:color w:val="auto"/>
              </w:rPr>
              <w:t>Basic</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26,834</w:t>
            </w:r>
          </w:p>
        </w:tc>
        <w:tc>
          <w:tcPr>
            <w:tcW w:w="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26,740</w:t>
            </w:r>
          </w:p>
        </w:tc>
        <w:tc>
          <w:tcPr>
            <w:tcW w:w="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20" w:type="dxa"/>
            <w:vAlign w:val="bottom"/>
          </w:tcPr>
          <w:p>
            <w:pPr>
              <w:ind w:left="140"/>
              <w:spacing w:after="0" w:line="156" w:lineRule="exact"/>
              <w:rPr>
                <w:sz w:val="20"/>
                <w:szCs w:val="20"/>
                <w:color w:val="auto"/>
              </w:rPr>
            </w:pPr>
            <w:r>
              <w:rPr>
                <w:rFonts w:ascii="Arial" w:cs="Arial" w:eastAsia="Arial" w:hAnsi="Arial"/>
                <w:sz w:val="14"/>
                <w:szCs w:val="14"/>
                <w:color w:val="auto"/>
              </w:rPr>
              <w:t>Diluted</w:t>
            </w:r>
          </w:p>
        </w:tc>
        <w:tc>
          <w:tcPr>
            <w:tcW w:w="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26,952</w:t>
            </w:r>
          </w:p>
        </w:tc>
        <w:tc>
          <w:tcPr>
            <w:tcW w:w="40" w:type="dxa"/>
            <w:vAlign w:val="bottom"/>
            <w:tcBorders>
              <w:top w:val="single" w:sz="8" w:color="auto"/>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27,002</w:t>
            </w:r>
          </w:p>
        </w:tc>
        <w:tc>
          <w:tcPr>
            <w:tcW w:w="40" w:type="dxa"/>
            <w:vAlign w:val="bottom"/>
            <w:tcBorders>
              <w:top w:val="single" w:sz="8" w:color="auto"/>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220" w:type="dxa"/>
            <w:vAlign w:val="bottom"/>
          </w:tcPr>
          <w:p>
            <w:pPr>
              <w:spacing w:after="0" w:line="151" w:lineRule="exact"/>
              <w:rPr>
                <w:sz w:val="20"/>
                <w:szCs w:val="20"/>
                <w:color w:val="auto"/>
              </w:rPr>
            </w:pPr>
            <w:r>
              <w:rPr>
                <w:rFonts w:ascii="Arial" w:cs="Arial" w:eastAsia="Arial" w:hAnsi="Arial"/>
                <w:sz w:val="14"/>
                <w:szCs w:val="14"/>
                <w:color w:val="auto"/>
              </w:rPr>
              <w:t>Earnings per common share:</w:t>
            </w: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220" w:type="dxa"/>
            <w:vAlign w:val="bottom"/>
          </w:tcPr>
          <w:p>
            <w:pPr>
              <w:ind w:left="140"/>
              <w:spacing w:after="0"/>
              <w:rPr>
                <w:sz w:val="20"/>
                <w:szCs w:val="20"/>
                <w:color w:val="auto"/>
              </w:rPr>
            </w:pPr>
            <w:r>
              <w:rPr>
                <w:rFonts w:ascii="Arial" w:cs="Arial" w:eastAsia="Arial" w:hAnsi="Arial"/>
                <w:sz w:val="14"/>
                <w:szCs w:val="14"/>
                <w:color w:val="auto"/>
              </w:rPr>
              <w:t>Basic</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0.37</w:t>
            </w:r>
          </w:p>
        </w:tc>
        <w:tc>
          <w:tcPr>
            <w:tcW w:w="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0.34</w:t>
            </w:r>
          </w:p>
        </w:tc>
        <w:tc>
          <w:tcPr>
            <w:tcW w:w="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20" w:type="dxa"/>
            <w:vAlign w:val="bottom"/>
          </w:tcPr>
          <w:p>
            <w:pPr>
              <w:ind w:left="140"/>
              <w:spacing w:after="0" w:line="156" w:lineRule="exact"/>
              <w:rPr>
                <w:sz w:val="20"/>
                <w:szCs w:val="20"/>
                <w:color w:val="auto"/>
              </w:rPr>
            </w:pPr>
            <w:r>
              <w:rPr>
                <w:rFonts w:ascii="Arial" w:cs="Arial" w:eastAsia="Arial" w:hAnsi="Arial"/>
                <w:sz w:val="14"/>
                <w:szCs w:val="14"/>
                <w:color w:val="auto"/>
              </w:rPr>
              <w:t>Diluted</w:t>
            </w:r>
          </w:p>
        </w:tc>
        <w:tc>
          <w:tcPr>
            <w:tcW w:w="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jc w:val="right"/>
              <w:ind w:right="28"/>
              <w:spacing w:after="0" w:line="156"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0.37</w:t>
            </w:r>
          </w:p>
        </w:tc>
        <w:tc>
          <w:tcPr>
            <w:tcW w:w="40" w:type="dxa"/>
            <w:vAlign w:val="bottom"/>
            <w:tcBorders>
              <w:top w:val="single" w:sz="8" w:color="auto"/>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gridSpan w:val="2"/>
          </w:tcPr>
          <w:p>
            <w:pPr>
              <w:jc w:val="right"/>
              <w:ind w:right="48"/>
              <w:spacing w:after="0" w:line="156"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0.34</w:t>
            </w:r>
          </w:p>
        </w:tc>
        <w:tc>
          <w:tcPr>
            <w:tcW w:w="40" w:type="dxa"/>
            <w:vAlign w:val="bottom"/>
            <w:tcBorders>
              <w:top w:val="single" w:sz="8" w:color="auto"/>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52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7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5"/>
        </w:trPr>
        <w:tc>
          <w:tcPr>
            <w:tcW w:w="7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CONSOLIDATED BALANCE SHEETS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June 30,</w:t>
            </w:r>
          </w:p>
        </w:tc>
        <w:tc>
          <w:tcPr>
            <w:tcW w:w="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7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(amounts in thousands)</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2008</w:t>
            </w: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339"/>
        </w:trPr>
        <w:tc>
          <w:tcPr>
            <w:tcW w:w="782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820" w:type="dxa"/>
            <w:vAlign w:val="bottom"/>
          </w:tcPr>
          <w:p>
            <w:pPr>
              <w:spacing w:after="0"/>
              <w:rPr>
                <w:sz w:val="20"/>
                <w:szCs w:val="20"/>
                <w:color w:val="auto"/>
              </w:rPr>
            </w:pPr>
            <w:r>
              <w:rPr>
                <w:rFonts w:ascii="Arial" w:cs="Arial" w:eastAsia="Arial" w:hAnsi="Arial"/>
                <w:sz w:val="14"/>
                <w:szCs w:val="14"/>
                <w:color w:val="auto"/>
              </w:rPr>
              <w:t>Current Assets:</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40,916</w:t>
            </w:r>
          </w:p>
        </w:tc>
        <w:tc>
          <w:tcPr>
            <w:tcW w:w="5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148"/>
              <w:spacing w:after="0"/>
              <w:rPr>
                <w:sz w:val="20"/>
                <w:szCs w:val="20"/>
                <w:color w:val="auto"/>
              </w:rPr>
            </w:pPr>
            <w:r>
              <w:rPr>
                <w:rFonts w:ascii="Arial" w:cs="Arial" w:eastAsia="Arial" w:hAnsi="Arial"/>
                <w:sz w:val="14"/>
                <w:szCs w:val="14"/>
                <w:color w:val="auto"/>
              </w:rPr>
              <w:t>13,741</w:t>
            </w:r>
          </w:p>
        </w:tc>
        <w:tc>
          <w:tcPr>
            <w:tcW w:w="0" w:type="dxa"/>
            <w:vAlign w:val="bottom"/>
          </w:tcPr>
          <w:p>
            <w:pPr>
              <w:spacing w:after="0"/>
              <w:rPr>
                <w:sz w:val="1"/>
                <w:szCs w:val="1"/>
                <w:color w:val="auto"/>
              </w:rPr>
            </w:pPr>
          </w:p>
        </w:tc>
      </w:tr>
      <w:tr>
        <w:trPr>
          <w:trHeight w:val="176"/>
        </w:trPr>
        <w:tc>
          <w:tcPr>
            <w:tcW w:w="7820" w:type="dxa"/>
            <w:vAlign w:val="bottom"/>
          </w:tcPr>
          <w:p>
            <w:pPr>
              <w:spacing w:after="0"/>
              <w:rPr>
                <w:sz w:val="20"/>
                <w:szCs w:val="20"/>
                <w:color w:val="auto"/>
              </w:rPr>
            </w:pPr>
            <w:r>
              <w:rPr>
                <w:rFonts w:ascii="Arial" w:cs="Arial" w:eastAsia="Arial" w:hAnsi="Arial"/>
                <w:sz w:val="14"/>
                <w:szCs w:val="14"/>
                <w:color w:val="auto"/>
              </w:rPr>
              <w:t>Accounts receivable, net</w:t>
            </w:r>
          </w:p>
        </w:tc>
        <w:tc>
          <w:tcPr>
            <w:tcW w:w="32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193,599</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0" w:type="dxa"/>
            <w:vAlign w:val="bottom"/>
          </w:tcPr>
          <w:p>
            <w:pPr>
              <w:jc w:val="right"/>
              <w:ind w:right="148"/>
              <w:spacing w:after="0"/>
              <w:rPr>
                <w:sz w:val="20"/>
                <w:szCs w:val="20"/>
                <w:color w:val="auto"/>
              </w:rPr>
            </w:pPr>
            <w:r>
              <w:rPr>
                <w:rFonts w:ascii="Arial" w:cs="Arial" w:eastAsia="Arial" w:hAnsi="Arial"/>
                <w:sz w:val="14"/>
                <w:szCs w:val="14"/>
                <w:color w:val="auto"/>
              </w:rPr>
              <w:t>202,216</w:t>
            </w:r>
          </w:p>
        </w:tc>
        <w:tc>
          <w:tcPr>
            <w:tcW w:w="0" w:type="dxa"/>
            <w:vAlign w:val="bottom"/>
          </w:tcPr>
          <w:p>
            <w:pPr>
              <w:spacing w:after="0"/>
              <w:rPr>
                <w:sz w:val="1"/>
                <w:szCs w:val="1"/>
                <w:color w:val="auto"/>
              </w:rPr>
            </w:pPr>
          </w:p>
        </w:tc>
      </w:tr>
      <w:tr>
        <w:trPr>
          <w:trHeight w:val="176"/>
        </w:trPr>
        <w:tc>
          <w:tcPr>
            <w:tcW w:w="7820" w:type="dxa"/>
            <w:vAlign w:val="bottom"/>
          </w:tcPr>
          <w:p>
            <w:pPr>
              <w:spacing w:after="0"/>
              <w:rPr>
                <w:sz w:val="20"/>
                <w:szCs w:val="20"/>
                <w:color w:val="auto"/>
              </w:rPr>
            </w:pPr>
            <w:r>
              <w:rPr>
                <w:rFonts w:ascii="Arial" w:cs="Arial" w:eastAsia="Arial" w:hAnsi="Arial"/>
                <w:sz w:val="14"/>
                <w:szCs w:val="14"/>
                <w:color w:val="auto"/>
              </w:rPr>
              <w:t>Inventories–merchandise</w:t>
            </w:r>
          </w:p>
        </w:tc>
        <w:tc>
          <w:tcPr>
            <w:tcW w:w="32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64,968</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0" w:type="dxa"/>
            <w:vAlign w:val="bottom"/>
          </w:tcPr>
          <w:p>
            <w:pPr>
              <w:jc w:val="right"/>
              <w:ind w:right="148"/>
              <w:spacing w:after="0"/>
              <w:rPr>
                <w:sz w:val="20"/>
                <w:szCs w:val="20"/>
                <w:color w:val="auto"/>
              </w:rPr>
            </w:pPr>
            <w:r>
              <w:rPr>
                <w:rFonts w:ascii="Arial" w:cs="Arial" w:eastAsia="Arial" w:hAnsi="Arial"/>
                <w:sz w:val="14"/>
                <w:szCs w:val="14"/>
                <w:color w:val="auto"/>
              </w:rPr>
              <w:t>76,090</w:t>
            </w:r>
          </w:p>
        </w:tc>
        <w:tc>
          <w:tcPr>
            <w:tcW w:w="0" w:type="dxa"/>
            <w:vAlign w:val="bottom"/>
          </w:tcPr>
          <w:p>
            <w:pPr>
              <w:spacing w:after="0"/>
              <w:rPr>
                <w:sz w:val="1"/>
                <w:szCs w:val="1"/>
                <w:color w:val="auto"/>
              </w:rPr>
            </w:pPr>
          </w:p>
        </w:tc>
      </w:tr>
      <w:tr>
        <w:trPr>
          <w:trHeight w:val="176"/>
        </w:trPr>
        <w:tc>
          <w:tcPr>
            <w:tcW w:w="7820" w:type="dxa"/>
            <w:vAlign w:val="bottom"/>
          </w:tcPr>
          <w:p>
            <w:pPr>
              <w:spacing w:after="0"/>
              <w:rPr>
                <w:sz w:val="20"/>
                <w:szCs w:val="20"/>
                <w:color w:val="auto"/>
              </w:rPr>
            </w:pPr>
            <w:r>
              <w:rPr>
                <w:rFonts w:ascii="Arial" w:cs="Arial" w:eastAsia="Arial" w:hAnsi="Arial"/>
                <w:sz w:val="14"/>
                <w:szCs w:val="14"/>
                <w:color w:val="auto"/>
              </w:rPr>
              <w:t>Deferred income taxes</w:t>
            </w:r>
          </w:p>
        </w:tc>
        <w:tc>
          <w:tcPr>
            <w:tcW w:w="32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2,732</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0" w:type="dxa"/>
            <w:vAlign w:val="bottom"/>
          </w:tcPr>
          <w:p>
            <w:pPr>
              <w:jc w:val="right"/>
              <w:ind w:right="148"/>
              <w:spacing w:after="0"/>
              <w:rPr>
                <w:sz w:val="20"/>
                <w:szCs w:val="20"/>
                <w:color w:val="auto"/>
              </w:rPr>
            </w:pPr>
            <w:r>
              <w:rPr>
                <w:rFonts w:ascii="Arial" w:cs="Arial" w:eastAsia="Arial" w:hAnsi="Arial"/>
                <w:sz w:val="14"/>
                <w:szCs w:val="14"/>
                <w:color w:val="auto"/>
              </w:rPr>
              <w:t>2,858</w:t>
            </w:r>
          </w:p>
        </w:tc>
        <w:tc>
          <w:tcPr>
            <w:tcW w:w="0" w:type="dxa"/>
            <w:vAlign w:val="bottom"/>
          </w:tcPr>
          <w:p>
            <w:pPr>
              <w:spacing w:after="0"/>
              <w:rPr>
                <w:sz w:val="1"/>
                <w:szCs w:val="1"/>
                <w:color w:val="auto"/>
              </w:rPr>
            </w:pPr>
          </w:p>
        </w:tc>
      </w:tr>
      <w:tr>
        <w:trPr>
          <w:trHeight w:val="176"/>
        </w:trPr>
        <w:tc>
          <w:tcPr>
            <w:tcW w:w="7820" w:type="dxa"/>
            <w:vAlign w:val="bottom"/>
          </w:tcPr>
          <w:p>
            <w:pPr>
              <w:spacing w:after="0"/>
              <w:rPr>
                <w:sz w:val="20"/>
                <w:szCs w:val="20"/>
                <w:color w:val="auto"/>
              </w:rPr>
            </w:pPr>
            <w:r>
              <w:rPr>
                <w:rFonts w:ascii="Arial" w:cs="Arial" w:eastAsia="Arial" w:hAnsi="Arial"/>
                <w:sz w:val="14"/>
                <w:szCs w:val="14"/>
                <w:color w:val="auto"/>
              </w:rPr>
              <w:t>Income taxes receivable</w:t>
            </w:r>
          </w:p>
        </w:tc>
        <w:tc>
          <w:tcPr>
            <w:tcW w:w="32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917</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0" w:type="dxa"/>
            <w:vAlign w:val="bottom"/>
          </w:tcPr>
          <w:p>
            <w:pPr>
              <w:jc w:val="right"/>
              <w:ind w:right="148"/>
              <w:spacing w:after="0"/>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181"/>
        </w:trPr>
        <w:tc>
          <w:tcPr>
            <w:tcW w:w="7820" w:type="dxa"/>
            <w:vAlign w:val="bottom"/>
          </w:tcPr>
          <w:p>
            <w:pPr>
              <w:spacing w:after="0"/>
              <w:rPr>
                <w:sz w:val="20"/>
                <w:szCs w:val="20"/>
                <w:color w:val="auto"/>
              </w:rPr>
            </w:pPr>
            <w:r>
              <w:rPr>
                <w:rFonts w:ascii="Arial" w:cs="Arial" w:eastAsia="Arial" w:hAnsi="Arial"/>
                <w:sz w:val="14"/>
                <w:szCs w:val="14"/>
                <w:color w:val="auto"/>
              </w:rPr>
              <w:t>Prepaid expenses and other current assets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4,000</w:t>
            </w:r>
          </w:p>
        </w:tc>
        <w:tc>
          <w:tcPr>
            <w:tcW w:w="1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4,322</w:t>
            </w:r>
          </w:p>
        </w:tc>
        <w:tc>
          <w:tcPr>
            <w:tcW w:w="0" w:type="dxa"/>
            <w:vAlign w:val="bottom"/>
          </w:tcPr>
          <w:p>
            <w:pPr>
              <w:spacing w:after="0"/>
              <w:rPr>
                <w:sz w:val="1"/>
                <w:szCs w:val="1"/>
                <w:color w:val="auto"/>
              </w:rPr>
            </w:pPr>
          </w:p>
        </w:tc>
      </w:tr>
      <w:tr>
        <w:trPr>
          <w:trHeight w:val="164"/>
        </w:trPr>
        <w:tc>
          <w:tcPr>
            <w:tcW w:w="7820" w:type="dxa"/>
            <w:vAlign w:val="bottom"/>
          </w:tcPr>
          <w:p>
            <w:pPr>
              <w:ind w:left="220"/>
              <w:spacing w:after="0"/>
              <w:rPr>
                <w:sz w:val="20"/>
                <w:szCs w:val="20"/>
                <w:color w:val="auto"/>
              </w:rPr>
            </w:pPr>
            <w:r>
              <w:rPr>
                <w:rFonts w:ascii="Arial" w:cs="Arial" w:eastAsia="Arial" w:hAnsi="Arial"/>
                <w:sz w:val="14"/>
                <w:szCs w:val="14"/>
                <w:b w:val="1"/>
                <w:bCs w:val="1"/>
                <w:color w:val="auto"/>
              </w:rPr>
              <w:t>Total current assets</w:t>
            </w:r>
          </w:p>
        </w:tc>
        <w:tc>
          <w:tcPr>
            <w:tcW w:w="32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307,132</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0" w:type="dxa"/>
            <w:vAlign w:val="bottom"/>
          </w:tcPr>
          <w:p>
            <w:pPr>
              <w:jc w:val="right"/>
              <w:ind w:right="148"/>
              <w:spacing w:after="0"/>
              <w:rPr>
                <w:sz w:val="20"/>
                <w:szCs w:val="20"/>
                <w:color w:val="auto"/>
              </w:rPr>
            </w:pPr>
            <w:r>
              <w:rPr>
                <w:rFonts w:ascii="Arial" w:cs="Arial" w:eastAsia="Arial" w:hAnsi="Arial"/>
                <w:sz w:val="14"/>
                <w:szCs w:val="14"/>
                <w:color w:val="auto"/>
              </w:rPr>
              <w:t>299,572</w:t>
            </w:r>
          </w:p>
        </w:tc>
        <w:tc>
          <w:tcPr>
            <w:tcW w:w="0" w:type="dxa"/>
            <w:vAlign w:val="bottom"/>
          </w:tcPr>
          <w:p>
            <w:pPr>
              <w:spacing w:after="0"/>
              <w:rPr>
                <w:sz w:val="1"/>
                <w:szCs w:val="1"/>
                <w:color w:val="auto"/>
              </w:rPr>
            </w:pPr>
          </w:p>
        </w:tc>
      </w:tr>
      <w:tr>
        <w:trPr>
          <w:trHeight w:val="176"/>
        </w:trPr>
        <w:tc>
          <w:tcPr>
            <w:tcW w:w="782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32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23,199</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0" w:type="dxa"/>
            <w:vAlign w:val="bottom"/>
          </w:tcPr>
          <w:p>
            <w:pPr>
              <w:jc w:val="right"/>
              <w:ind w:right="148"/>
              <w:spacing w:after="0"/>
              <w:rPr>
                <w:sz w:val="20"/>
                <w:szCs w:val="20"/>
                <w:color w:val="auto"/>
              </w:rPr>
            </w:pPr>
            <w:r>
              <w:rPr>
                <w:rFonts w:ascii="Arial" w:cs="Arial" w:eastAsia="Arial" w:hAnsi="Arial"/>
                <w:sz w:val="14"/>
                <w:szCs w:val="14"/>
                <w:color w:val="auto"/>
              </w:rPr>
              <w:t>20,831</w:t>
            </w:r>
          </w:p>
        </w:tc>
        <w:tc>
          <w:tcPr>
            <w:tcW w:w="0" w:type="dxa"/>
            <w:vAlign w:val="bottom"/>
          </w:tcPr>
          <w:p>
            <w:pPr>
              <w:spacing w:after="0"/>
              <w:rPr>
                <w:sz w:val="1"/>
                <w:szCs w:val="1"/>
                <w:color w:val="auto"/>
              </w:rPr>
            </w:pPr>
          </w:p>
        </w:tc>
      </w:tr>
      <w:tr>
        <w:trPr>
          <w:trHeight w:val="176"/>
        </w:trPr>
        <w:tc>
          <w:tcPr>
            <w:tcW w:w="7820" w:type="dxa"/>
            <w:vAlign w:val="bottom"/>
          </w:tcPr>
          <w:p>
            <w:pPr>
              <w:spacing w:after="0"/>
              <w:rPr>
                <w:sz w:val="20"/>
                <w:szCs w:val="20"/>
                <w:color w:val="auto"/>
              </w:rPr>
            </w:pPr>
            <w:r>
              <w:rPr>
                <w:rFonts w:ascii="Arial" w:cs="Arial" w:eastAsia="Arial" w:hAnsi="Arial"/>
                <w:sz w:val="14"/>
                <w:szCs w:val="14"/>
                <w:color w:val="auto"/>
              </w:rPr>
              <w:t>Goodwill</w:t>
            </w:r>
          </w:p>
        </w:tc>
        <w:tc>
          <w:tcPr>
            <w:tcW w:w="32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56,867</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0" w:type="dxa"/>
            <w:vAlign w:val="bottom"/>
          </w:tcPr>
          <w:p>
            <w:pPr>
              <w:jc w:val="right"/>
              <w:ind w:right="148"/>
              <w:spacing w:after="0"/>
              <w:rPr>
                <w:sz w:val="20"/>
                <w:szCs w:val="20"/>
                <w:color w:val="auto"/>
              </w:rPr>
            </w:pPr>
            <w:r>
              <w:rPr>
                <w:rFonts w:ascii="Arial" w:cs="Arial" w:eastAsia="Arial" w:hAnsi="Arial"/>
                <w:sz w:val="14"/>
                <w:szCs w:val="14"/>
                <w:color w:val="auto"/>
              </w:rPr>
              <w:t>56,867</w:t>
            </w:r>
          </w:p>
        </w:tc>
        <w:tc>
          <w:tcPr>
            <w:tcW w:w="0" w:type="dxa"/>
            <w:vAlign w:val="bottom"/>
          </w:tcPr>
          <w:p>
            <w:pPr>
              <w:spacing w:after="0"/>
              <w:rPr>
                <w:sz w:val="1"/>
                <w:szCs w:val="1"/>
                <w:color w:val="auto"/>
              </w:rPr>
            </w:pPr>
          </w:p>
        </w:tc>
      </w:tr>
      <w:tr>
        <w:trPr>
          <w:trHeight w:val="176"/>
        </w:trPr>
        <w:tc>
          <w:tcPr>
            <w:tcW w:w="7820" w:type="dxa"/>
            <w:vAlign w:val="bottom"/>
          </w:tcPr>
          <w:p>
            <w:pPr>
              <w:spacing w:after="0"/>
              <w:rPr>
                <w:sz w:val="20"/>
                <w:szCs w:val="20"/>
                <w:color w:val="auto"/>
              </w:rPr>
            </w:pPr>
            <w:r>
              <w:rPr>
                <w:rFonts w:ascii="Arial" w:cs="Arial" w:eastAsia="Arial" w:hAnsi="Arial"/>
                <w:sz w:val="14"/>
                <w:szCs w:val="14"/>
                <w:color w:val="auto"/>
              </w:rPr>
              <w:t>Other intangibles, net</w:t>
            </w:r>
          </w:p>
        </w:tc>
        <w:tc>
          <w:tcPr>
            <w:tcW w:w="32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2,756</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0" w:type="dxa"/>
            <w:vAlign w:val="bottom"/>
          </w:tcPr>
          <w:p>
            <w:pPr>
              <w:jc w:val="right"/>
              <w:ind w:right="148"/>
              <w:spacing w:after="0"/>
              <w:rPr>
                <w:sz w:val="20"/>
                <w:szCs w:val="20"/>
                <w:color w:val="auto"/>
              </w:rPr>
            </w:pPr>
            <w:r>
              <w:rPr>
                <w:rFonts w:ascii="Arial" w:cs="Arial" w:eastAsia="Arial" w:hAnsi="Arial"/>
                <w:sz w:val="14"/>
                <w:szCs w:val="14"/>
                <w:color w:val="auto"/>
              </w:rPr>
              <w:t>3,291</w:t>
            </w:r>
          </w:p>
        </w:tc>
        <w:tc>
          <w:tcPr>
            <w:tcW w:w="0" w:type="dxa"/>
            <w:vAlign w:val="bottom"/>
          </w:tcPr>
          <w:p>
            <w:pPr>
              <w:spacing w:after="0"/>
              <w:rPr>
                <w:sz w:val="1"/>
                <w:szCs w:val="1"/>
                <w:color w:val="auto"/>
              </w:rPr>
            </w:pPr>
          </w:p>
        </w:tc>
      </w:tr>
      <w:tr>
        <w:trPr>
          <w:trHeight w:val="181"/>
        </w:trPr>
        <w:tc>
          <w:tcPr>
            <w:tcW w:w="7820" w:type="dxa"/>
            <w:vAlign w:val="bottom"/>
          </w:tcPr>
          <w:p>
            <w:pPr>
              <w:spacing w:after="0"/>
              <w:rPr>
                <w:sz w:val="20"/>
                <w:szCs w:val="20"/>
                <w:color w:val="auto"/>
              </w:rPr>
            </w:pPr>
            <w:r>
              <w:rPr>
                <w:rFonts w:ascii="Arial" w:cs="Arial" w:eastAsia="Arial" w:hAnsi="Arial"/>
                <w:sz w:val="14"/>
                <w:szCs w:val="14"/>
                <w:color w:val="auto"/>
              </w:rPr>
              <w:t>Other assets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306</w:t>
            </w:r>
          </w:p>
        </w:tc>
        <w:tc>
          <w:tcPr>
            <w:tcW w:w="1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169"/>
        </w:trPr>
        <w:tc>
          <w:tcPr>
            <w:tcW w:w="7820" w:type="dxa"/>
            <w:vAlign w:val="bottom"/>
          </w:tcPr>
          <w:p>
            <w:pPr>
              <w:ind w:left="220"/>
              <w:spacing w:after="0"/>
              <w:rPr>
                <w:sz w:val="20"/>
                <w:szCs w:val="20"/>
                <w:color w:val="auto"/>
              </w:rPr>
            </w:pPr>
            <w:r>
              <w:rPr>
                <w:rFonts w:ascii="Arial" w:cs="Arial" w:eastAsia="Arial" w:hAnsi="Arial"/>
                <w:sz w:val="14"/>
                <w:szCs w:val="14"/>
                <w:b w:val="1"/>
                <w:bCs w:val="1"/>
                <w:color w:val="auto"/>
              </w:rPr>
              <w:t>Total Assets</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390,260</w:t>
            </w:r>
          </w:p>
        </w:tc>
        <w:tc>
          <w:tcPr>
            <w:tcW w:w="160" w:type="dxa"/>
            <w:vAlign w:val="bottom"/>
          </w:tcPr>
          <w:p>
            <w:pPr>
              <w:spacing w:after="0"/>
              <w:rPr>
                <w:sz w:val="14"/>
                <w:szCs w:val="14"/>
                <w:color w:val="auto"/>
              </w:rPr>
            </w:pPr>
          </w:p>
        </w:tc>
        <w:tc>
          <w:tcPr>
            <w:tcW w:w="4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380,879</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78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7820" w:type="dxa"/>
            <w:vAlign w:val="bottom"/>
          </w:tcPr>
          <w:p>
            <w:pPr>
              <w:spacing w:after="0"/>
              <w:rPr>
                <w:sz w:val="20"/>
                <w:szCs w:val="20"/>
                <w:color w:val="auto"/>
              </w:rPr>
            </w:pPr>
            <w:r>
              <w:rPr>
                <w:rFonts w:ascii="Arial" w:cs="Arial" w:eastAsia="Arial" w:hAnsi="Arial"/>
                <w:sz w:val="14"/>
                <w:szCs w:val="14"/>
                <w:color w:val="auto"/>
              </w:rPr>
              <w:t>Current Liabilities: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820" w:type="dxa"/>
            <w:vAlign w:val="bottom"/>
          </w:tcPr>
          <w:p>
            <w:pPr>
              <w:spacing w:after="0"/>
              <w:rPr>
                <w:sz w:val="20"/>
                <w:szCs w:val="20"/>
                <w:color w:val="auto"/>
              </w:rPr>
            </w:pPr>
            <w:r>
              <w:rPr>
                <w:rFonts w:ascii="Arial" w:cs="Arial" w:eastAsia="Arial" w:hAnsi="Arial"/>
                <w:sz w:val="14"/>
                <w:szCs w:val="14"/>
                <w:color w:val="auto"/>
              </w:rPr>
              <w:t>Current maturities of capital lease obligation to affiliate</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615</w:t>
            </w:r>
          </w:p>
        </w:tc>
        <w:tc>
          <w:tcPr>
            <w:tcW w:w="5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148"/>
              <w:spacing w:after="0"/>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176"/>
        </w:trPr>
        <w:tc>
          <w:tcPr>
            <w:tcW w:w="7820" w:type="dxa"/>
            <w:vAlign w:val="bottom"/>
          </w:tcPr>
          <w:p>
            <w:pPr>
              <w:spacing w:after="0"/>
              <w:rPr>
                <w:sz w:val="20"/>
                <w:szCs w:val="20"/>
                <w:color w:val="auto"/>
              </w:rPr>
            </w:pPr>
            <w:r>
              <w:rPr>
                <w:rFonts w:ascii="Arial" w:cs="Arial" w:eastAsia="Arial" w:hAnsi="Arial"/>
                <w:sz w:val="14"/>
                <w:szCs w:val="14"/>
                <w:color w:val="auto"/>
              </w:rPr>
              <w:t>Accounts payable</w:t>
            </w:r>
          </w:p>
        </w:tc>
        <w:tc>
          <w:tcPr>
            <w:tcW w:w="32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110,924</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0" w:type="dxa"/>
            <w:vAlign w:val="bottom"/>
          </w:tcPr>
          <w:p>
            <w:pPr>
              <w:jc w:val="right"/>
              <w:ind w:right="148"/>
              <w:spacing w:after="0"/>
              <w:rPr>
                <w:sz w:val="20"/>
                <w:szCs w:val="20"/>
                <w:color w:val="auto"/>
              </w:rPr>
            </w:pPr>
            <w:r>
              <w:rPr>
                <w:rFonts w:ascii="Arial" w:cs="Arial" w:eastAsia="Arial" w:hAnsi="Arial"/>
                <w:sz w:val="14"/>
                <w:szCs w:val="14"/>
                <w:color w:val="auto"/>
              </w:rPr>
              <w:t>111,140</w:t>
            </w:r>
          </w:p>
        </w:tc>
        <w:tc>
          <w:tcPr>
            <w:tcW w:w="0" w:type="dxa"/>
            <w:vAlign w:val="bottom"/>
          </w:tcPr>
          <w:p>
            <w:pPr>
              <w:spacing w:after="0"/>
              <w:rPr>
                <w:sz w:val="1"/>
                <w:szCs w:val="1"/>
                <w:color w:val="auto"/>
              </w:rPr>
            </w:pPr>
          </w:p>
        </w:tc>
      </w:tr>
      <w:tr>
        <w:trPr>
          <w:trHeight w:val="176"/>
        </w:trPr>
        <w:tc>
          <w:tcPr>
            <w:tcW w:w="7820" w:type="dxa"/>
            <w:vAlign w:val="bottom"/>
          </w:tcPr>
          <w:p>
            <w:pPr>
              <w:spacing w:after="0"/>
              <w:rPr>
                <w:sz w:val="20"/>
                <w:szCs w:val="20"/>
                <w:color w:val="auto"/>
              </w:rPr>
            </w:pPr>
            <w:r>
              <w:rPr>
                <w:rFonts w:ascii="Arial" w:cs="Arial" w:eastAsia="Arial" w:hAnsi="Arial"/>
                <w:sz w:val="14"/>
                <w:szCs w:val="14"/>
                <w:color w:val="auto"/>
              </w:rPr>
              <w:t>Accrued expenses and other liabilities</w:t>
            </w:r>
          </w:p>
        </w:tc>
        <w:tc>
          <w:tcPr>
            <w:tcW w:w="32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20,349</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0" w:type="dxa"/>
            <w:vAlign w:val="bottom"/>
          </w:tcPr>
          <w:p>
            <w:pPr>
              <w:jc w:val="right"/>
              <w:ind w:right="148"/>
              <w:spacing w:after="0"/>
              <w:rPr>
                <w:sz w:val="20"/>
                <w:szCs w:val="20"/>
                <w:color w:val="auto"/>
              </w:rPr>
            </w:pPr>
            <w:r>
              <w:rPr>
                <w:rFonts w:ascii="Arial" w:cs="Arial" w:eastAsia="Arial" w:hAnsi="Arial"/>
                <w:sz w:val="14"/>
                <w:szCs w:val="14"/>
                <w:color w:val="auto"/>
              </w:rPr>
              <w:t>20,557</w:t>
            </w:r>
          </w:p>
        </w:tc>
        <w:tc>
          <w:tcPr>
            <w:tcW w:w="0" w:type="dxa"/>
            <w:vAlign w:val="bottom"/>
          </w:tcPr>
          <w:p>
            <w:pPr>
              <w:spacing w:after="0"/>
              <w:rPr>
                <w:sz w:val="1"/>
                <w:szCs w:val="1"/>
                <w:color w:val="auto"/>
              </w:rPr>
            </w:pPr>
          </w:p>
        </w:tc>
      </w:tr>
      <w:tr>
        <w:trPr>
          <w:trHeight w:val="181"/>
        </w:trPr>
        <w:tc>
          <w:tcPr>
            <w:tcW w:w="7820" w:type="dxa"/>
            <w:vAlign w:val="bottom"/>
          </w:tcPr>
          <w:p>
            <w:pPr>
              <w:spacing w:after="0"/>
              <w:rPr>
                <w:sz w:val="20"/>
                <w:szCs w:val="20"/>
                <w:color w:val="auto"/>
              </w:rPr>
            </w:pPr>
            <w:r>
              <w:rPr>
                <w:rFonts w:ascii="Arial" w:cs="Arial" w:eastAsia="Arial" w:hAnsi="Arial"/>
                <w:sz w:val="14"/>
                <w:szCs w:val="14"/>
                <w:color w:val="auto"/>
              </w:rPr>
              <w:t>Accrued payroll</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9,622</w:t>
            </w:r>
          </w:p>
        </w:tc>
        <w:tc>
          <w:tcPr>
            <w:tcW w:w="1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10,816</w:t>
            </w:r>
          </w:p>
        </w:tc>
        <w:tc>
          <w:tcPr>
            <w:tcW w:w="0" w:type="dxa"/>
            <w:vAlign w:val="bottom"/>
          </w:tcPr>
          <w:p>
            <w:pPr>
              <w:spacing w:after="0"/>
              <w:rPr>
                <w:sz w:val="1"/>
                <w:szCs w:val="1"/>
                <w:color w:val="auto"/>
              </w:rPr>
            </w:pPr>
          </w:p>
        </w:tc>
      </w:tr>
      <w:tr>
        <w:trPr>
          <w:trHeight w:val="164"/>
        </w:trPr>
        <w:tc>
          <w:tcPr>
            <w:tcW w:w="7820" w:type="dxa"/>
            <w:vAlign w:val="bottom"/>
          </w:tcPr>
          <w:p>
            <w:pPr>
              <w:ind w:left="220"/>
              <w:spacing w:after="0"/>
              <w:rPr>
                <w:sz w:val="20"/>
                <w:szCs w:val="20"/>
                <w:color w:val="auto"/>
              </w:rPr>
            </w:pPr>
            <w:r>
              <w:rPr>
                <w:rFonts w:ascii="Arial" w:cs="Arial" w:eastAsia="Arial" w:hAnsi="Arial"/>
                <w:sz w:val="14"/>
                <w:szCs w:val="14"/>
                <w:b w:val="1"/>
                <w:bCs w:val="1"/>
                <w:color w:val="auto"/>
              </w:rPr>
              <w:t>Total current liabilities</w:t>
            </w:r>
          </w:p>
        </w:tc>
        <w:tc>
          <w:tcPr>
            <w:tcW w:w="32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141,510</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0" w:type="dxa"/>
            <w:vAlign w:val="bottom"/>
          </w:tcPr>
          <w:p>
            <w:pPr>
              <w:jc w:val="right"/>
              <w:ind w:right="148"/>
              <w:spacing w:after="0"/>
              <w:rPr>
                <w:sz w:val="20"/>
                <w:szCs w:val="20"/>
                <w:color w:val="auto"/>
              </w:rPr>
            </w:pPr>
            <w:r>
              <w:rPr>
                <w:rFonts w:ascii="Arial" w:cs="Arial" w:eastAsia="Arial" w:hAnsi="Arial"/>
                <w:sz w:val="14"/>
                <w:szCs w:val="14"/>
                <w:color w:val="auto"/>
              </w:rPr>
              <w:t>143,040</w:t>
            </w:r>
          </w:p>
        </w:tc>
        <w:tc>
          <w:tcPr>
            <w:tcW w:w="0" w:type="dxa"/>
            <w:vAlign w:val="bottom"/>
          </w:tcPr>
          <w:p>
            <w:pPr>
              <w:spacing w:after="0"/>
              <w:rPr>
                <w:sz w:val="1"/>
                <w:szCs w:val="1"/>
                <w:color w:val="auto"/>
              </w:rPr>
            </w:pPr>
          </w:p>
        </w:tc>
      </w:tr>
      <w:tr>
        <w:trPr>
          <w:trHeight w:val="176"/>
        </w:trPr>
        <w:tc>
          <w:tcPr>
            <w:tcW w:w="7820" w:type="dxa"/>
            <w:vAlign w:val="bottom"/>
          </w:tcPr>
          <w:p>
            <w:pPr>
              <w:spacing w:after="0"/>
              <w:rPr>
                <w:sz w:val="20"/>
                <w:szCs w:val="20"/>
                <w:color w:val="auto"/>
              </w:rPr>
            </w:pPr>
            <w:r>
              <w:rPr>
                <w:rFonts w:ascii="Arial" w:cs="Arial" w:eastAsia="Arial" w:hAnsi="Arial"/>
                <w:sz w:val="14"/>
                <w:szCs w:val="14"/>
                <w:color w:val="auto"/>
              </w:rPr>
              <w:t>Capital lease obligation to affiliate, less current maturities</w:t>
            </w:r>
          </w:p>
        </w:tc>
        <w:tc>
          <w:tcPr>
            <w:tcW w:w="32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3,969</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0" w:type="dxa"/>
            <w:vAlign w:val="bottom"/>
          </w:tcPr>
          <w:p>
            <w:pPr>
              <w:jc w:val="right"/>
              <w:ind w:right="148"/>
              <w:spacing w:after="0"/>
              <w:rPr>
                <w:sz w:val="20"/>
                <w:szCs w:val="20"/>
                <w:color w:val="auto"/>
              </w:rPr>
            </w:pPr>
            <w:r>
              <w:rPr>
                <w:rFonts w:ascii="Arial" w:cs="Arial" w:eastAsia="Arial" w:hAnsi="Arial"/>
                <w:sz w:val="14"/>
                <w:szCs w:val="14"/>
                <w:color w:val="auto"/>
              </w:rPr>
              <w:t>4,309</w:t>
            </w:r>
          </w:p>
        </w:tc>
        <w:tc>
          <w:tcPr>
            <w:tcW w:w="0" w:type="dxa"/>
            <w:vAlign w:val="bottom"/>
          </w:tcPr>
          <w:p>
            <w:pPr>
              <w:spacing w:after="0"/>
              <w:rPr>
                <w:sz w:val="1"/>
                <w:szCs w:val="1"/>
                <w:color w:val="auto"/>
              </w:rPr>
            </w:pPr>
          </w:p>
        </w:tc>
      </w:tr>
      <w:tr>
        <w:trPr>
          <w:trHeight w:val="176"/>
        </w:trPr>
        <w:tc>
          <w:tcPr>
            <w:tcW w:w="7820" w:type="dxa"/>
            <w:vAlign w:val="bottom"/>
          </w:tcPr>
          <w:p>
            <w:pPr>
              <w:spacing w:after="0"/>
              <w:rPr>
                <w:sz w:val="20"/>
                <w:szCs w:val="20"/>
                <w:color w:val="auto"/>
              </w:rPr>
            </w:pPr>
            <w:r>
              <w:rPr>
                <w:rFonts w:ascii="Arial" w:cs="Arial" w:eastAsia="Arial" w:hAnsi="Arial"/>
                <w:sz w:val="14"/>
                <w:szCs w:val="14"/>
                <w:color w:val="auto"/>
              </w:rPr>
              <w:t>Deferred income taxes</w:t>
            </w:r>
          </w:p>
        </w:tc>
        <w:tc>
          <w:tcPr>
            <w:tcW w:w="32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7,061</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0" w:type="dxa"/>
            <w:vAlign w:val="bottom"/>
          </w:tcPr>
          <w:p>
            <w:pPr>
              <w:jc w:val="right"/>
              <w:ind w:right="148"/>
              <w:spacing w:after="0"/>
              <w:rPr>
                <w:sz w:val="20"/>
                <w:szCs w:val="20"/>
                <w:color w:val="auto"/>
              </w:rPr>
            </w:pPr>
            <w:r>
              <w:rPr>
                <w:rFonts w:ascii="Arial" w:cs="Arial" w:eastAsia="Arial" w:hAnsi="Arial"/>
                <w:sz w:val="14"/>
                <w:szCs w:val="14"/>
                <w:color w:val="auto"/>
              </w:rPr>
              <w:t>5,436</w:t>
            </w:r>
          </w:p>
        </w:tc>
        <w:tc>
          <w:tcPr>
            <w:tcW w:w="0" w:type="dxa"/>
            <w:vAlign w:val="bottom"/>
          </w:tcPr>
          <w:p>
            <w:pPr>
              <w:spacing w:after="0"/>
              <w:rPr>
                <w:sz w:val="1"/>
                <w:szCs w:val="1"/>
                <w:color w:val="auto"/>
              </w:rPr>
            </w:pPr>
          </w:p>
        </w:tc>
      </w:tr>
      <w:tr>
        <w:trPr>
          <w:trHeight w:val="181"/>
        </w:trPr>
        <w:tc>
          <w:tcPr>
            <w:tcW w:w="7820" w:type="dxa"/>
            <w:vAlign w:val="bottom"/>
          </w:tcPr>
          <w:p>
            <w:pPr>
              <w:spacing w:after="0"/>
              <w:rPr>
                <w:sz w:val="20"/>
                <w:szCs w:val="20"/>
                <w:color w:val="auto"/>
              </w:rPr>
            </w:pPr>
            <w:r>
              <w:rPr>
                <w:rFonts w:ascii="Arial" w:cs="Arial" w:eastAsia="Arial" w:hAnsi="Arial"/>
                <w:sz w:val="14"/>
                <w:szCs w:val="14"/>
                <w:color w:val="auto"/>
              </w:rPr>
              <w:t>Other liabilities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3,742</w:t>
            </w:r>
          </w:p>
        </w:tc>
        <w:tc>
          <w:tcPr>
            <w:tcW w:w="1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3,784</w:t>
            </w:r>
          </w:p>
        </w:tc>
        <w:tc>
          <w:tcPr>
            <w:tcW w:w="0" w:type="dxa"/>
            <w:vAlign w:val="bottom"/>
          </w:tcPr>
          <w:p>
            <w:pPr>
              <w:spacing w:after="0"/>
              <w:rPr>
                <w:sz w:val="1"/>
                <w:szCs w:val="1"/>
                <w:color w:val="auto"/>
              </w:rPr>
            </w:pPr>
          </w:p>
        </w:tc>
      </w:tr>
      <w:tr>
        <w:trPr>
          <w:trHeight w:val="169"/>
        </w:trPr>
        <w:tc>
          <w:tcPr>
            <w:tcW w:w="7820" w:type="dxa"/>
            <w:vAlign w:val="bottom"/>
          </w:tcPr>
          <w:p>
            <w:pPr>
              <w:ind w:left="220"/>
              <w:spacing w:after="0"/>
              <w:rPr>
                <w:sz w:val="20"/>
                <w:szCs w:val="20"/>
                <w:color w:val="auto"/>
              </w:rPr>
            </w:pPr>
            <w:r>
              <w:rPr>
                <w:rFonts w:ascii="Arial" w:cs="Arial" w:eastAsia="Arial" w:hAnsi="Arial"/>
                <w:sz w:val="14"/>
                <w:szCs w:val="14"/>
                <w:b w:val="1"/>
                <w:bCs w:val="1"/>
                <w:color w:val="auto"/>
              </w:rPr>
              <w:t>Total Liabilities</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156,282</w:t>
            </w:r>
          </w:p>
        </w:tc>
        <w:tc>
          <w:tcPr>
            <w:tcW w:w="1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156,569</w:t>
            </w:r>
          </w:p>
        </w:tc>
        <w:tc>
          <w:tcPr>
            <w:tcW w:w="0" w:type="dxa"/>
            <w:vAlign w:val="bottom"/>
          </w:tcPr>
          <w:p>
            <w:pPr>
              <w:spacing w:after="0"/>
              <w:rPr>
                <w:sz w:val="1"/>
                <w:szCs w:val="1"/>
                <w:color w:val="auto"/>
              </w:rPr>
            </w:pPr>
          </w:p>
        </w:tc>
      </w:tr>
      <w:tr>
        <w:trPr>
          <w:trHeight w:val="164"/>
        </w:trPr>
        <w:tc>
          <w:tcPr>
            <w:tcW w:w="7820" w:type="dxa"/>
            <w:vAlign w:val="bottom"/>
          </w:tcPr>
          <w:p>
            <w:pPr>
              <w:spacing w:after="0"/>
              <w:rPr>
                <w:sz w:val="20"/>
                <w:szCs w:val="20"/>
                <w:color w:val="auto"/>
              </w:rPr>
            </w:pPr>
            <w:r>
              <w:rPr>
                <w:rFonts w:ascii="Arial" w:cs="Arial" w:eastAsia="Arial" w:hAnsi="Arial"/>
                <w:sz w:val="14"/>
                <w:szCs w:val="14"/>
                <w:color w:val="auto"/>
              </w:rPr>
              <w:t>Stockholders’ Equity:</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tcPr>
          <w:p>
            <w:pPr>
              <w:spacing w:after="0"/>
              <w:rPr>
                <w:sz w:val="20"/>
                <w:szCs w:val="20"/>
                <w:color w:val="auto"/>
              </w:rPr>
            </w:pPr>
            <w:r>
              <w:rPr>
                <w:rFonts w:ascii="Arial" w:cs="Arial" w:eastAsia="Arial" w:hAnsi="Arial"/>
                <w:sz w:val="14"/>
                <w:szCs w:val="14"/>
                <w:color w:val="auto"/>
              </w:rPr>
              <w:t>Common stock</w:t>
            </w:r>
          </w:p>
        </w:tc>
        <w:tc>
          <w:tcPr>
            <w:tcW w:w="32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273</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0" w:type="dxa"/>
            <w:vAlign w:val="bottom"/>
          </w:tcPr>
          <w:p>
            <w:pPr>
              <w:jc w:val="right"/>
              <w:ind w:right="148"/>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76"/>
        </w:trPr>
        <w:tc>
          <w:tcPr>
            <w:tcW w:w="782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32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93,452</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0" w:type="dxa"/>
            <w:vAlign w:val="bottom"/>
          </w:tcPr>
          <w:p>
            <w:pPr>
              <w:jc w:val="right"/>
              <w:ind w:right="148"/>
              <w:spacing w:after="0"/>
              <w:rPr>
                <w:sz w:val="20"/>
                <w:szCs w:val="20"/>
                <w:color w:val="auto"/>
              </w:rPr>
            </w:pPr>
            <w:r>
              <w:rPr>
                <w:rFonts w:ascii="Arial" w:cs="Arial" w:eastAsia="Arial" w:hAnsi="Arial"/>
                <w:sz w:val="14"/>
                <w:szCs w:val="14"/>
                <w:color w:val="auto"/>
              </w:rPr>
              <w:t>94,132</w:t>
            </w:r>
          </w:p>
        </w:tc>
        <w:tc>
          <w:tcPr>
            <w:tcW w:w="0" w:type="dxa"/>
            <w:vAlign w:val="bottom"/>
          </w:tcPr>
          <w:p>
            <w:pPr>
              <w:spacing w:after="0"/>
              <w:rPr>
                <w:sz w:val="1"/>
                <w:szCs w:val="1"/>
                <w:color w:val="auto"/>
              </w:rPr>
            </w:pPr>
          </w:p>
        </w:tc>
      </w:tr>
      <w:tr>
        <w:trPr>
          <w:trHeight w:val="176"/>
        </w:trPr>
        <w:tc>
          <w:tcPr>
            <w:tcW w:w="7820" w:type="dxa"/>
            <w:vAlign w:val="bottom"/>
          </w:tcPr>
          <w:p>
            <w:pPr>
              <w:spacing w:after="0"/>
              <w:rPr>
                <w:sz w:val="20"/>
                <w:szCs w:val="20"/>
                <w:color w:val="auto"/>
              </w:rPr>
            </w:pPr>
            <w:r>
              <w:rPr>
                <w:rFonts w:ascii="Arial" w:cs="Arial" w:eastAsia="Arial" w:hAnsi="Arial"/>
                <w:sz w:val="14"/>
                <w:szCs w:val="14"/>
                <w:color w:val="auto"/>
              </w:rPr>
              <w:t>Retained earnings</w:t>
            </w:r>
          </w:p>
        </w:tc>
        <w:tc>
          <w:tcPr>
            <w:tcW w:w="32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141,831</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0" w:type="dxa"/>
            <w:vAlign w:val="bottom"/>
          </w:tcPr>
          <w:p>
            <w:pPr>
              <w:jc w:val="right"/>
              <w:ind w:right="148"/>
              <w:spacing w:after="0"/>
              <w:rPr>
                <w:sz w:val="20"/>
                <w:szCs w:val="20"/>
                <w:color w:val="auto"/>
              </w:rPr>
            </w:pPr>
            <w:r>
              <w:rPr>
                <w:rFonts w:ascii="Arial" w:cs="Arial" w:eastAsia="Arial" w:hAnsi="Arial"/>
                <w:sz w:val="14"/>
                <w:szCs w:val="14"/>
                <w:color w:val="auto"/>
              </w:rPr>
              <w:t>131,970</w:t>
            </w:r>
          </w:p>
        </w:tc>
        <w:tc>
          <w:tcPr>
            <w:tcW w:w="0" w:type="dxa"/>
            <w:vAlign w:val="bottom"/>
          </w:tcPr>
          <w:p>
            <w:pPr>
              <w:spacing w:after="0"/>
              <w:rPr>
                <w:sz w:val="1"/>
                <w:szCs w:val="1"/>
                <w:color w:val="auto"/>
              </w:rPr>
            </w:pPr>
          </w:p>
        </w:tc>
      </w:tr>
      <w:tr>
        <w:trPr>
          <w:trHeight w:val="181"/>
        </w:trPr>
        <w:tc>
          <w:tcPr>
            <w:tcW w:w="7820" w:type="dxa"/>
            <w:vAlign w:val="bottom"/>
          </w:tcPr>
          <w:p>
            <w:pPr>
              <w:spacing w:after="0"/>
              <w:rPr>
                <w:sz w:val="20"/>
                <w:szCs w:val="20"/>
                <w:color w:val="auto"/>
              </w:rPr>
            </w:pPr>
            <w:r>
              <w:rPr>
                <w:rFonts w:ascii="Arial" w:cs="Arial" w:eastAsia="Arial" w:hAnsi="Arial"/>
                <w:sz w:val="14"/>
                <w:szCs w:val="14"/>
                <w:color w:val="auto"/>
              </w:rPr>
              <w:t>Treasury stock at cost</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(1,578)</w:t>
            </w:r>
          </w:p>
        </w:tc>
        <w:tc>
          <w:tcPr>
            <w:tcW w:w="1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(2,065)</w:t>
            </w:r>
          </w:p>
        </w:tc>
        <w:tc>
          <w:tcPr>
            <w:tcW w:w="0" w:type="dxa"/>
            <w:vAlign w:val="bottom"/>
          </w:tcPr>
          <w:p>
            <w:pPr>
              <w:spacing w:after="0"/>
              <w:rPr>
                <w:sz w:val="1"/>
                <w:szCs w:val="1"/>
                <w:color w:val="auto"/>
              </w:rPr>
            </w:pPr>
          </w:p>
        </w:tc>
      </w:tr>
      <w:tr>
        <w:trPr>
          <w:trHeight w:val="169"/>
        </w:trPr>
        <w:tc>
          <w:tcPr>
            <w:tcW w:w="7820" w:type="dxa"/>
            <w:vAlign w:val="bottom"/>
          </w:tcPr>
          <w:p>
            <w:pPr>
              <w:ind w:left="220"/>
              <w:spacing w:after="0"/>
              <w:rPr>
                <w:sz w:val="20"/>
                <w:szCs w:val="20"/>
                <w:color w:val="auto"/>
              </w:rPr>
            </w:pPr>
            <w:r>
              <w:rPr>
                <w:rFonts w:ascii="Arial" w:cs="Arial" w:eastAsia="Arial" w:hAnsi="Arial"/>
                <w:sz w:val="14"/>
                <w:szCs w:val="14"/>
                <w:b w:val="1"/>
                <w:bCs w:val="1"/>
                <w:color w:val="auto"/>
              </w:rPr>
              <w:t>Total Stockholders’ Equity</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233,978</w:t>
            </w:r>
          </w:p>
        </w:tc>
        <w:tc>
          <w:tcPr>
            <w:tcW w:w="1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224,310</w:t>
            </w:r>
          </w:p>
        </w:tc>
        <w:tc>
          <w:tcPr>
            <w:tcW w:w="0" w:type="dxa"/>
            <w:vAlign w:val="bottom"/>
          </w:tcPr>
          <w:p>
            <w:pPr>
              <w:spacing w:after="0"/>
              <w:rPr>
                <w:sz w:val="1"/>
                <w:szCs w:val="1"/>
                <w:color w:val="auto"/>
              </w:rPr>
            </w:pPr>
          </w:p>
        </w:tc>
      </w:tr>
      <w:tr>
        <w:trPr>
          <w:trHeight w:val="169"/>
        </w:trPr>
        <w:tc>
          <w:tcPr>
            <w:tcW w:w="7820" w:type="dxa"/>
            <w:vAlign w:val="bottom"/>
          </w:tcPr>
          <w:p>
            <w:pPr>
              <w:ind w:left="220"/>
              <w:spacing w:after="0"/>
              <w:rPr>
                <w:sz w:val="20"/>
                <w:szCs w:val="20"/>
                <w:color w:val="auto"/>
              </w:rPr>
            </w:pPr>
            <w:r>
              <w:rPr>
                <w:rFonts w:ascii="Arial" w:cs="Arial" w:eastAsia="Arial" w:hAnsi="Arial"/>
                <w:sz w:val="14"/>
                <w:szCs w:val="14"/>
                <w:b w:val="1"/>
                <w:bCs w:val="1"/>
                <w:color w:val="auto"/>
              </w:rPr>
              <w:t>Total Liabilities and Stockholders’ Equity</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390,260</w:t>
            </w:r>
          </w:p>
        </w:tc>
        <w:tc>
          <w:tcPr>
            <w:tcW w:w="160" w:type="dxa"/>
            <w:vAlign w:val="bottom"/>
          </w:tcPr>
          <w:p>
            <w:pPr>
              <w:spacing w:after="0"/>
              <w:rPr>
                <w:sz w:val="14"/>
                <w:szCs w:val="14"/>
                <w:color w:val="auto"/>
              </w:rPr>
            </w:pPr>
          </w:p>
        </w:tc>
        <w:tc>
          <w:tcPr>
            <w:tcW w:w="4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380,879</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 OF CHANGES IN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Six months ended June 30, 2008 (</w:t>
      </w:r>
      <w:r>
        <w:rPr>
          <w:rFonts w:ascii="Arial" w:cs="Arial" w:eastAsia="Arial" w:hAnsi="Arial"/>
          <w:sz w:val="14"/>
          <w:szCs w:val="14"/>
          <w:b w:val="1"/>
          <w:bCs w:val="1"/>
          <w:i w:val="1"/>
          <w:iCs w:val="1"/>
          <w:color w:val="auto"/>
        </w:rPr>
        <w:t>amounts in thousands</w:t>
      </w:r>
      <w:r>
        <w:rPr>
          <w:rFonts w:ascii="Arial" w:cs="Arial" w:eastAsia="Arial" w:hAnsi="Arial"/>
          <w:sz w:val="14"/>
          <w:szCs w:val="14"/>
          <w:b w:val="1"/>
          <w:bCs w:val="1"/>
          <w:color w:val="auto"/>
        </w:rPr>
        <w:t>)</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400" w:type="dxa"/>
            <w:vAlign w:val="bottom"/>
            <w:tcBorders>
              <w:top w:val="single" w:sz="8" w:color="auto"/>
            </w:tcBorders>
          </w:tcPr>
          <w:p>
            <w:pPr>
              <w:spacing w:after="0"/>
              <w:rPr>
                <w:sz w:val="14"/>
                <w:szCs w:val="14"/>
                <w:color w:val="auto"/>
              </w:rPr>
            </w:pPr>
          </w:p>
        </w:tc>
        <w:tc>
          <w:tcPr>
            <w:tcW w:w="1300" w:type="dxa"/>
            <w:vAlign w:val="bottom"/>
            <w:tcBorders>
              <w:top w:val="single" w:sz="8" w:color="auto"/>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95"/>
              </w:rPr>
              <w:t>Common Stock</w:t>
            </w:r>
          </w:p>
        </w:tc>
        <w:tc>
          <w:tcPr>
            <w:tcW w:w="2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Additional</w:t>
            </w: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Retained</w:t>
            </w:r>
          </w:p>
        </w:tc>
        <w:tc>
          <w:tcPr>
            <w:tcW w:w="1640" w:type="dxa"/>
            <w:vAlign w:val="bottom"/>
            <w:tcBorders>
              <w:top w:val="single" w:sz="8" w:color="auto"/>
              <w:bottom w:val="single" w:sz="8" w:color="auto"/>
            </w:tcBorders>
            <w:gridSpan w:val="3"/>
          </w:tcPr>
          <w:p>
            <w:pPr>
              <w:jc w:val="right"/>
              <w:ind w:right="248"/>
              <w:spacing w:after="0"/>
              <w:rPr>
                <w:sz w:val="20"/>
                <w:szCs w:val="20"/>
                <w:color w:val="auto"/>
              </w:rPr>
            </w:pPr>
            <w:r>
              <w:rPr>
                <w:rFonts w:ascii="Arial" w:cs="Arial" w:eastAsia="Arial" w:hAnsi="Arial"/>
                <w:sz w:val="14"/>
                <w:szCs w:val="14"/>
                <w:b w:val="1"/>
                <w:bCs w:val="1"/>
                <w:color w:val="auto"/>
              </w:rPr>
              <w:t>Treasury Shares</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r>
      <w:tr>
        <w:trPr>
          <w:trHeight w:val="169"/>
        </w:trPr>
        <w:tc>
          <w:tcPr>
            <w:tcW w:w="4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8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98"/>
              </w:rPr>
              <w:t>Paid-In Capital</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Total</w:t>
            </w:r>
          </w:p>
        </w:tc>
      </w:tr>
      <w:tr>
        <w:trPr>
          <w:trHeight w:val="346"/>
        </w:trPr>
        <w:tc>
          <w:tcPr>
            <w:tcW w:w="4400" w:type="dxa"/>
            <w:vAlign w:val="bottom"/>
          </w:tcPr>
          <w:p>
            <w:pPr>
              <w:spacing w:after="0"/>
              <w:rPr>
                <w:sz w:val="20"/>
                <w:szCs w:val="20"/>
                <w:color w:val="auto"/>
              </w:rPr>
            </w:pPr>
            <w:r>
              <w:rPr>
                <w:rFonts w:ascii="Arial" w:cs="Arial" w:eastAsia="Arial" w:hAnsi="Arial"/>
                <w:sz w:val="14"/>
                <w:szCs w:val="14"/>
                <w:b w:val="1"/>
                <w:bCs w:val="1"/>
                <w:color w:val="auto"/>
              </w:rPr>
              <w:t>Balance – January 1, 2008</w:t>
            </w:r>
          </w:p>
        </w:tc>
        <w:tc>
          <w:tcPr>
            <w:tcW w:w="660" w:type="dxa"/>
            <w:vAlign w:val="bottom"/>
          </w:tcPr>
          <w:p>
            <w:pPr>
              <w:jc w:val="right"/>
              <w:spacing w:after="0"/>
              <w:rPr>
                <w:sz w:val="20"/>
                <w:szCs w:val="20"/>
                <w:color w:val="auto"/>
              </w:rPr>
            </w:pPr>
            <w:r>
              <w:rPr>
                <w:rFonts w:ascii="Arial" w:cs="Arial" w:eastAsia="Arial" w:hAnsi="Arial"/>
                <w:sz w:val="14"/>
                <w:szCs w:val="14"/>
                <w:color w:val="auto"/>
              </w:rPr>
              <w:t>27,252</w:t>
            </w:r>
          </w:p>
        </w:tc>
        <w:tc>
          <w:tcPr>
            <w:tcW w:w="100" w:type="dxa"/>
            <w:vAlign w:val="bottom"/>
          </w:tcPr>
          <w:p>
            <w:pPr>
              <w:spacing w:after="0"/>
              <w:rPr>
                <w:sz w:val="24"/>
                <w:szCs w:val="24"/>
                <w:color w:val="auto"/>
              </w:rPr>
            </w:pPr>
          </w:p>
        </w:tc>
        <w:tc>
          <w:tcPr>
            <w:tcW w:w="540" w:type="dxa"/>
            <w:vAlign w:val="bottom"/>
          </w:tcPr>
          <w:p>
            <w:pPr>
              <w:ind w:left="120"/>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273</w:t>
            </w: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94,132</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131,970</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(327)</w:t>
            </w:r>
          </w:p>
        </w:tc>
        <w:tc>
          <w:tcPr>
            <w:tcW w:w="940" w:type="dxa"/>
            <w:vAlign w:val="bottom"/>
            <w:gridSpan w:val="2"/>
          </w:tcPr>
          <w:p>
            <w:pPr>
              <w:jc w:val="right"/>
              <w:ind w:right="8"/>
              <w:spacing w:after="0"/>
              <w:rPr>
                <w:sz w:val="20"/>
                <w:szCs w:val="20"/>
                <w:color w:val="auto"/>
              </w:rPr>
            </w:pPr>
            <w:r>
              <w:rPr>
                <w:rFonts w:ascii="Arial" w:cs="Arial" w:eastAsia="Arial" w:hAnsi="Arial"/>
                <w:sz w:val="14"/>
                <w:szCs w:val="14"/>
                <w:color w:val="auto"/>
              </w:rPr>
              <w:t>($2,065)</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224,310</w:t>
            </w:r>
          </w:p>
        </w:tc>
      </w:tr>
      <w:tr>
        <w:trPr>
          <w:trHeight w:val="317"/>
        </w:trPr>
        <w:tc>
          <w:tcPr>
            <w:tcW w:w="4400" w:type="dxa"/>
            <w:vAlign w:val="bottom"/>
          </w:tcPr>
          <w:p>
            <w:pPr>
              <w:spacing w:after="0"/>
              <w:rPr>
                <w:sz w:val="20"/>
                <w:szCs w:val="20"/>
                <w:color w:val="auto"/>
              </w:rPr>
            </w:pPr>
            <w:r>
              <w:rPr>
                <w:rFonts w:ascii="Arial" w:cs="Arial" w:eastAsia="Arial" w:hAnsi="Arial"/>
                <w:sz w:val="14"/>
                <w:szCs w:val="14"/>
                <w:color w:val="auto"/>
              </w:rPr>
              <w:t>Stock compen-</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2"/>
        </w:trPr>
        <w:tc>
          <w:tcPr>
            <w:tcW w:w="4400" w:type="dxa"/>
            <w:vAlign w:val="bottom"/>
          </w:tcPr>
          <w:p>
            <w:pPr>
              <w:spacing w:after="0"/>
              <w:rPr>
                <w:sz w:val="20"/>
                <w:szCs w:val="20"/>
                <w:color w:val="auto"/>
              </w:rPr>
            </w:pPr>
            <w:r>
              <w:rPr>
                <w:rFonts w:ascii="Arial" w:cs="Arial" w:eastAsia="Arial" w:hAnsi="Arial"/>
                <w:sz w:val="14"/>
                <w:szCs w:val="14"/>
                <w:color w:val="auto"/>
              </w:rPr>
              <w:t>sation expense</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531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531</w:t>
            </w:r>
          </w:p>
        </w:tc>
      </w:tr>
      <w:tr>
        <w:trPr>
          <w:trHeight w:val="317"/>
        </w:trPr>
        <w:tc>
          <w:tcPr>
            <w:tcW w:w="4400" w:type="dxa"/>
            <w:vAlign w:val="bottom"/>
          </w:tcPr>
          <w:p>
            <w:pPr>
              <w:spacing w:after="0"/>
              <w:rPr>
                <w:sz w:val="20"/>
                <w:szCs w:val="20"/>
                <w:color w:val="auto"/>
              </w:rPr>
            </w:pPr>
            <w:r>
              <w:rPr>
                <w:rFonts w:ascii="Arial" w:cs="Arial" w:eastAsia="Arial" w:hAnsi="Arial"/>
                <w:sz w:val="14"/>
                <w:szCs w:val="14"/>
                <w:color w:val="auto"/>
              </w:rPr>
              <w:t>Issuance of common stock under stock incentive</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2"/>
        </w:trPr>
        <w:tc>
          <w:tcPr>
            <w:tcW w:w="4400" w:type="dxa"/>
            <w:vAlign w:val="bottom"/>
          </w:tcPr>
          <w:p>
            <w:pPr>
              <w:ind w:left="40"/>
              <w:spacing w:after="0"/>
              <w:rPr>
                <w:sz w:val="20"/>
                <w:szCs w:val="20"/>
                <w:color w:val="auto"/>
              </w:rPr>
            </w:pPr>
            <w:r>
              <w:rPr>
                <w:rFonts w:ascii="Arial" w:cs="Arial" w:eastAsia="Arial" w:hAnsi="Arial"/>
                <w:sz w:val="14"/>
                <w:szCs w:val="14"/>
                <w:color w:val="auto"/>
              </w:rPr>
              <w:t>plans, including income tax benefits</w:t>
            </w:r>
          </w:p>
        </w:tc>
        <w:tc>
          <w:tcPr>
            <w:tcW w:w="6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86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86</w:t>
            </w:r>
          </w:p>
        </w:tc>
      </w:tr>
      <w:tr>
        <w:trPr>
          <w:trHeight w:val="317"/>
        </w:trPr>
        <w:tc>
          <w:tcPr>
            <w:tcW w:w="4400" w:type="dxa"/>
            <w:vAlign w:val="bottom"/>
          </w:tcPr>
          <w:p>
            <w:pPr>
              <w:spacing w:after="0"/>
              <w:rPr>
                <w:sz w:val="20"/>
                <w:szCs w:val="20"/>
                <w:color w:val="auto"/>
              </w:rPr>
            </w:pPr>
            <w:r>
              <w:rPr>
                <w:rFonts w:ascii="Arial" w:cs="Arial" w:eastAsia="Arial" w:hAnsi="Arial"/>
                <w:sz w:val="14"/>
                <w:szCs w:val="14"/>
                <w:color w:val="auto"/>
              </w:rPr>
              <w:t>Issuance of common stock under Employee</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2"/>
        </w:trPr>
        <w:tc>
          <w:tcPr>
            <w:tcW w:w="4400" w:type="dxa"/>
            <w:vAlign w:val="bottom"/>
          </w:tcPr>
          <w:p>
            <w:pPr>
              <w:ind w:left="40"/>
              <w:spacing w:after="0"/>
              <w:rPr>
                <w:sz w:val="20"/>
                <w:szCs w:val="20"/>
                <w:color w:val="auto"/>
              </w:rPr>
            </w:pPr>
            <w:r>
              <w:rPr>
                <w:rFonts w:ascii="Arial" w:cs="Arial" w:eastAsia="Arial" w:hAnsi="Arial"/>
                <w:sz w:val="14"/>
                <w:szCs w:val="14"/>
                <w:color w:val="auto"/>
              </w:rPr>
              <w:t>Stock Purchase Plan</w:t>
            </w:r>
          </w:p>
        </w:tc>
        <w:tc>
          <w:tcPr>
            <w:tcW w:w="66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129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129</w:t>
            </w:r>
          </w:p>
        </w:tc>
      </w:tr>
      <w:tr>
        <w:trPr>
          <w:trHeight w:val="351"/>
        </w:trPr>
        <w:tc>
          <w:tcPr>
            <w:tcW w:w="4400" w:type="dxa"/>
            <w:vAlign w:val="bottom"/>
          </w:tcPr>
          <w:p>
            <w:pPr>
              <w:spacing w:after="0"/>
              <w:rPr>
                <w:sz w:val="20"/>
                <w:szCs w:val="20"/>
                <w:color w:val="auto"/>
              </w:rPr>
            </w:pPr>
            <w:r>
              <w:rPr>
                <w:rFonts w:ascii="Arial" w:cs="Arial" w:eastAsia="Arial" w:hAnsi="Arial"/>
                <w:sz w:val="14"/>
                <w:szCs w:val="14"/>
                <w:color w:val="auto"/>
              </w:rPr>
              <w:t>Repurchase of common stock for Treasury</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(92)</w:t>
            </w:r>
          </w:p>
        </w:tc>
        <w:tc>
          <w:tcPr>
            <w:tcW w:w="940" w:type="dxa"/>
            <w:vAlign w:val="bottom"/>
            <w:gridSpan w:val="2"/>
          </w:tcPr>
          <w:p>
            <w:pPr>
              <w:jc w:val="right"/>
              <w:ind w:right="8"/>
              <w:spacing w:after="0"/>
              <w:rPr>
                <w:sz w:val="20"/>
                <w:szCs w:val="20"/>
                <w:color w:val="auto"/>
              </w:rPr>
            </w:pPr>
            <w:r>
              <w:rPr>
                <w:rFonts w:ascii="Arial" w:cs="Arial" w:eastAsia="Arial" w:hAnsi="Arial"/>
                <w:sz w:val="14"/>
                <w:szCs w:val="14"/>
                <w:color w:val="auto"/>
              </w:rPr>
              <w:t>(939)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(939)</w:t>
            </w:r>
          </w:p>
        </w:tc>
      </w:tr>
      <w:tr>
        <w:trPr>
          <w:trHeight w:val="351"/>
        </w:trPr>
        <w:tc>
          <w:tcPr>
            <w:tcW w:w="4400" w:type="dxa"/>
            <w:vAlign w:val="bottom"/>
          </w:tcPr>
          <w:p>
            <w:pPr>
              <w:spacing w:after="0"/>
              <w:rPr>
                <w:sz w:val="20"/>
                <w:szCs w:val="20"/>
                <w:color w:val="auto"/>
              </w:rPr>
            </w:pPr>
            <w:r>
              <w:rPr>
                <w:rFonts w:ascii="Arial" w:cs="Arial" w:eastAsia="Arial" w:hAnsi="Arial"/>
                <w:sz w:val="14"/>
                <w:szCs w:val="14"/>
                <w:color w:val="auto"/>
              </w:rPr>
              <w:t>Issuance of nonvested stock</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(1,426)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199</w:t>
            </w:r>
          </w:p>
        </w:tc>
        <w:tc>
          <w:tcPr>
            <w:tcW w:w="940" w:type="dxa"/>
            <w:vAlign w:val="bottom"/>
            <w:gridSpan w:val="2"/>
          </w:tcPr>
          <w:p>
            <w:pPr>
              <w:jc w:val="right"/>
              <w:ind w:right="48"/>
              <w:spacing w:after="0"/>
              <w:rPr>
                <w:sz w:val="20"/>
                <w:szCs w:val="20"/>
                <w:color w:val="auto"/>
              </w:rPr>
            </w:pPr>
            <w:r>
              <w:rPr>
                <w:rFonts w:ascii="Arial" w:cs="Arial" w:eastAsia="Arial" w:hAnsi="Arial"/>
                <w:sz w:val="14"/>
                <w:szCs w:val="14"/>
                <w:color w:val="auto"/>
              </w:rPr>
              <w:t>1,426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350"/>
        </w:trPr>
        <w:tc>
          <w:tcPr>
            <w:tcW w:w="4400" w:type="dxa"/>
            <w:vAlign w:val="bottom"/>
          </w:tcPr>
          <w:p>
            <w:pPr>
              <w:spacing w:after="0"/>
              <w:rPr>
                <w:sz w:val="20"/>
                <w:szCs w:val="20"/>
                <w:color w:val="auto"/>
              </w:rPr>
            </w:pPr>
            <w:r>
              <w:rPr>
                <w:rFonts w:ascii="Arial" w:cs="Arial" w:eastAsia="Arial" w:hAnsi="Arial"/>
                <w:sz w:val="14"/>
                <w:szCs w:val="14"/>
                <w:color w:val="auto"/>
              </w:rPr>
              <w:t>Net income</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9,861</w:t>
            </w:r>
          </w:p>
        </w:tc>
        <w:tc>
          <w:tcPr>
            <w:tcW w:w="80" w:type="dxa"/>
            <w:vAlign w:val="bottom"/>
          </w:tcPr>
          <w:p>
            <w:pPr>
              <w:spacing w:after="0"/>
              <w:rPr>
                <w:sz w:val="24"/>
                <w:szCs w:val="24"/>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9,861</w:t>
            </w:r>
          </w:p>
        </w:tc>
      </w:tr>
      <w:tr>
        <w:trPr>
          <w:trHeight w:val="345"/>
        </w:trPr>
        <w:tc>
          <w:tcPr>
            <w:tcW w:w="4400" w:type="dxa"/>
            <w:vAlign w:val="bottom"/>
          </w:tcPr>
          <w:p>
            <w:pPr>
              <w:spacing w:after="0"/>
              <w:rPr>
                <w:sz w:val="20"/>
                <w:szCs w:val="20"/>
                <w:color w:val="auto"/>
              </w:rPr>
            </w:pPr>
            <w:r>
              <w:rPr>
                <w:rFonts w:ascii="Arial" w:cs="Arial" w:eastAsia="Arial" w:hAnsi="Arial"/>
                <w:sz w:val="14"/>
                <w:szCs w:val="14"/>
                <w:b w:val="1"/>
                <w:bCs w:val="1"/>
                <w:color w:val="auto"/>
              </w:rPr>
              <w:t>Balance – June 30, 2008</w:t>
            </w:r>
          </w:p>
        </w:tc>
        <w:tc>
          <w:tcPr>
            <w:tcW w:w="660" w:type="dxa"/>
            <w:vAlign w:val="bottom"/>
          </w:tcPr>
          <w:p>
            <w:pPr>
              <w:jc w:val="right"/>
              <w:spacing w:after="0"/>
              <w:rPr>
                <w:sz w:val="20"/>
                <w:szCs w:val="20"/>
                <w:color w:val="auto"/>
              </w:rPr>
            </w:pPr>
            <w:r>
              <w:rPr>
                <w:rFonts w:ascii="Arial" w:cs="Arial" w:eastAsia="Arial" w:hAnsi="Arial"/>
                <w:sz w:val="14"/>
                <w:szCs w:val="14"/>
                <w:color w:val="auto"/>
              </w:rPr>
              <w:t>27,277</w:t>
            </w:r>
          </w:p>
        </w:tc>
        <w:tc>
          <w:tcPr>
            <w:tcW w:w="100" w:type="dxa"/>
            <w:vAlign w:val="bottom"/>
          </w:tcPr>
          <w:p>
            <w:pPr>
              <w:spacing w:after="0"/>
              <w:rPr>
                <w:sz w:val="24"/>
                <w:szCs w:val="24"/>
                <w:color w:val="auto"/>
              </w:rPr>
            </w:pPr>
          </w:p>
        </w:tc>
        <w:tc>
          <w:tcPr>
            <w:tcW w:w="540" w:type="dxa"/>
            <w:vAlign w:val="bottom"/>
          </w:tcPr>
          <w:p>
            <w:pPr>
              <w:ind w:left="120"/>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273</w:t>
            </w: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93,452</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141,831</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(220)</w:t>
            </w:r>
          </w:p>
        </w:tc>
        <w:tc>
          <w:tcPr>
            <w:tcW w:w="940" w:type="dxa"/>
            <w:vAlign w:val="bottom"/>
            <w:gridSpan w:val="2"/>
          </w:tcPr>
          <w:p>
            <w:pPr>
              <w:jc w:val="right"/>
              <w:ind w:right="8"/>
              <w:spacing w:after="0"/>
              <w:rPr>
                <w:sz w:val="20"/>
                <w:szCs w:val="20"/>
                <w:color w:val="auto"/>
              </w:rPr>
            </w:pPr>
            <w:r>
              <w:rPr>
                <w:rFonts w:ascii="Arial" w:cs="Arial" w:eastAsia="Arial" w:hAnsi="Arial"/>
                <w:sz w:val="14"/>
                <w:szCs w:val="14"/>
                <w:color w:val="auto"/>
              </w:rPr>
              <w:t>($1,578)</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233,978</w:t>
            </w:r>
          </w:p>
        </w:tc>
      </w:tr>
      <w:tr>
        <w:trPr>
          <w:trHeight w:val="20"/>
        </w:trPr>
        <w:tc>
          <w:tcPr>
            <w:tcW w:w="4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44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r>
      <w:tr>
        <w:trPr>
          <w:trHeight w:val="21"/>
        </w:trPr>
        <w:tc>
          <w:tcPr>
            <w:tcW w:w="440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2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0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Six Months Ended June 30, (</w:t>
            </w:r>
            <w:r>
              <w:rPr>
                <w:rFonts w:ascii="Arial" w:cs="Arial" w:eastAsia="Arial" w:hAnsi="Arial"/>
                <w:sz w:val="14"/>
                <w:szCs w:val="14"/>
                <w:b w:val="1"/>
                <w:bCs w:val="1"/>
                <w:i w:val="1"/>
                <w:iCs w:val="1"/>
                <w:color w:val="auto"/>
              </w:rPr>
              <w:t>amounts in thousands</w:t>
            </w:r>
            <w:r>
              <w:rPr>
                <w:rFonts w:ascii="Arial" w:cs="Arial" w:eastAsia="Arial" w:hAnsi="Arial"/>
                <w:sz w:val="14"/>
                <w:szCs w:val="14"/>
                <w:b w:val="1"/>
                <w:bCs w:val="1"/>
                <w:color w:val="auto"/>
              </w:rPr>
              <w:t>)</w:t>
            </w:r>
          </w:p>
        </w:tc>
        <w:tc>
          <w:tcPr>
            <w:tcW w:w="2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2008</w:t>
            </w:r>
          </w:p>
        </w:tc>
        <w:tc>
          <w:tcPr>
            <w:tcW w:w="1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2007</w:t>
            </w:r>
          </w:p>
        </w:tc>
      </w:tr>
      <w:tr>
        <w:trPr>
          <w:trHeight w:val="346"/>
        </w:trPr>
        <w:tc>
          <w:tcPr>
            <w:tcW w:w="9040" w:type="dxa"/>
            <w:vAlign w:val="bottom"/>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44"/>
        </w:trPr>
        <w:tc>
          <w:tcPr>
            <w:tcW w:w="9040" w:type="dxa"/>
            <w:vAlign w:val="bottom"/>
          </w:tcPr>
          <w:p>
            <w:pPr>
              <w:spacing w:after="0"/>
              <w:rPr>
                <w:sz w:val="20"/>
                <w:szCs w:val="20"/>
                <w:color w:val="auto"/>
              </w:rPr>
            </w:pPr>
            <w:r>
              <w:rPr>
                <w:rFonts w:ascii="Arial" w:cs="Arial" w:eastAsia="Arial" w:hAnsi="Arial"/>
                <w:sz w:val="14"/>
                <w:szCs w:val="14"/>
                <w:color w:val="auto"/>
              </w:rPr>
              <w:t>Net income</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9,861</w:t>
            </w:r>
          </w:p>
        </w:tc>
        <w:tc>
          <w:tcPr>
            <w:tcW w:w="4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9,138</w:t>
            </w:r>
          </w:p>
        </w:tc>
      </w:tr>
      <w:tr>
        <w:trPr>
          <w:trHeight w:val="176"/>
        </w:trPr>
        <w:tc>
          <w:tcPr>
            <w:tcW w:w="9040" w:type="dxa"/>
            <w:vAlign w:val="bottom"/>
          </w:tcPr>
          <w:p>
            <w:pPr>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904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3,505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3,472</w:t>
            </w:r>
          </w:p>
        </w:tc>
      </w:tr>
      <w:tr>
        <w:trPr>
          <w:trHeight w:val="176"/>
        </w:trPr>
        <w:tc>
          <w:tcPr>
            <w:tcW w:w="9040" w:type="dxa"/>
            <w:vAlign w:val="bottom"/>
          </w:tcPr>
          <w:p>
            <w:pPr>
              <w:ind w:left="220"/>
              <w:spacing w:after="0"/>
              <w:rPr>
                <w:sz w:val="20"/>
                <w:szCs w:val="20"/>
                <w:color w:val="auto"/>
              </w:rPr>
            </w:pPr>
            <w:r>
              <w:rPr>
                <w:rFonts w:ascii="Arial" w:cs="Arial" w:eastAsia="Arial" w:hAnsi="Arial"/>
                <w:sz w:val="14"/>
                <w:szCs w:val="14"/>
                <w:color w:val="auto"/>
              </w:rPr>
              <w:t>Provision for doubtful accounts</w:t>
            </w:r>
          </w:p>
        </w:tc>
        <w:tc>
          <w:tcPr>
            <w:tcW w:w="28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696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894</w:t>
            </w:r>
          </w:p>
        </w:tc>
      </w:tr>
      <w:tr>
        <w:trPr>
          <w:trHeight w:val="176"/>
        </w:trPr>
        <w:tc>
          <w:tcPr>
            <w:tcW w:w="9040" w:type="dxa"/>
            <w:vAlign w:val="bottom"/>
          </w:tcPr>
          <w:p>
            <w:pPr>
              <w:ind w:left="220"/>
              <w:spacing w:after="0"/>
              <w:rPr>
                <w:sz w:val="20"/>
                <w:szCs w:val="20"/>
                <w:color w:val="auto"/>
              </w:rPr>
            </w:pPr>
            <w:r>
              <w:rPr>
                <w:rFonts w:ascii="Arial" w:cs="Arial" w:eastAsia="Arial" w:hAnsi="Arial"/>
                <w:sz w:val="14"/>
                <w:szCs w:val="14"/>
                <w:color w:val="auto"/>
              </w:rPr>
              <w:t>Deferred income taxes</w:t>
            </w:r>
          </w:p>
        </w:tc>
        <w:tc>
          <w:tcPr>
            <w:tcW w:w="28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1,751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79</w:t>
            </w:r>
          </w:p>
        </w:tc>
      </w:tr>
      <w:tr>
        <w:trPr>
          <w:trHeight w:val="176"/>
        </w:trPr>
        <w:tc>
          <w:tcPr>
            <w:tcW w:w="9040" w:type="dxa"/>
            <w:vAlign w:val="bottom"/>
          </w:tcPr>
          <w:p>
            <w:pPr>
              <w:ind w:left="220"/>
              <w:spacing w:after="0"/>
              <w:rPr>
                <w:sz w:val="20"/>
                <w:szCs w:val="20"/>
                <w:color w:val="auto"/>
              </w:rPr>
            </w:pPr>
            <w:r>
              <w:rPr>
                <w:rFonts w:ascii="Arial" w:cs="Arial" w:eastAsia="Arial" w:hAnsi="Arial"/>
                <w:sz w:val="14"/>
                <w:szCs w:val="14"/>
                <w:color w:val="auto"/>
              </w:rPr>
              <w:t>Stock compensation expense</w:t>
            </w:r>
          </w:p>
        </w:tc>
        <w:tc>
          <w:tcPr>
            <w:tcW w:w="28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531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(23)</w:t>
            </w:r>
          </w:p>
        </w:tc>
      </w:tr>
      <w:tr>
        <w:trPr>
          <w:trHeight w:val="176"/>
        </w:trPr>
        <w:tc>
          <w:tcPr>
            <w:tcW w:w="9040" w:type="dxa"/>
            <w:vAlign w:val="bottom"/>
          </w:tcPr>
          <w:p>
            <w:pPr>
              <w:ind w:left="220"/>
              <w:spacing w:after="0"/>
              <w:rPr>
                <w:sz w:val="20"/>
                <w:szCs w:val="20"/>
                <w:color w:val="auto"/>
              </w:rPr>
            </w:pPr>
            <w:r>
              <w:rPr>
                <w:rFonts w:ascii="Arial" w:cs="Arial" w:eastAsia="Arial" w:hAnsi="Arial"/>
                <w:sz w:val="14"/>
                <w:szCs w:val="14"/>
                <w:color w:val="auto"/>
              </w:rPr>
              <w:t>Excess tax benefit from exercise of stock options</w:t>
            </w:r>
          </w:p>
        </w:tc>
        <w:tc>
          <w:tcPr>
            <w:tcW w:w="28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(358)</w:t>
            </w:r>
          </w:p>
        </w:tc>
      </w:tr>
      <w:tr>
        <w:trPr>
          <w:trHeight w:val="176"/>
        </w:trPr>
        <w:tc>
          <w:tcPr>
            <w:tcW w:w="9040" w:type="dxa"/>
            <w:vAlign w:val="bottom"/>
          </w:tcPr>
          <w:p>
            <w:pPr>
              <w:ind w:left="220"/>
              <w:spacing w:after="0"/>
              <w:rPr>
                <w:sz w:val="20"/>
                <w:szCs w:val="20"/>
                <w:color w:val="auto"/>
              </w:rPr>
            </w:pPr>
            <w:r>
              <w:rPr>
                <w:rFonts w:ascii="Arial" w:cs="Arial" w:eastAsia="Arial" w:hAnsi="Arial"/>
                <w:sz w:val="14"/>
                <w:szCs w:val="14"/>
                <w:color w:val="auto"/>
              </w:rPr>
              <w:t>Income tax benefit related to employee equity awards</w:t>
            </w:r>
          </w:p>
        </w:tc>
        <w:tc>
          <w:tcPr>
            <w:tcW w:w="28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918</w:t>
            </w:r>
          </w:p>
        </w:tc>
      </w:tr>
      <w:tr>
        <w:trPr>
          <w:trHeight w:val="182"/>
        </w:trPr>
        <w:tc>
          <w:tcPr>
            <w:tcW w:w="9040" w:type="dxa"/>
            <w:vAlign w:val="bottom"/>
          </w:tcPr>
          <w:p>
            <w:pPr>
              <w:ind w:left="220"/>
              <w:spacing w:after="0"/>
              <w:rPr>
                <w:sz w:val="20"/>
                <w:szCs w:val="20"/>
                <w:color w:val="auto"/>
              </w:rPr>
            </w:pPr>
            <w:r>
              <w:rPr>
                <w:rFonts w:ascii="Arial" w:cs="Arial" w:eastAsia="Arial" w:hAnsi="Arial"/>
                <w:sz w:val="14"/>
                <w:szCs w:val="14"/>
                <w:color w:val="auto"/>
              </w:rPr>
              <w:t>Loss on disposal of fixed assets</w:t>
            </w:r>
          </w:p>
        </w:tc>
        <w:tc>
          <w:tcPr>
            <w:tcW w:w="28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8</w:t>
            </w:r>
          </w:p>
        </w:tc>
      </w:tr>
      <w:tr>
        <w:trPr>
          <w:trHeight w:val="344"/>
        </w:trPr>
        <w:tc>
          <w:tcPr>
            <w:tcW w:w="9040" w:type="dxa"/>
            <w:vAlign w:val="bottom"/>
          </w:tcPr>
          <w:p>
            <w:pPr>
              <w:spacing w:after="0"/>
              <w:rPr>
                <w:sz w:val="20"/>
                <w:szCs w:val="20"/>
                <w:color w:val="auto"/>
              </w:rPr>
            </w:pPr>
            <w:r>
              <w:rPr>
                <w:rFonts w:ascii="Arial" w:cs="Arial" w:eastAsia="Arial" w:hAnsi="Arial"/>
                <w:sz w:val="14"/>
                <w:szCs w:val="14"/>
                <w:color w:val="auto"/>
              </w:rPr>
              <w:t>Changes in assets and liabilities:</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6"/>
        </w:trPr>
        <w:tc>
          <w:tcPr>
            <w:tcW w:w="9040" w:type="dxa"/>
            <w:vAlign w:val="bottom"/>
          </w:tcPr>
          <w:p>
            <w:pPr>
              <w:ind w:left="220"/>
              <w:spacing w:after="0"/>
              <w:rPr>
                <w:sz w:val="20"/>
                <w:szCs w:val="20"/>
                <w:color w:val="auto"/>
              </w:rPr>
            </w:pPr>
            <w:r>
              <w:rPr>
                <w:rFonts w:ascii="Arial" w:cs="Arial" w:eastAsia="Arial" w:hAnsi="Arial"/>
                <w:sz w:val="14"/>
                <w:szCs w:val="14"/>
                <w:color w:val="auto"/>
              </w:rPr>
              <w:t>Accounts receivable</w:t>
            </w:r>
          </w:p>
        </w:tc>
        <w:tc>
          <w:tcPr>
            <w:tcW w:w="28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7,921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25</w:t>
            </w:r>
          </w:p>
        </w:tc>
      </w:tr>
      <w:tr>
        <w:trPr>
          <w:trHeight w:val="176"/>
        </w:trPr>
        <w:tc>
          <w:tcPr>
            <w:tcW w:w="9040" w:type="dxa"/>
            <w:vAlign w:val="bottom"/>
          </w:tcPr>
          <w:p>
            <w:pPr>
              <w:ind w:left="220"/>
              <w:spacing w:after="0"/>
              <w:rPr>
                <w:sz w:val="20"/>
                <w:szCs w:val="20"/>
                <w:color w:val="auto"/>
              </w:rPr>
            </w:pPr>
            <w:r>
              <w:rPr>
                <w:rFonts w:ascii="Arial" w:cs="Arial" w:eastAsia="Arial" w:hAnsi="Arial"/>
                <w:sz w:val="14"/>
                <w:szCs w:val="14"/>
                <w:color w:val="auto"/>
              </w:rPr>
              <w:t>Inventories</w:t>
            </w:r>
          </w:p>
        </w:tc>
        <w:tc>
          <w:tcPr>
            <w:tcW w:w="28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11,122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(5,835)</w:t>
            </w:r>
          </w:p>
        </w:tc>
      </w:tr>
      <w:tr>
        <w:trPr>
          <w:trHeight w:val="176"/>
        </w:trPr>
        <w:tc>
          <w:tcPr>
            <w:tcW w:w="9040" w:type="dxa"/>
            <w:vAlign w:val="bottom"/>
          </w:tcPr>
          <w:p>
            <w:pPr>
              <w:ind w:left="22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70</w:t>
            </w:r>
          </w:p>
        </w:tc>
      </w:tr>
      <w:tr>
        <w:trPr>
          <w:trHeight w:val="176"/>
        </w:trPr>
        <w:tc>
          <w:tcPr>
            <w:tcW w:w="9040" w:type="dxa"/>
            <w:vAlign w:val="bottom"/>
          </w:tcPr>
          <w:p>
            <w:pPr>
              <w:ind w:left="220"/>
              <w:spacing w:after="0"/>
              <w:rPr>
                <w:sz w:val="20"/>
                <w:szCs w:val="20"/>
                <w:color w:val="auto"/>
              </w:rPr>
            </w:pPr>
            <w:r>
              <w:rPr>
                <w:rFonts w:ascii="Arial" w:cs="Arial" w:eastAsia="Arial" w:hAnsi="Arial"/>
                <w:sz w:val="14"/>
                <w:szCs w:val="14"/>
                <w:color w:val="auto"/>
              </w:rPr>
              <w:t>Other non-current assets</w:t>
            </w:r>
          </w:p>
        </w:tc>
        <w:tc>
          <w:tcPr>
            <w:tcW w:w="28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(35)</w:t>
            </w:r>
          </w:p>
        </w:tc>
      </w:tr>
      <w:tr>
        <w:trPr>
          <w:trHeight w:val="176"/>
        </w:trPr>
        <w:tc>
          <w:tcPr>
            <w:tcW w:w="904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28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(10,168)</w:t>
            </w:r>
          </w:p>
        </w:tc>
      </w:tr>
      <w:tr>
        <w:trPr>
          <w:trHeight w:val="181"/>
        </w:trPr>
        <w:tc>
          <w:tcPr>
            <w:tcW w:w="9040" w:type="dxa"/>
            <w:vAlign w:val="bottom"/>
          </w:tcPr>
          <w:p>
            <w:pPr>
              <w:ind w:left="220"/>
              <w:spacing w:after="0"/>
              <w:rPr>
                <w:sz w:val="20"/>
                <w:szCs w:val="20"/>
                <w:color w:val="auto"/>
              </w:rPr>
            </w:pPr>
            <w:r>
              <w:rPr>
                <w:rFonts w:ascii="Arial" w:cs="Arial" w:eastAsia="Arial" w:hAnsi="Arial"/>
                <w:sz w:val="14"/>
                <w:szCs w:val="14"/>
                <w:color w:val="auto"/>
              </w:rPr>
              <w:t>Accrued expenses and other liabilities</w:t>
            </w: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(1,444)</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2,252</w:t>
            </w:r>
          </w:p>
        </w:tc>
      </w:tr>
      <w:tr>
        <w:trPr>
          <w:trHeight w:val="169"/>
        </w:trPr>
        <w:tc>
          <w:tcPr>
            <w:tcW w:w="9040" w:type="dxa"/>
            <w:vAlign w:val="bottom"/>
          </w:tcPr>
          <w:p>
            <w:pPr>
              <w:spacing w:after="0"/>
              <w:rPr>
                <w:sz w:val="20"/>
                <w:szCs w:val="20"/>
                <w:color w:val="auto"/>
              </w:rPr>
            </w:pPr>
            <w:r>
              <w:rPr>
                <w:rFonts w:ascii="Arial" w:cs="Arial" w:eastAsia="Arial" w:hAnsi="Arial"/>
                <w:sz w:val="14"/>
                <w:szCs w:val="14"/>
                <w:color w:val="auto"/>
              </w:rPr>
              <w:t>Net cash provided by operating activities</w:t>
            </w: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33,623</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437</w:t>
            </w:r>
          </w:p>
        </w:tc>
      </w:tr>
      <w:tr>
        <w:trPr>
          <w:trHeight w:val="522"/>
        </w:trPr>
        <w:tc>
          <w:tcPr>
            <w:tcW w:w="904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50"/>
        </w:trPr>
        <w:tc>
          <w:tcPr>
            <w:tcW w:w="9040" w:type="dxa"/>
            <w:vAlign w:val="bottom"/>
          </w:tcPr>
          <w:p>
            <w:pPr>
              <w:spacing w:after="0"/>
              <w:rPr>
                <w:sz w:val="20"/>
                <w:szCs w:val="20"/>
                <w:color w:val="auto"/>
              </w:rPr>
            </w:pPr>
            <w:r>
              <w:rPr>
                <w:rFonts w:ascii="Arial" w:cs="Arial" w:eastAsia="Arial" w:hAnsi="Arial"/>
                <w:sz w:val="14"/>
                <w:szCs w:val="14"/>
                <w:color w:val="auto"/>
              </w:rPr>
              <w:t>Purchases of property and equipment</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(5,465)</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(3,151)</w:t>
            </w:r>
          </w:p>
        </w:tc>
      </w:tr>
      <w:tr>
        <w:trPr>
          <w:trHeight w:val="169"/>
        </w:trPr>
        <w:tc>
          <w:tcPr>
            <w:tcW w:w="9040" w:type="dxa"/>
            <w:vAlign w:val="bottom"/>
          </w:tcPr>
          <w:p>
            <w:pPr>
              <w:spacing w:after="0"/>
              <w:rPr>
                <w:sz w:val="20"/>
                <w:szCs w:val="20"/>
                <w:color w:val="auto"/>
              </w:rPr>
            </w:pPr>
            <w:r>
              <w:rPr>
                <w:rFonts w:ascii="Arial" w:cs="Arial" w:eastAsia="Arial" w:hAnsi="Arial"/>
                <w:sz w:val="14"/>
                <w:szCs w:val="14"/>
                <w:color w:val="auto"/>
              </w:rPr>
              <w:t>Net cash used for investing activities</w:t>
            </w: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(5,465)</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(3,151)</w:t>
            </w:r>
          </w:p>
        </w:tc>
      </w:tr>
      <w:tr>
        <w:trPr>
          <w:trHeight w:val="522"/>
        </w:trPr>
        <w:tc>
          <w:tcPr>
            <w:tcW w:w="904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44"/>
        </w:trPr>
        <w:tc>
          <w:tcPr>
            <w:tcW w:w="9040" w:type="dxa"/>
            <w:vAlign w:val="bottom"/>
          </w:tcPr>
          <w:p>
            <w:pPr>
              <w:spacing w:after="0"/>
              <w:rPr>
                <w:sz w:val="20"/>
                <w:szCs w:val="20"/>
                <w:color w:val="auto"/>
              </w:rPr>
            </w:pPr>
            <w:r>
              <w:rPr>
                <w:rFonts w:ascii="Arial" w:cs="Arial" w:eastAsia="Arial" w:hAnsi="Arial"/>
                <w:sz w:val="14"/>
                <w:szCs w:val="14"/>
                <w:color w:val="auto"/>
              </w:rPr>
              <w:t>Proceeds from short-term borrowings</w:t>
            </w:r>
          </w:p>
        </w:tc>
        <w:tc>
          <w:tcPr>
            <w:tcW w:w="280" w:type="dxa"/>
            <w:vAlign w:val="bottom"/>
          </w:tcPr>
          <w:p>
            <w:pPr>
              <w:spacing w:after="0"/>
              <w:rPr>
                <w:sz w:val="24"/>
                <w:szCs w:val="2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35,345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1,461</w:t>
            </w:r>
          </w:p>
        </w:tc>
      </w:tr>
      <w:tr>
        <w:trPr>
          <w:trHeight w:val="176"/>
        </w:trPr>
        <w:tc>
          <w:tcPr>
            <w:tcW w:w="9040" w:type="dxa"/>
            <w:vAlign w:val="bottom"/>
          </w:tcPr>
          <w:p>
            <w:pPr>
              <w:spacing w:after="0"/>
              <w:rPr>
                <w:sz w:val="20"/>
                <w:szCs w:val="20"/>
                <w:color w:val="auto"/>
              </w:rPr>
            </w:pPr>
            <w:r>
              <w:rPr>
                <w:rFonts w:ascii="Arial" w:cs="Arial" w:eastAsia="Arial" w:hAnsi="Arial"/>
                <w:sz w:val="14"/>
                <w:szCs w:val="14"/>
                <w:color w:val="auto"/>
              </w:rPr>
              <w:t>Repayment of short-term borrowings</w:t>
            </w:r>
          </w:p>
        </w:tc>
        <w:tc>
          <w:tcPr>
            <w:tcW w:w="28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(35,345)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(1,461)</w:t>
            </w:r>
          </w:p>
        </w:tc>
      </w:tr>
      <w:tr>
        <w:trPr>
          <w:trHeight w:val="176"/>
        </w:trPr>
        <w:tc>
          <w:tcPr>
            <w:tcW w:w="9040" w:type="dxa"/>
            <w:vAlign w:val="bottom"/>
          </w:tcPr>
          <w:p>
            <w:pPr>
              <w:spacing w:after="0"/>
              <w:rPr>
                <w:sz w:val="20"/>
                <w:szCs w:val="20"/>
                <w:color w:val="auto"/>
              </w:rPr>
            </w:pPr>
            <w:r>
              <w:rPr>
                <w:rFonts w:ascii="Arial" w:cs="Arial" w:eastAsia="Arial" w:hAnsi="Arial"/>
                <w:sz w:val="14"/>
                <w:szCs w:val="14"/>
                <w:color w:val="auto"/>
              </w:rPr>
              <w:t>Repayment of capital lease obligation</w:t>
            </w:r>
          </w:p>
        </w:tc>
        <w:tc>
          <w:tcPr>
            <w:tcW w:w="28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(252)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(438)</w:t>
            </w:r>
          </w:p>
        </w:tc>
      </w:tr>
      <w:tr>
        <w:trPr>
          <w:trHeight w:val="176"/>
        </w:trPr>
        <w:tc>
          <w:tcPr>
            <w:tcW w:w="9040" w:type="dxa"/>
            <w:vAlign w:val="bottom"/>
          </w:tcPr>
          <w:p>
            <w:pPr>
              <w:spacing w:after="0"/>
              <w:rPr>
                <w:sz w:val="20"/>
                <w:szCs w:val="20"/>
                <w:color w:val="auto"/>
              </w:rPr>
            </w:pPr>
            <w:r>
              <w:rPr>
                <w:rFonts w:ascii="Arial" w:cs="Arial" w:eastAsia="Arial" w:hAnsi="Arial"/>
                <w:sz w:val="14"/>
                <w:szCs w:val="14"/>
                <w:color w:val="auto"/>
              </w:rPr>
              <w:t>Purchase of treasury shares</w:t>
            </w:r>
          </w:p>
        </w:tc>
        <w:tc>
          <w:tcPr>
            <w:tcW w:w="28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(939)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176"/>
        </w:trPr>
        <w:tc>
          <w:tcPr>
            <w:tcW w:w="904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28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2,544</w:t>
            </w:r>
          </w:p>
        </w:tc>
      </w:tr>
      <w:tr>
        <w:trPr>
          <w:trHeight w:val="176"/>
        </w:trPr>
        <w:tc>
          <w:tcPr>
            <w:tcW w:w="9040" w:type="dxa"/>
            <w:vAlign w:val="bottom"/>
          </w:tcPr>
          <w:p>
            <w:pPr>
              <w:spacing w:after="0"/>
              <w:rPr>
                <w:sz w:val="20"/>
                <w:szCs w:val="20"/>
                <w:color w:val="auto"/>
              </w:rPr>
            </w:pPr>
            <w:r>
              <w:rPr>
                <w:rFonts w:ascii="Arial" w:cs="Arial" w:eastAsia="Arial" w:hAnsi="Arial"/>
                <w:sz w:val="14"/>
                <w:szCs w:val="14"/>
                <w:color w:val="auto"/>
              </w:rPr>
              <w:t>Issuance of stock under Employee Stock Purchase Plan</w:t>
            </w:r>
          </w:p>
        </w:tc>
        <w:tc>
          <w:tcPr>
            <w:tcW w:w="28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134</w:t>
            </w:r>
          </w:p>
        </w:tc>
      </w:tr>
      <w:tr>
        <w:trPr>
          <w:trHeight w:val="181"/>
        </w:trPr>
        <w:tc>
          <w:tcPr>
            <w:tcW w:w="9040" w:type="dxa"/>
            <w:vAlign w:val="bottom"/>
          </w:tcPr>
          <w:p>
            <w:pPr>
              <w:spacing w:after="0"/>
              <w:rPr>
                <w:sz w:val="20"/>
                <w:szCs w:val="20"/>
                <w:color w:val="auto"/>
              </w:rPr>
            </w:pPr>
            <w:r>
              <w:rPr>
                <w:rFonts w:ascii="Arial" w:cs="Arial" w:eastAsia="Arial" w:hAnsi="Arial"/>
                <w:sz w:val="14"/>
                <w:szCs w:val="14"/>
                <w:color w:val="auto"/>
              </w:rPr>
              <w:t>Excess tax benefit from exercise of stock options</w:t>
            </w: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358</w:t>
            </w:r>
          </w:p>
        </w:tc>
      </w:tr>
      <w:tr>
        <w:trPr>
          <w:trHeight w:val="169"/>
        </w:trPr>
        <w:tc>
          <w:tcPr>
            <w:tcW w:w="9040" w:type="dxa"/>
            <w:vAlign w:val="bottom"/>
          </w:tcPr>
          <w:p>
            <w:pPr>
              <w:spacing w:after="0"/>
              <w:rPr>
                <w:sz w:val="20"/>
                <w:szCs w:val="20"/>
                <w:color w:val="auto"/>
              </w:rPr>
            </w:pPr>
            <w:r>
              <w:rPr>
                <w:rFonts w:ascii="Arial" w:cs="Arial" w:eastAsia="Arial" w:hAnsi="Arial"/>
                <w:sz w:val="14"/>
                <w:szCs w:val="14"/>
                <w:color w:val="auto"/>
              </w:rPr>
              <w:t>Net cash (used for) provided by financing activities</w:t>
            </w: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(983)</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2,598</w:t>
            </w:r>
          </w:p>
        </w:tc>
      </w:tr>
      <w:tr>
        <w:trPr>
          <w:trHeight w:val="164"/>
        </w:trPr>
        <w:tc>
          <w:tcPr>
            <w:tcW w:w="9040" w:type="dxa"/>
            <w:vAlign w:val="bottom"/>
          </w:tcPr>
          <w:p>
            <w:pPr>
              <w:spacing w:after="0"/>
              <w:rPr>
                <w:sz w:val="20"/>
                <w:szCs w:val="20"/>
                <w:color w:val="auto"/>
              </w:rPr>
            </w:pPr>
            <w:r>
              <w:rPr>
                <w:rFonts w:ascii="Arial" w:cs="Arial" w:eastAsia="Arial" w:hAnsi="Arial"/>
                <w:sz w:val="14"/>
                <w:szCs w:val="14"/>
                <w:color w:val="auto"/>
              </w:rPr>
              <w:t>Increase (decrease) in cash and cash equivalents</w:t>
            </w:r>
          </w:p>
        </w:tc>
        <w:tc>
          <w:tcPr>
            <w:tcW w:w="28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27,175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(116)</w:t>
            </w:r>
          </w:p>
        </w:tc>
      </w:tr>
      <w:tr>
        <w:trPr>
          <w:trHeight w:val="181"/>
        </w:trPr>
        <w:tc>
          <w:tcPr>
            <w:tcW w:w="904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13,741</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17,582</w:t>
            </w:r>
          </w:p>
        </w:tc>
      </w:tr>
      <w:tr>
        <w:trPr>
          <w:trHeight w:val="169"/>
        </w:trPr>
        <w:tc>
          <w:tcPr>
            <w:tcW w:w="9040" w:type="dxa"/>
            <w:vAlign w:val="bottom"/>
          </w:tcPr>
          <w:p>
            <w:pPr>
              <w:spacing w:after="0"/>
              <w:rPr>
                <w:sz w:val="20"/>
                <w:szCs w:val="20"/>
                <w:color w:val="auto"/>
              </w:rPr>
            </w:pPr>
            <w:r>
              <w:rPr>
                <w:rFonts w:ascii="Arial" w:cs="Arial" w:eastAsia="Arial" w:hAnsi="Arial"/>
                <w:sz w:val="14"/>
                <w:szCs w:val="14"/>
                <w:color w:val="auto"/>
              </w:rPr>
              <w:t>Cash and cash equivalents, end of period</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40,916</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17,466</w:t>
            </w:r>
          </w:p>
        </w:tc>
      </w:tr>
      <w:tr>
        <w:trPr>
          <w:trHeight w:val="20"/>
        </w:trPr>
        <w:tc>
          <w:tcPr>
            <w:tcW w:w="9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PC Connection, Inc.</w:t>
      </w:r>
    </w:p>
    <w:p>
      <w:pPr>
        <w:spacing w:after="0" w:line="230" w:lineRule="auto"/>
        <w:rPr>
          <w:sz w:val="20"/>
          <w:szCs w:val="20"/>
          <w:color w:val="auto"/>
        </w:rPr>
      </w:pPr>
      <w:r>
        <w:rPr>
          <w:rFonts w:ascii="Arial" w:cs="Arial" w:eastAsia="Arial" w:hAnsi="Arial"/>
          <w:sz w:val="22"/>
          <w:szCs w:val="22"/>
          <w:color w:val="auto"/>
        </w:rPr>
        <w:t>Stephen Baldridge, 603-683-2322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Sr. Vice President of Finance &amp; Corporate Controller</w:t>
      </w:r>
    </w:p>
    <w:sectPr>
      <w:pgSz w:w="11900" w:h="16838" w:orient="portrait"/>
      <w:cols w:equalWidth="0" w:num="1">
        <w:col w:w="11420"/>
      </w:cols>
      <w:pgMar w:left="240" w:top="13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2019-12-11T15:29:28Z</dcterms:created>
  <dcterms:modified xsi:type="dcterms:W3CDTF">2019-12-11T15:29:28Z</dcterms:modified>
</cp:coreProperties>
</file>