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line="230"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jc w:val="center"/>
        <w:spacing w:after="0" w:line="238" w:lineRule="auto"/>
        <w:rPr>
          <w:sz w:val="20"/>
          <w:szCs w:val="20"/>
          <w:color w:val="auto"/>
        </w:rPr>
      </w:pPr>
      <w:r>
        <w:rPr>
          <w:rFonts w:ascii="Arial" w:cs="Arial" w:eastAsia="Arial" w:hAnsi="Arial"/>
          <w:sz w:val="22"/>
          <w:szCs w:val="22"/>
          <w:color w:val="auto"/>
        </w:rPr>
        <w:t>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29, 2009</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Delaware</w:t>
            </w:r>
          </w:p>
        </w:tc>
        <w:tc>
          <w:tcPr>
            <w:tcW w:w="3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0-23827</w:t>
            </w:r>
          </w:p>
        </w:tc>
        <w:tc>
          <w:tcPr>
            <w:tcW w:w="3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02-0513618</w:t>
            </w:r>
          </w:p>
        </w:tc>
      </w:tr>
      <w:tr>
        <w:trPr>
          <w:trHeight w:val="215"/>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5"/>
              </w:rPr>
              <w:t>diction of incorporation)</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jc w:val="center"/>
              <w:ind w:right="410"/>
              <w:spacing w:after="0"/>
              <w:rPr>
                <w:sz w:val="20"/>
                <w:szCs w:val="20"/>
                <w:color w:val="auto"/>
              </w:rPr>
            </w:pPr>
            <w:r>
              <w:rPr>
                <w:rFonts w:ascii="Arial" w:cs="Arial" w:eastAsia="Arial" w:hAnsi="Arial"/>
                <w:sz w:val="18"/>
                <w:szCs w:val="18"/>
                <w:color w:val="auto"/>
                <w:w w:val="93"/>
              </w:rPr>
              <w:t>Rt. 101A, 730 Milford Road</w:t>
            </w:r>
          </w:p>
        </w:tc>
        <w:tc>
          <w:tcPr>
            <w:tcW w:w="5200" w:type="dxa"/>
            <w:vAlign w:val="bottom"/>
          </w:tcPr>
          <w:p>
            <w:pPr>
              <w:jc w:val="right"/>
              <w:ind w:right="2530"/>
              <w:spacing w:after="0"/>
              <w:rPr>
                <w:sz w:val="20"/>
                <w:szCs w:val="20"/>
                <w:color w:val="auto"/>
              </w:rPr>
            </w:pPr>
            <w:r>
              <w:rPr>
                <w:rFonts w:ascii="Arial" w:cs="Arial" w:eastAsia="Arial" w:hAnsi="Arial"/>
                <w:sz w:val="18"/>
                <w:szCs w:val="18"/>
                <w:color w:val="auto"/>
              </w:rPr>
              <w:t>03054</w:t>
            </w:r>
          </w:p>
        </w:tc>
      </w:tr>
      <w:tr>
        <w:trPr>
          <w:trHeight w:val="237"/>
        </w:trPr>
        <w:tc>
          <w:tcPr>
            <w:tcW w:w="62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6"/>
              </w:rPr>
              <w:t>Merrimack, NH</w:t>
            </w:r>
          </w:p>
        </w:tc>
        <w:tc>
          <w:tcPr>
            <w:tcW w:w="5200" w:type="dxa"/>
            <w:vAlign w:val="bottom"/>
            <w:tcBorders>
              <w:bottom w:val="single" w:sz="8" w:color="auto"/>
            </w:tcBorders>
          </w:tcPr>
          <w:p>
            <w:pPr>
              <w:spacing w:after="0"/>
              <w:rPr>
                <w:sz w:val="20"/>
                <w:szCs w:val="20"/>
                <w:color w:val="auto"/>
              </w:rPr>
            </w:pPr>
          </w:p>
        </w:tc>
      </w:tr>
      <w:tr>
        <w:trPr>
          <w:trHeight w:val="230"/>
        </w:trPr>
        <w:tc>
          <w:tcPr>
            <w:tcW w:w="622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(603) 683-2000</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0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29, 2009, PC Connection, Inc. announced its financial results for the quarter ended September 30, 2009. The full text of the press release issued in connection with the announcement is furnished as Exhibit 99.1 to this Current Report on Form 8-K.</w:t>
      </w:r>
    </w:p>
    <w:p>
      <w:pPr>
        <w:spacing w:after="0" w:line="130"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460" w:right="4260"/>
        <w:spacing w:after="0" w:line="639" w:lineRule="auto"/>
        <w:rPr>
          <w:rFonts w:ascii="Arial" w:cs="Arial" w:eastAsia="Arial" w:hAnsi="Arial"/>
          <w:sz w:val="18"/>
          <w:szCs w:val="18"/>
          <w:color w:val="auto"/>
        </w:rPr>
      </w:pPr>
      <w:r>
        <w:rPr>
          <w:rFonts w:ascii="Arial" w:cs="Arial" w:eastAsia="Arial" w:hAnsi="Arial"/>
          <w:sz w:val="17"/>
          <w:szCs w:val="17"/>
          <w:color w:val="auto"/>
        </w:rPr>
        <w:t>The following exhibit relating to Item 2.02 shall be deemed to be furnished, and not filed: 99.1 Press Release issued by PC Connection, Inc. on October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00"/>
          </w:cols>
          <w:pgMar w:left="240" w:top="111" w:right="4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29, 2009</w:t>
      </w:r>
      <w:r>
        <w:rPr>
          <w:sz w:val="20"/>
          <w:szCs w:val="20"/>
          <w:color w:val="auto"/>
        </w:rPr>
        <w:tab/>
      </w:r>
      <w:r>
        <w:rPr>
          <w:rFonts w:ascii="Arial" w:cs="Arial" w:eastAsia="Arial" w:hAnsi="Arial"/>
          <w:sz w:val="17"/>
          <w:szCs w:val="17"/>
          <w:color w:val="auto"/>
        </w:rPr>
        <w:t>PC CONNECTION,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Jack Ferguson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Treasurer, and</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60" w:type="dxa"/>
            <w:vAlign w:val="bottom"/>
          </w:tcPr>
          <w:p>
            <w:pPr>
              <w:ind w:left="1780"/>
              <w:spacing w:after="0"/>
              <w:rPr>
                <w:sz w:val="20"/>
                <w:szCs w:val="20"/>
                <w:color w:val="auto"/>
              </w:rPr>
            </w:pPr>
            <w:r>
              <w:rPr>
                <w:rFonts w:ascii="Arial" w:cs="Arial" w:eastAsia="Arial" w:hAnsi="Arial"/>
                <w:sz w:val="22"/>
                <w:szCs w:val="22"/>
                <w:color w:val="auto"/>
              </w:rPr>
              <w:t>EXHIBIT INDEX</w:t>
            </w:r>
          </w:p>
        </w:tc>
      </w:tr>
      <w:tr>
        <w:trPr>
          <w:trHeight w:val="395"/>
        </w:trPr>
        <w:tc>
          <w:tcPr>
            <w:tcW w:w="15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440" w:type="dxa"/>
            <w:vAlign w:val="bottom"/>
            <w:gridSpan w:val="3"/>
          </w:tcPr>
          <w:p>
            <w:pPr>
              <w:ind w:left="7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5440" w:type="dxa"/>
            <w:vAlign w:val="bottom"/>
            <w:gridSpan w:val="3"/>
          </w:tcPr>
          <w:p>
            <w:pPr>
              <w:ind w:left="740"/>
              <w:spacing w:after="0"/>
              <w:rPr>
                <w:sz w:val="20"/>
                <w:szCs w:val="20"/>
                <w:color w:val="auto"/>
              </w:rPr>
            </w:pPr>
            <w:r>
              <w:rPr>
                <w:rFonts w:ascii="Arial" w:cs="Arial" w:eastAsia="Arial" w:hAnsi="Arial"/>
                <w:sz w:val="18"/>
                <w:szCs w:val="18"/>
                <w:color w:val="auto"/>
                <w:w w:val="88"/>
              </w:rPr>
              <w:t>Press release issued by PC Connection, Inc. on October 29, 2009.</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PC Connection, Inc. Reports Third Quarter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Summary</w:t>
      </w:r>
      <w:r>
        <w:rPr>
          <w:rFonts w:ascii="Arial" w:cs="Arial" w:eastAsia="Arial" w:hAnsi="Arial"/>
          <w:sz w:val="22"/>
          <w:szCs w:val="22"/>
          <w:b w:val="1"/>
          <w:bCs w:val="1"/>
          <w:color w:val="auto"/>
        </w:rPr>
        <w: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sales: $403 million, down 9%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SG&amp;A expense down 12%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Diluted EPS: $0.11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Cash balance: $66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00"/>
        <w:spacing w:after="0" w:line="284" w:lineRule="auto"/>
        <w:rPr>
          <w:sz w:val="20"/>
          <w:szCs w:val="20"/>
          <w:color w:val="auto"/>
        </w:rPr>
      </w:pPr>
      <w:r>
        <w:rPr>
          <w:rFonts w:ascii="Arial" w:cs="Arial" w:eastAsia="Arial" w:hAnsi="Arial"/>
          <w:sz w:val="19"/>
          <w:szCs w:val="19"/>
          <w:color w:val="auto"/>
        </w:rPr>
        <w:t xml:space="preserve">MERRIMACK, N.H.--(BUSINESS WIRE)--October 29, 2009--PC Connection, Inc. </w:t>
      </w:r>
      <w:r>
        <w:rPr>
          <w:rFonts w:ascii="Arial" w:cs="Arial" w:eastAsia="Arial" w:hAnsi="Arial"/>
          <w:sz w:val="19"/>
          <w:szCs w:val="19"/>
          <w:b w:val="1"/>
          <w:bCs w:val="1"/>
          <w:color w:val="auto"/>
        </w:rPr>
        <w:t>(NASDAQ: PCCC)</w:t>
      </w:r>
      <w:r>
        <w:rPr>
          <w:rFonts w:ascii="Arial" w:cs="Arial" w:eastAsia="Arial" w:hAnsi="Arial"/>
          <w:sz w:val="19"/>
          <w:szCs w:val="19"/>
          <w:color w:val="auto"/>
        </w:rPr>
        <w:t>, a leading direct marketer of information technology (IT) products and services, today announced results for the quarter ended September 30, 2009. Net sales for the three months ended September 30, 2009 were $403.1 million, a decrease of $38.4 million or 8.7%, compared to $441.4 million for the three months ended September 30, 2008. Net income for the quarter was $2.9 million, or $0.11 per share, compared to net income of $3.2 million, or $0.12 per share, for the corresponding prior year period.</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Net sales for the nine months ended September 30, 2009 were $1,106.5 million, a decrease of $208.0 million or 15.8%, compared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to $1,314.6 million for the nine months ended September 30, 2008. Net loss for the nine months ended September 30, 2009 was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$5.2 million, or $0.19 per share, compared to net income of $13.1 million, or $0.48 per share, for the nine months ended September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30, 2008. The nine-month periods ended September 30, 2009 and 2008 included special charges that reduced earnings and earnings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 share. Had these charges not been incurred, pro forma net income for the nine months ended September 30, 2009 would have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been $3.0 million, or $0.11 per share, compared to $14.0 million, or $0.52 per share, for the nine months ended September 30,</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2008. A reconciliation between net loss (income) on a GAAP basis and pro forma net income is provided in a table below</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immediately following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by Business Segment</w:t>
      </w:r>
      <w:r>
        <w:rPr>
          <w:rFonts w:ascii="Arial" w:cs="Arial" w:eastAsia="Arial" w:hAnsi="Arial"/>
          <w:sz w:val="22"/>
          <w:szCs w:val="22"/>
          <w:i w:val="1"/>
          <w:iCs w:val="1"/>
          <w:color w:val="auto"/>
        </w:rPr>
        <w:t>:</w:t>
      </w:r>
    </w:p>
    <w:p>
      <w:pPr>
        <w:spacing w:after="0" w:line="206" w:lineRule="exact"/>
        <w:rPr>
          <w:sz w:val="20"/>
          <w:szCs w:val="20"/>
          <w:color w:val="auto"/>
        </w:rPr>
      </w:pPr>
    </w:p>
    <w:p>
      <w:pPr>
        <w:ind w:left="540" w:right="80"/>
        <w:spacing w:after="0"/>
        <w:rPr>
          <w:sz w:val="20"/>
          <w:szCs w:val="20"/>
          <w:color w:val="auto"/>
        </w:rPr>
      </w:pPr>
      <w:r>
        <w:rPr>
          <w:rFonts w:ascii="Arial" w:cs="Arial" w:eastAsia="Arial" w:hAnsi="Arial"/>
          <w:sz w:val="22"/>
          <w:szCs w:val="22"/>
          <w:color w:val="auto"/>
        </w:rPr>
        <w:t>Net sales for the small- and medium-sized business (SMB) segment decreased by 16.0% to $182.6 million compared to the third quarter of 2008, reflecting the reduced capital spending of SMB customers. The SMB segment however increased sales on a sequential basis for the second straight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240"/>
        <w:spacing w:after="0" w:line="251" w:lineRule="auto"/>
        <w:rPr>
          <w:sz w:val="20"/>
          <w:szCs w:val="20"/>
          <w:color w:val="auto"/>
        </w:rPr>
      </w:pPr>
      <w:r>
        <w:rPr>
          <w:rFonts w:ascii="Arial" w:cs="Arial" w:eastAsia="Arial" w:hAnsi="Arial"/>
          <w:sz w:val="22"/>
          <w:szCs w:val="22"/>
          <w:color w:val="auto"/>
        </w:rPr>
        <w:t>Net sales for MoreDirect, Inc., the Company’s Large Account segment, decreased by 11.4% to $103.9 million compared to the third quarter of 2008. Large account customers continue to be cautious in their IT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jc w:val="both"/>
        <w:ind w:left="540" w:right="140"/>
        <w:spacing w:after="0"/>
        <w:rPr>
          <w:sz w:val="20"/>
          <w:szCs w:val="20"/>
          <w:color w:val="auto"/>
        </w:rPr>
      </w:pPr>
      <w:r>
        <w:rPr>
          <w:rFonts w:ascii="Arial" w:cs="Arial" w:eastAsia="Arial" w:hAnsi="Arial"/>
          <w:sz w:val="22"/>
          <w:szCs w:val="22"/>
          <w:color w:val="auto"/>
        </w:rPr>
        <w:t>Net sales to government and education customers (Public Sector segment) increased by 9.3% to $116.6 million compared to the third quarter of 2008. Increased federal contract sales and strong K-12 education sales contributed to the year-over-year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Quarterly Sales by Product Mix</w:t>
      </w:r>
      <w:r>
        <w:rPr>
          <w:rFonts w:ascii="Arial" w:cs="Arial" w:eastAsia="Arial" w:hAnsi="Arial"/>
          <w:sz w:val="22"/>
          <w:szCs w:val="22"/>
          <w:i w:val="1"/>
          <w:iCs w:val="1"/>
          <w:color w:val="auto"/>
        </w:rPr>
        <w:t>:</w:t>
      </w:r>
    </w:p>
    <w:p>
      <w:pPr>
        <w:spacing w:after="0" w:line="207" w:lineRule="exact"/>
        <w:rPr>
          <w:sz w:val="20"/>
          <w:szCs w:val="20"/>
          <w:color w:val="auto"/>
        </w:rPr>
      </w:pPr>
    </w:p>
    <w:p>
      <w:pPr>
        <w:ind w:left="540" w:right="40"/>
        <w:spacing w:after="0" w:line="297" w:lineRule="auto"/>
        <w:rPr>
          <w:sz w:val="20"/>
          <w:szCs w:val="20"/>
          <w:color w:val="auto"/>
        </w:rPr>
      </w:pPr>
      <w:r>
        <w:rPr>
          <w:rFonts w:ascii="Arial" w:cs="Arial" w:eastAsia="Arial" w:hAnsi="Arial"/>
          <w:sz w:val="19"/>
          <w:szCs w:val="19"/>
          <w:color w:val="auto"/>
        </w:rPr>
        <w:t>Sales of Notebooks and PDAs decreased by 12% year over year and accounted for 15% of net sales in the third quarter of 2009 compared to 16% of net sales in the third quarter of 2008. Higher unit sales were offset by lower average selling prices, or ASPs, as competitive pricing pressures as well as the growth of netbook sales impacted ASPs.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3" w:lineRule="exact"/>
        <w:rPr>
          <w:sz w:val="20"/>
          <w:szCs w:val="20"/>
          <w:color w:val="auto"/>
        </w:rPr>
      </w:pPr>
    </w:p>
    <w:p>
      <w:pPr>
        <w:ind w:left="540" w:right="80"/>
        <w:spacing w:after="0"/>
        <w:rPr>
          <w:sz w:val="20"/>
          <w:szCs w:val="20"/>
          <w:color w:val="auto"/>
        </w:rPr>
      </w:pPr>
      <w:r>
        <w:rPr>
          <w:rFonts w:ascii="Arial" w:cs="Arial" w:eastAsia="Arial" w:hAnsi="Arial"/>
          <w:sz w:val="22"/>
          <w:szCs w:val="22"/>
          <w:color w:val="auto"/>
        </w:rPr>
        <w:t>Software sales decreased by 1% year over year in dollars and accounted for 14% of net sales in the third quarter of 2009 compared to 13% of net sales in the third quarter of 2008. Strong federal government sales offset slight declines to corporate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340"/>
        <w:spacing w:after="0" w:line="297" w:lineRule="auto"/>
        <w:rPr>
          <w:sz w:val="20"/>
          <w:szCs w:val="20"/>
          <w:color w:val="auto"/>
        </w:rPr>
      </w:pPr>
      <w:r>
        <w:rPr>
          <w:rFonts w:ascii="Arial" w:cs="Arial" w:eastAsia="Arial" w:hAnsi="Arial"/>
          <w:sz w:val="19"/>
          <w:szCs w:val="19"/>
          <w:color w:val="auto"/>
        </w:rPr>
        <w:t>Accessories/Other sales decreased by 3% year over year, accounting for 13% of net sales in the third quarter of 2009 compared to 12% of net sales in the corresponding prior year period. Increased sales of point-of-sale products and mobile computing accessories partially offset the year-over-year decline of other products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3" w:lineRule="exact"/>
        <w:rPr>
          <w:sz w:val="20"/>
          <w:szCs w:val="20"/>
          <w:color w:val="auto"/>
        </w:rPr>
      </w:pPr>
    </w:p>
    <w:p>
      <w:pPr>
        <w:jc w:val="both"/>
        <w:ind w:left="540" w:right="640"/>
        <w:spacing w:after="0"/>
        <w:rPr>
          <w:sz w:val="20"/>
          <w:szCs w:val="20"/>
          <w:color w:val="auto"/>
        </w:rPr>
      </w:pPr>
      <w:r>
        <w:rPr>
          <w:rFonts w:ascii="Arial" w:cs="Arial" w:eastAsia="Arial" w:hAnsi="Arial"/>
          <w:sz w:val="22"/>
          <w:szCs w:val="22"/>
          <w:color w:val="auto"/>
        </w:rPr>
        <w:t>Desktop/Servers sales decreased by 4% year over year and accounted for 14% of net sales in the third quarter of 2009 compared to 13% of net sales in the third quarter of 2008. Lower unit volumes, partially offset by higher server ASPs, accounted for this decrease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right="80"/>
        <w:spacing w:after="0" w:line="238" w:lineRule="auto"/>
        <w:rPr>
          <w:sz w:val="20"/>
          <w:szCs w:val="20"/>
          <w:color w:val="auto"/>
        </w:rPr>
      </w:pPr>
      <w:r>
        <w:rPr>
          <w:rFonts w:ascii="Arial" w:cs="Arial" w:eastAsia="Arial" w:hAnsi="Arial"/>
          <w:sz w:val="22"/>
          <w:szCs w:val="22"/>
          <w:color w:val="auto"/>
        </w:rPr>
        <w:t>Gross profit dollars decreased by $7.0 million, or 13.1%, in the third quarter of 2009 from the corresponding period a year ago due to decreased revenues and lower gross profit margins. Gross profit margin, as a percentage of net sales, declined year over year by 58 basis points to 11.5% in the third quarter of 2009. Continued aggressive price competition led to lower invoice product margins in the third quarter of 2009 compared to the prior year quarter.</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Overall annualized sales productivity increased by 1% in the third quarter of 2009 compared to the third quarter of 2008 as an increase in SMB productivity offset decreased productivity in the Large Account and Public Sector segments. Sales productivity in the Large Account segment decreased by 6% year over year due to lower enterprise revenues. Sales productivity in the Public Sector segment decreased by 9% year over year due to increased 2009 headcount added late in 2008. Despite lower revenues, sales productivity in the SMB segment increased by 3% year over year. On a consolidated basis, the total number of sales representatives was 601 at September 30, 2009, compared to 666 at September 30, 2008 and 603 at June 30, 2009. The Company has reduced both sales representatives and sales support headcount over the last year consistent with the year-over-year declines in revenues.</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Total selling, general and administrative expenses for the quarter decreased year over year by $5.6 million, or 12.0%, and decreased as a percentage of net sales to 10.2% for the third quarter of 2009 from 10.6% for the third quarter of 2008. The year-over-year decreases were primarily attributable to reduced headcount and lower variable compensation associated with decreased gross profits.</w:t>
      </w:r>
    </w:p>
    <w:p>
      <w:pPr>
        <w:spacing w:after="0" w:line="185"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“During the third quarter, we continued to experience the effects of conservative buying patterns, longer sales cycles, and competitive pricing pressures,” said Patricia Gallup, Chairman and Chief Executive Officer. “While the near-term economic outlook remains uncertain, we feel confident our customers will continue to rely on us to provide the IT solutions they need to run their businesses more efficiently. We believe our core business strategies position the Company well for future success and for creating long-term shareholder value."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 Connection, Inc.</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PC Connection, Inc., a Fortune 1000 company, has three sales subsidiaries: PC Connection Sales Corporation, MoreDirect, Inc., and GovConnection, Inc., headquartered in Merrimack, NH, Boca Raton, FL, and Rockville, MD, respectively. All three companies can deliver custom-configured computer systems overnight. Investors and media can find more information about PC Connection, Inc. at </w:t>
      </w:r>
      <w:r>
        <w:rPr>
          <w:rFonts w:ascii="Arial" w:cs="Arial" w:eastAsia="Arial" w:hAnsi="Arial"/>
          <w:sz w:val="22"/>
          <w:szCs w:val="22"/>
          <w:u w:val="single" w:color="auto"/>
          <w:color w:val="auto"/>
        </w:rPr>
        <w:t>http://ir.pcconnection.com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ind w:right="140"/>
        <w:spacing w:after="0" w:line="282" w:lineRule="auto"/>
        <w:rPr>
          <w:sz w:val="20"/>
          <w:szCs w:val="20"/>
          <w:color w:val="auto"/>
        </w:rPr>
      </w:pPr>
      <w:r>
        <w:rPr>
          <w:rFonts w:ascii="Arial" w:cs="Arial" w:eastAsia="Arial" w:hAnsi="Arial"/>
          <w:sz w:val="19"/>
          <w:szCs w:val="19"/>
          <w:color w:val="auto"/>
        </w:rPr>
        <w:t xml:space="preserve">PC Connection Sales Corporation (1-800-800-5555), the original business of PC Connection, Inc. serving the small- and medium-sized business sector (SMB), is a rapid-response provider of IT products and services. It offers more than 150,000 brand-name products through its staff of technically trained sales account managers and catalog telesales representatives, catalogs, and publications, and its website at </w:t>
      </w:r>
      <w:r>
        <w:rPr>
          <w:rFonts w:ascii="Arial" w:cs="Arial" w:eastAsia="Arial" w:hAnsi="Arial"/>
          <w:sz w:val="19"/>
          <w:szCs w:val="19"/>
          <w:u w:val="single" w:color="auto"/>
          <w:color w:val="auto"/>
        </w:rPr>
        <w:t>www.pcconnection.com</w:t>
      </w:r>
      <w:r>
        <w:rPr>
          <w:rFonts w:ascii="Arial" w:cs="Arial" w:eastAsia="Arial" w:hAnsi="Arial"/>
          <w:sz w:val="19"/>
          <w:szCs w:val="19"/>
          <w:color w:val="auto"/>
        </w:rPr>
        <w:t xml:space="preserve">. The subsidiary serves the Apple/Macintosh community through its MacConnection division (1-800-800-2222), which also publishes specialized catalogs and is online at </w:t>
      </w:r>
      <w:r>
        <w:rPr>
          <w:rFonts w:ascii="Arial" w:cs="Arial" w:eastAsia="Arial" w:hAnsi="Arial"/>
          <w:sz w:val="19"/>
          <w:szCs w:val="19"/>
          <w:u w:val="single" w:color="auto"/>
          <w:color w:val="auto"/>
        </w:rPr>
        <w:t>www.macconnection.com</w:t>
      </w:r>
      <w:r>
        <w:rPr>
          <w:rFonts w:ascii="Arial" w:cs="Arial" w:eastAsia="Arial" w:hAnsi="Arial"/>
          <w:sz w:val="19"/>
          <w:szCs w:val="19"/>
          <w:color w:val="auto"/>
        </w:rPr>
        <w: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MoreDirect, Inc. (1-561-237-3300), </w:t>
      </w:r>
      <w:r>
        <w:rPr>
          <w:rFonts w:ascii="Arial" w:cs="Arial" w:eastAsia="Arial" w:hAnsi="Arial"/>
          <w:sz w:val="22"/>
          <w:szCs w:val="22"/>
          <w:u w:val="single" w:color="auto"/>
          <w:color w:val="auto"/>
        </w:rPr>
        <w:t>www.moredirect.com</w:t>
      </w:r>
      <w:r>
        <w:rPr>
          <w:rFonts w:ascii="Arial" w:cs="Arial" w:eastAsia="Arial" w:hAnsi="Arial"/>
          <w:sz w:val="22"/>
          <w:szCs w:val="22"/>
          <w:color w:val="auto"/>
        </w:rPr>
        <w:t>, provides corporate technology buyers with a comprehensive web-based e-procurement solution and in-depth IT supply-chain expertise, serving as a one-stop source by aggregating more than 300,000 products from the inventories of leading IT wholesale distributors and manufacturers. MoreDirect’s TRAXX™ system is a seamless end-to-end interface that empowers clients to electronically source, evaluate, compare prices, and track related technology product purchases in real-time.</w:t>
      </w:r>
    </w:p>
    <w:p>
      <w:pPr>
        <w:spacing w:after="0" w:line="18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 xml:space="preserve">GovConnection, Inc. (1-800-800-0019) is a provider of IT products and services to federal, state, and local government agencies and educational institutions through specialized account managers, catalogs, and publications, and online at </w:t>
      </w:r>
      <w:r>
        <w:rPr>
          <w:rFonts w:ascii="Arial" w:cs="Arial" w:eastAsia="Arial" w:hAnsi="Arial"/>
          <w:sz w:val="22"/>
          <w:szCs w:val="22"/>
          <w:u w:val="single" w:color="auto"/>
          <w:color w:val="auto"/>
        </w:rPr>
        <w:t>www.govconnection.com</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pccc-g</w:t>
      </w:r>
    </w:p>
    <w:p>
      <w:pPr>
        <w:spacing w:after="0" w:line="206"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“Safe Harbor” Statement Under the Private Securities Litigation Reform Act of 1995: This release contains forward-looking statements that are subject to risks and uncertainties, including, but not limited to, the impact of changes in market demand and the overall level of economic activity and environment, or in the level of business investment in information technology products, competitive products and pricing, product availability and market acceptance, new products, fluctuations in operating results, the ability of the Company to manage personnel levels in response to fluctuations in revenue, and other risks that could cause actual results to differ materially from these detailed under the caption “Risk Factors” in the Company’s Quarterly Report on Form 10-Q filed with the Securities and Exchange Commission for the quarter ended June 30, 2009. More specifically, the statements in this release concerning the Company’s outlook for 2009 and other statements of a non-historical basis (including statements regarding the Company’s ability to grow revenues, increase market share, and make further cost reductions as needed) are forward-looking statements that involve certain risks and uncertainties. Such risks and uncertainties include the ability to realize market demand for and competitive pricing pressures on the products and services marketed by the Company, the continued acceptance of the Company's distribution channel by vendors and customers, continuation of key vendor and customer relationships and support programs, and the ability of the Company to hire and retain qualified sales representatives and other essential personnel. The Company assumes no obligation to update the information in this press release or revise any forward-looking statements,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SELECTED FINANCIAL RESULTS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At or for the Three Months Ended September 30,</w:t>
            </w: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20" w:type="dxa"/>
            <w:vAlign w:val="bottom"/>
            <w:gridSpan w:val="2"/>
          </w:tcPr>
          <w:p>
            <w:pPr>
              <w:spacing w:after="0" w:line="160" w:lineRule="exact"/>
              <w:rPr>
                <w:sz w:val="20"/>
                <w:szCs w:val="20"/>
                <w:color w:val="auto"/>
              </w:rPr>
            </w:pPr>
            <w:r>
              <w:rPr>
                <w:rFonts w:ascii="Arial" w:cs="Arial" w:eastAsia="Arial" w:hAnsi="Arial"/>
                <w:sz w:val="14"/>
                <w:szCs w:val="14"/>
                <w:i w:val="1"/>
                <w:iCs w:val="1"/>
                <w:color w:val="auto"/>
                <w:w w:val="96"/>
              </w:rPr>
              <w:t>(Dollars and shares in thousands, except operating data, price/earnings ratio, and per share data)</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128"/>
              <w:spacing w:after="0" w:line="16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8"/>
              <w:spacing w:after="0" w:line="16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Net Sales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Net Sales</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39"/>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Operating Data:</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Net sales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403,052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441,444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gridSpan w:val="3"/>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2"/>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Diluted earnings per share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0.12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Gross profit margin</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Operating margin</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 xml:space="preserve">Return on equity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Catalogs distributed</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2,555,000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2,965,000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3"/>
          </w:tcPr>
          <w:p>
            <w:pPr>
              <w:jc w:val="right"/>
              <w:ind w:right="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19"/>
        </w:trPr>
        <w:tc>
          <w:tcPr>
            <w:tcW w:w="5820" w:type="dxa"/>
            <w:vAlign w:val="bottom"/>
            <w:gridSpan w:val="2"/>
          </w:tcPr>
          <w:p>
            <w:pPr>
              <w:ind w:left="220"/>
              <w:spacing w:after="0" w:line="219" w:lineRule="exact"/>
              <w:rPr>
                <w:sz w:val="20"/>
                <w:szCs w:val="20"/>
                <w:color w:val="auto"/>
              </w:rPr>
            </w:pPr>
            <w:r>
              <w:rPr>
                <w:rFonts w:ascii="Arial" w:cs="Arial" w:eastAsia="Arial" w:hAnsi="Arial"/>
                <w:sz w:val="14"/>
                <w:szCs w:val="14"/>
                <w:color w:val="auto"/>
              </w:rPr>
              <w:t xml:space="preserve">Orders entered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332,900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343,000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gridSpan w:val="3"/>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13"/>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 xml:space="preserve">Average order size </w:t>
            </w:r>
            <w:r>
              <w:rPr>
                <w:rFonts w:ascii="Arial" w:cs="Arial" w:eastAsia="Arial" w:hAnsi="Arial"/>
                <w:sz w:val="23"/>
                <w:szCs w:val="23"/>
                <w:color w:val="auto"/>
                <w:vertAlign w:val="superscript"/>
              </w:rPr>
              <w:t>(2)</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1,603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1,561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gridSpan w:val="3"/>
          </w:tcPr>
          <w:p>
            <w:pPr>
              <w:jc w:val="right"/>
              <w:ind w:right="1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85"/>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 xml:space="preserve">Inventory turns </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Days sales outstanding</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Product Mix:</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Notebooks &amp; PDAs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61,679</w:t>
            </w:r>
          </w:p>
        </w:tc>
        <w:tc>
          <w:tcPr>
            <w:tcW w:w="80" w:type="dxa"/>
            <w:vAlign w:val="bottom"/>
          </w:tcPr>
          <w:p>
            <w:pPr>
              <w:spacing w:after="0"/>
              <w:rPr>
                <w:sz w:val="15"/>
                <w:szCs w:val="15"/>
                <w:color w:val="auto"/>
              </w:rPr>
            </w:pP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70,215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760" w:type="dxa"/>
            <w:vAlign w:val="bottom"/>
            <w:gridSpan w:val="3"/>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Desktops/Servers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56,714</w:t>
            </w:r>
          </w:p>
        </w:tc>
        <w:tc>
          <w:tcPr>
            <w:tcW w:w="8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59,169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13</w:t>
            </w:r>
          </w:p>
        </w:tc>
        <w:tc>
          <w:tcPr>
            <w:tcW w:w="760" w:type="dxa"/>
            <w:vAlign w:val="bottom"/>
            <w:gridSpan w:val="3"/>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Software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55,582</w:t>
            </w:r>
          </w:p>
        </w:tc>
        <w:tc>
          <w:tcPr>
            <w:tcW w:w="8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56,039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13</w:t>
            </w:r>
          </w:p>
        </w:tc>
        <w:tc>
          <w:tcPr>
            <w:tcW w:w="760" w:type="dxa"/>
            <w:vAlign w:val="bottom"/>
            <w:gridSpan w:val="3"/>
          </w:tcPr>
          <w:p>
            <w:pPr>
              <w:jc w:val="right"/>
              <w:ind w:right="1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Video, Imaging &amp; Sound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53,672</w:t>
            </w:r>
          </w:p>
        </w:tc>
        <w:tc>
          <w:tcPr>
            <w:tcW w:w="8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65,776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15</w:t>
            </w:r>
          </w:p>
        </w:tc>
        <w:tc>
          <w:tcPr>
            <w:tcW w:w="760" w:type="dxa"/>
            <w:vAlign w:val="bottom"/>
            <w:gridSpan w:val="3"/>
          </w:tcPr>
          <w:p>
            <w:pPr>
              <w:jc w:val="right"/>
              <w:ind w:right="18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Net/Com Products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42,930</w:t>
            </w:r>
          </w:p>
        </w:tc>
        <w:tc>
          <w:tcPr>
            <w:tcW w:w="8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46,140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11</w:t>
            </w:r>
          </w:p>
        </w:tc>
        <w:tc>
          <w:tcPr>
            <w:tcW w:w="760" w:type="dxa"/>
            <w:vAlign w:val="bottom"/>
            <w:gridSpan w:val="3"/>
          </w:tcPr>
          <w:p>
            <w:pPr>
              <w:jc w:val="right"/>
              <w:ind w:right="18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Printers &amp; Printer Supplies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35,188</w:t>
            </w:r>
          </w:p>
        </w:tc>
        <w:tc>
          <w:tcPr>
            <w:tcW w:w="8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41,557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9</w:t>
            </w:r>
          </w:p>
        </w:tc>
        <w:tc>
          <w:tcPr>
            <w:tcW w:w="760" w:type="dxa"/>
            <w:vAlign w:val="bottom"/>
            <w:gridSpan w:val="3"/>
          </w:tcPr>
          <w:p>
            <w:pPr>
              <w:jc w:val="right"/>
              <w:ind w:right="18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Storage Devices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31,762</w:t>
            </w:r>
          </w:p>
        </w:tc>
        <w:tc>
          <w:tcPr>
            <w:tcW w:w="8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35,565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8</w:t>
            </w:r>
          </w:p>
        </w:tc>
        <w:tc>
          <w:tcPr>
            <w:tcW w:w="760" w:type="dxa"/>
            <w:vAlign w:val="bottom"/>
            <w:gridSpan w:val="3"/>
          </w:tcPr>
          <w:p>
            <w:pPr>
              <w:jc w:val="right"/>
              <w:ind w:right="18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Memory &amp; System Enhancements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13,760</w:t>
            </w:r>
          </w:p>
        </w:tc>
        <w:tc>
          <w:tcPr>
            <w:tcW w:w="8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13,716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760" w:type="dxa"/>
            <w:vAlign w:val="bottom"/>
            <w:gridSpan w:val="3"/>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Accessories/Other</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51,765</w:t>
            </w:r>
          </w:p>
        </w:tc>
        <w:tc>
          <w:tcPr>
            <w:tcW w:w="80" w:type="dxa"/>
            <w:vAlign w:val="bottom"/>
          </w:tcPr>
          <w:p>
            <w:pPr>
              <w:spacing w:after="0"/>
              <w:rPr>
                <w:sz w:val="15"/>
                <w:szCs w:val="15"/>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53,267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12</w:t>
            </w:r>
          </w:p>
        </w:tc>
        <w:tc>
          <w:tcPr>
            <w:tcW w:w="760" w:type="dxa"/>
            <w:vAlign w:val="bottom"/>
            <w:gridSpan w:val="3"/>
          </w:tcPr>
          <w:p>
            <w:pPr>
              <w:jc w:val="right"/>
              <w:ind w:right="1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9"/>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403,052</w:t>
            </w:r>
          </w:p>
        </w:tc>
        <w:tc>
          <w:tcPr>
            <w:tcW w:w="80" w:type="dxa"/>
            <w:vAlign w:val="bottom"/>
          </w:tcPr>
          <w:p>
            <w:pPr>
              <w:spacing w:after="0"/>
              <w:rPr>
                <w:sz w:val="14"/>
                <w:szCs w:val="14"/>
                <w:color w:val="auto"/>
              </w:rPr>
            </w:pPr>
          </w:p>
        </w:tc>
        <w:tc>
          <w:tcPr>
            <w:tcW w:w="68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441,444</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40" w:type="dxa"/>
            <w:vAlign w:val="bottom"/>
            <w:tcBorders>
              <w:top w:val="single" w:sz="8" w:color="auto"/>
              <w:bottom w:val="single" w:sz="8" w:color="auto"/>
            </w:tcBorders>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Net Sales of Enterprise Server and Networking Products (included in the above Product Mix):</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149,035</w:t>
            </w:r>
          </w:p>
        </w:tc>
        <w:tc>
          <w:tcPr>
            <w:tcW w:w="80" w:type="dxa"/>
            <w:vAlign w:val="bottom"/>
          </w:tcPr>
          <w:p>
            <w:pPr>
              <w:spacing w:after="0"/>
              <w:rPr>
                <w:sz w:val="24"/>
                <w:szCs w:val="24"/>
                <w:color w:val="auto"/>
              </w:rPr>
            </w:pPr>
          </w:p>
        </w:tc>
        <w:tc>
          <w:tcPr>
            <w:tcW w:w="680" w:type="dxa"/>
            <w:vAlign w:val="bottom"/>
            <w:gridSpan w:val="3"/>
          </w:tcPr>
          <w:p>
            <w:pPr>
              <w:jc w:val="right"/>
              <w:ind w:right="48"/>
              <w:spacing w:after="0"/>
              <w:rPr>
                <w:sz w:val="20"/>
                <w:szCs w:val="20"/>
                <w:color w:val="auto"/>
              </w:rPr>
            </w:pPr>
            <w:r>
              <w:rPr>
                <w:rFonts w:ascii="Arial" w:cs="Arial" w:eastAsia="Arial" w:hAnsi="Arial"/>
                <w:sz w:val="14"/>
                <w:szCs w:val="14"/>
                <w:color w:val="auto"/>
              </w:rPr>
              <w:t>37%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149,615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760" w:type="dxa"/>
            <w:vAlign w:val="bottom"/>
            <w:gridSpan w:val="3"/>
          </w:tcPr>
          <w:p>
            <w:pPr>
              <w:jc w:val="right"/>
              <w:ind w:right="2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Performance Indicators:</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Actual shares outstanding</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26,848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26,838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Total book value per share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8.60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8.85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Tangible book value per share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6.76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Closing price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Market capitalization</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146,053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179,546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 xml:space="preserve">Trailing price/earnings ratio </w:t>
            </w:r>
            <w:r>
              <w:rPr>
                <w:rFonts w:ascii="Arial" w:cs="Arial" w:eastAsia="Arial" w:hAnsi="Arial"/>
                <w:sz w:val="23"/>
                <w:szCs w:val="23"/>
                <w:color w:val="auto"/>
                <w:vertAlign w:val="superscript"/>
              </w:rPr>
              <w:t>(3)</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820" w:type="dxa"/>
            <w:vAlign w:val="bottom"/>
            <w:gridSpan w:val="2"/>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Annualized</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line="216" w:lineRule="exact"/>
              <w:rPr>
                <w:sz w:val="20"/>
                <w:szCs w:val="20"/>
                <w:color w:val="auto"/>
              </w:rPr>
            </w:pPr>
            <w:r>
              <w:rPr>
                <w:rFonts w:ascii="Arial" w:cs="Arial" w:eastAsia="Arial" w:hAnsi="Arial"/>
                <w:sz w:val="23"/>
                <w:szCs w:val="23"/>
                <w:color w:val="auto"/>
                <w:vertAlign w:val="superscript"/>
              </w:rPr>
              <w:t>(2)</w:t>
            </w:r>
            <w:r>
              <w:rPr>
                <w:rFonts w:ascii="Arial" w:cs="Arial" w:eastAsia="Arial" w:hAnsi="Arial"/>
                <w:sz w:val="14"/>
                <w:szCs w:val="14"/>
                <w:color w:val="auto"/>
              </w:rPr>
              <w:t xml:space="preserve"> Does not reflect cancellations or returns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820" w:type="dxa"/>
            <w:vAlign w:val="bottom"/>
            <w:gridSpan w:val="2"/>
          </w:tcPr>
          <w:p>
            <w:pPr>
              <w:spacing w:after="0"/>
              <w:rPr>
                <w:sz w:val="20"/>
                <w:szCs w:val="20"/>
                <w:color w:val="auto"/>
              </w:rPr>
            </w:pPr>
            <w:r>
              <w:rPr>
                <w:rFonts w:ascii="Arial" w:cs="Arial" w:eastAsia="Arial" w:hAnsi="Arial"/>
                <w:sz w:val="23"/>
                <w:szCs w:val="23"/>
                <w:color w:val="auto"/>
                <w:vertAlign w:val="superscript"/>
              </w:rPr>
              <w:t>(3)</w:t>
            </w:r>
            <w:r>
              <w:rPr>
                <w:rFonts w:ascii="Arial" w:cs="Arial" w:eastAsia="Arial" w:hAnsi="Arial"/>
                <w:sz w:val="14"/>
                <w:szCs w:val="14"/>
                <w:color w:val="auto"/>
              </w:rPr>
              <w:t xml:space="preserve"> Earnings is based on the last four quarters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5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SELECTED SEGMENT INFORMATION</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Three Months Ended September 30,</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4"/>
          </w:tcPr>
          <w:p>
            <w:pPr>
              <w:jc w:val="right"/>
              <w:ind w:right="700"/>
              <w:spacing w:after="0" w:line="160" w:lineRule="exact"/>
              <w:rPr>
                <w:sz w:val="20"/>
                <w:szCs w:val="20"/>
                <w:color w:val="auto"/>
              </w:rPr>
            </w:pPr>
            <w:r>
              <w:rPr>
                <w:rFonts w:ascii="Arial" w:cs="Arial" w:eastAsia="Arial" w:hAnsi="Arial"/>
                <w:sz w:val="14"/>
                <w:szCs w:val="14"/>
                <w:b w:val="1"/>
                <w:bCs w:val="1"/>
                <w:color w:val="auto"/>
              </w:rPr>
              <w:t>Net</w:t>
            </w:r>
          </w:p>
        </w:tc>
        <w:tc>
          <w:tcPr>
            <w:tcW w:w="1420" w:type="dxa"/>
            <w:vAlign w:val="bottom"/>
            <w:gridSpan w:val="4"/>
          </w:tcPr>
          <w:p>
            <w:pPr>
              <w:jc w:val="right"/>
              <w:ind w:right="508"/>
              <w:spacing w:after="0" w:line="160"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5"/>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(amounts 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Sales</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Margin (%)</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81"/>
              </w:rPr>
              <w:t>Sales</w:t>
            </w:r>
          </w:p>
        </w:tc>
        <w:tc>
          <w:tcPr>
            <w:tcW w:w="140" w:type="dxa"/>
            <w:vAlign w:val="bottom"/>
          </w:tcPr>
          <w:p>
            <w:pPr>
              <w:spacing w:after="0"/>
              <w:rPr>
                <w:sz w:val="16"/>
                <w:szCs w:val="16"/>
                <w:color w:val="auto"/>
              </w:rPr>
            </w:pPr>
          </w:p>
        </w:tc>
        <w:tc>
          <w:tcPr>
            <w:tcW w:w="100" w:type="dxa"/>
            <w:vAlign w:val="bottom"/>
            <w:tcBorders>
              <w:bottom w:val="single" w:sz="8" w:color="auto"/>
            </w:tcBorders>
            <w:gridSpan w:val="2"/>
          </w:tcPr>
          <w:p>
            <w:pPr>
              <w:spacing w:after="0"/>
              <w:rPr>
                <w:sz w:val="16"/>
                <w:szCs w:val="16"/>
                <w:color w:val="auto"/>
              </w:rPr>
            </w:pPr>
          </w:p>
        </w:tc>
        <w:tc>
          <w:tcPr>
            <w:tcW w:w="14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339"/>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PC Connection Sales Corporation (SMB)</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182,564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13.6%</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217,463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gridSpan w:val="3"/>
          </w:tcPr>
          <w:p>
            <w:pPr>
              <w:jc w:val="right"/>
              <w:ind w:right="308"/>
              <w:spacing w:after="0"/>
              <w:rPr>
                <w:sz w:val="20"/>
                <w:szCs w:val="20"/>
                <w:color w:val="auto"/>
              </w:rPr>
            </w:pPr>
            <w:r>
              <w:rPr>
                <w:rFonts w:ascii="Arial" w:cs="Arial" w:eastAsia="Arial" w:hAnsi="Arial"/>
                <w:sz w:val="14"/>
                <w:szCs w:val="14"/>
                <w:color w:val="auto"/>
                <w:w w:val="90"/>
              </w:rPr>
              <w:t>14.2%</w:t>
            </w:r>
          </w:p>
        </w:tc>
        <w:tc>
          <w:tcPr>
            <w:tcW w:w="0" w:type="dxa"/>
            <w:vAlign w:val="bottom"/>
          </w:tcPr>
          <w:p>
            <w:pPr>
              <w:spacing w:after="0"/>
              <w:rPr>
                <w:sz w:val="1"/>
                <w:szCs w:val="1"/>
                <w:color w:val="auto"/>
              </w:rPr>
            </w:pPr>
          </w:p>
        </w:tc>
      </w:tr>
      <w:tr>
        <w:trPr>
          <w:trHeight w:val="176"/>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GovConnection (Public Sector)</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116,567</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106,681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gridSpan w:val="3"/>
          </w:tcPr>
          <w:p>
            <w:pPr>
              <w:jc w:val="right"/>
              <w:ind w:right="4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1"/>
        </w:trPr>
        <w:tc>
          <w:tcPr>
            <w:tcW w:w="5820" w:type="dxa"/>
            <w:vAlign w:val="bottom"/>
            <w:gridSpan w:val="2"/>
          </w:tcPr>
          <w:p>
            <w:pPr>
              <w:ind w:left="220"/>
              <w:spacing w:after="0"/>
              <w:rPr>
                <w:sz w:val="20"/>
                <w:szCs w:val="20"/>
                <w:color w:val="auto"/>
              </w:rPr>
            </w:pPr>
            <w:r>
              <w:rPr>
                <w:rFonts w:ascii="Arial" w:cs="Arial" w:eastAsia="Arial" w:hAnsi="Arial"/>
                <w:sz w:val="14"/>
                <w:szCs w:val="14"/>
                <w:color w:val="auto"/>
              </w:rPr>
              <w:t>MoreDirect (Large Account)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103,921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117,300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gridSpan w:val="3"/>
          </w:tcPr>
          <w:p>
            <w:pPr>
              <w:jc w:val="right"/>
              <w:ind w:right="428"/>
              <w:spacing w:after="0"/>
              <w:rPr>
                <w:sz w:val="20"/>
                <w:szCs w:val="20"/>
                <w:color w:val="auto"/>
              </w:rPr>
            </w:pPr>
            <w:r>
              <w:rPr>
                <w:rFonts w:ascii="Arial" w:cs="Arial" w:eastAsia="Arial" w:hAnsi="Arial"/>
                <w:sz w:val="14"/>
                <w:szCs w:val="14"/>
                <w:color w:val="auto"/>
                <w:w w:val="87"/>
              </w:rPr>
              <w:t>11.1</w:t>
            </w:r>
          </w:p>
        </w:tc>
        <w:tc>
          <w:tcPr>
            <w:tcW w:w="0" w:type="dxa"/>
            <w:vAlign w:val="bottom"/>
          </w:tcPr>
          <w:p>
            <w:pPr>
              <w:spacing w:after="0"/>
              <w:rPr>
                <w:sz w:val="1"/>
                <w:szCs w:val="1"/>
                <w:color w:val="auto"/>
              </w:rPr>
            </w:pPr>
          </w:p>
        </w:tc>
      </w:tr>
      <w:tr>
        <w:trPr>
          <w:trHeight w:val="169"/>
        </w:trPr>
        <w:tc>
          <w:tcPr>
            <w:tcW w:w="5780" w:type="dxa"/>
            <w:vAlign w:val="bottom"/>
          </w:tcPr>
          <w:p>
            <w:pPr>
              <w:ind w:left="42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403,052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11.5%</w:t>
            </w:r>
          </w:p>
        </w:tc>
        <w:tc>
          <w:tcPr>
            <w:tcW w:w="460" w:type="dxa"/>
            <w:vAlign w:val="bottom"/>
            <w:gridSpan w:val="2"/>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441,444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3"/>
          </w:tcPr>
          <w:p>
            <w:pPr>
              <w:jc w:val="right"/>
              <w:ind w:right="308"/>
              <w:spacing w:after="0"/>
              <w:rPr>
                <w:sz w:val="20"/>
                <w:szCs w:val="20"/>
                <w:color w:val="auto"/>
              </w:rPr>
            </w:pPr>
            <w:r>
              <w:rPr>
                <w:rFonts w:ascii="Arial" w:cs="Arial" w:eastAsia="Arial" w:hAnsi="Arial"/>
                <w:sz w:val="14"/>
                <w:szCs w:val="14"/>
                <w:color w:val="auto"/>
                <w:w w:val="90"/>
              </w:rPr>
              <w:t>12.1%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7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STATEMENTS OF OPERATIONS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 of Net Sales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w w:val="91"/>
              </w:rPr>
              <w:t>% of Net Sales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5680" w:type="dxa"/>
            <w:vAlign w:val="bottom"/>
            <w:gridSpan w:val="3"/>
          </w:tcPr>
          <w:p>
            <w:pPr>
              <w:spacing w:after="0"/>
              <w:rPr>
                <w:sz w:val="20"/>
                <w:szCs w:val="20"/>
                <w:color w:val="auto"/>
              </w:rPr>
            </w:pPr>
            <w:r>
              <w:rPr>
                <w:rFonts w:ascii="Arial" w:cs="Arial" w:eastAsia="Arial" w:hAnsi="Arial"/>
                <w:sz w:val="14"/>
                <w:szCs w:val="14"/>
                <w:color w:val="auto"/>
              </w:rPr>
              <w:t>Net sales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403,052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100.0%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441,444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680" w:type="dxa"/>
            <w:vAlign w:val="bottom"/>
            <w:gridSpan w:val="3"/>
          </w:tcPr>
          <w:p>
            <w:pPr>
              <w:spacing w:after="0"/>
              <w:rPr>
                <w:sz w:val="20"/>
                <w:szCs w:val="20"/>
                <w:color w:val="auto"/>
              </w:rPr>
            </w:pPr>
            <w:r>
              <w:rPr>
                <w:rFonts w:ascii="Arial" w:cs="Arial" w:eastAsia="Arial" w:hAnsi="Arial"/>
                <w:sz w:val="14"/>
                <w:szCs w:val="14"/>
                <w:color w:val="auto"/>
              </w:rPr>
              <w:t>Cost of sales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356,708</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88.5</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388,121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87.9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gridSpan w:val="2"/>
          </w:tcPr>
          <w:p>
            <w:pPr>
              <w:ind w:left="520"/>
              <w:spacing w:after="0"/>
              <w:rPr>
                <w:sz w:val="20"/>
                <w:szCs w:val="20"/>
                <w:color w:val="auto"/>
              </w:rPr>
            </w:pPr>
            <w:r>
              <w:rPr>
                <w:rFonts w:ascii="Arial" w:cs="Arial" w:eastAsia="Arial" w:hAnsi="Arial"/>
                <w:sz w:val="14"/>
                <w:szCs w:val="14"/>
                <w:b w:val="1"/>
                <w:bCs w:val="1"/>
                <w:color w:val="auto"/>
              </w:rPr>
              <w:t>Gross profit</w:t>
            </w:r>
          </w:p>
        </w:tc>
        <w:tc>
          <w:tcPr>
            <w:tcW w:w="2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46,344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11.5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53,323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680" w:type="dxa"/>
            <w:vAlign w:val="bottom"/>
            <w:gridSpan w:val="3"/>
          </w:tcPr>
          <w:p>
            <w:pPr>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41,263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46,872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680" w:type="dxa"/>
            <w:vAlign w:val="bottom"/>
            <w:gridSpan w:val="3"/>
          </w:tcPr>
          <w:p>
            <w:pPr>
              <w:spacing w:after="0"/>
              <w:rPr>
                <w:sz w:val="20"/>
                <w:szCs w:val="20"/>
                <w:color w:val="auto"/>
              </w:rPr>
            </w:pPr>
            <w:r>
              <w:rPr>
                <w:rFonts w:ascii="Arial" w:cs="Arial" w:eastAsia="Arial" w:hAnsi="Arial"/>
                <w:sz w:val="14"/>
                <w:szCs w:val="14"/>
                <w:color w:val="auto"/>
              </w:rPr>
              <w:t>Special charges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gridSpan w:val="2"/>
          </w:tcPr>
          <w:p>
            <w:pPr>
              <w:ind w:left="520"/>
              <w:spacing w:after="0"/>
              <w:rPr>
                <w:sz w:val="20"/>
                <w:szCs w:val="20"/>
                <w:color w:val="auto"/>
              </w:rPr>
            </w:pPr>
            <w:r>
              <w:rPr>
                <w:rFonts w:ascii="Arial" w:cs="Arial" w:eastAsia="Arial" w:hAnsi="Arial"/>
                <w:sz w:val="14"/>
                <w:szCs w:val="14"/>
                <w:b w:val="1"/>
                <w:bCs w:val="1"/>
                <w:color w:val="auto"/>
              </w:rPr>
              <w:t>Income from operations</w:t>
            </w:r>
          </w:p>
        </w:tc>
        <w:tc>
          <w:tcPr>
            <w:tcW w:w="2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5,081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5,020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68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80" w:type="dxa"/>
            <w:vAlign w:val="bottom"/>
            <w:gridSpan w:val="3"/>
          </w:tcPr>
          <w:p>
            <w:pPr>
              <w:spacing w:after="0"/>
              <w:rPr>
                <w:sz w:val="20"/>
                <w:szCs w:val="20"/>
                <w:color w:val="auto"/>
              </w:rPr>
            </w:pPr>
            <w:r>
              <w:rPr>
                <w:rFonts w:ascii="Arial" w:cs="Arial" w:eastAsia="Arial" w:hAnsi="Arial"/>
                <w:sz w:val="14"/>
                <w:szCs w:val="14"/>
                <w:color w:val="auto"/>
              </w:rPr>
              <w:t>Other, net</w:t>
            </w:r>
          </w:p>
        </w:tc>
        <w:tc>
          <w:tcPr>
            <w:tcW w:w="2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w w:val="85"/>
              </w:rPr>
              <w:t>246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80" w:type="dxa"/>
            <w:vAlign w:val="bottom"/>
            <w:gridSpan w:val="3"/>
          </w:tcPr>
          <w:p>
            <w:pPr>
              <w:spacing w:after="0"/>
              <w:rPr>
                <w:sz w:val="20"/>
                <w:szCs w:val="20"/>
                <w:color w:val="auto"/>
              </w:rPr>
            </w:pPr>
            <w:r>
              <w:rPr>
                <w:rFonts w:ascii="Arial" w:cs="Arial" w:eastAsia="Arial" w:hAnsi="Arial"/>
                <w:sz w:val="14"/>
                <w:szCs w:val="14"/>
                <w:color w:val="auto"/>
              </w:rPr>
              <w:t>Income tax provision</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(2,186)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(1,865)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60" w:type="dxa"/>
            <w:vAlign w:val="bottom"/>
            <w:gridSpan w:val="2"/>
          </w:tcPr>
          <w:p>
            <w:pPr>
              <w:ind w:left="52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2,889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3,214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4"/>
                <w:szCs w:val="14"/>
                <w:color w:val="auto"/>
              </w:rPr>
              <w:t>Earnings per common share:</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6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gridSpan w:val="2"/>
          </w:tcPr>
          <w:p>
            <w:pPr>
              <w:ind w:left="52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gridSpan w:val="2"/>
            <w:vMerge w:val="restart"/>
          </w:tcPr>
          <w:p>
            <w:pPr>
              <w:ind w:left="52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vMerge w:val="continue"/>
          </w:tcPr>
          <w:p>
            <w:pPr>
              <w:spacing w:after="0"/>
              <w:rPr>
                <w:sz w:val="13"/>
                <w:szCs w:val="13"/>
                <w:color w:val="auto"/>
              </w:rPr>
            </w:pPr>
          </w:p>
        </w:tc>
        <w:tc>
          <w:tcPr>
            <w:tcW w:w="22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0.11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28"/>
              <w:spacing w:after="0" w:line="156" w:lineRule="exact"/>
              <w:rPr>
                <w:sz w:val="20"/>
                <w:szCs w:val="20"/>
                <w:color w:val="auto"/>
              </w:rPr>
            </w:pPr>
            <w:r>
              <w:rPr>
                <w:rFonts w:ascii="Arial" w:cs="Arial" w:eastAsia="Arial" w:hAnsi="Arial"/>
                <w:sz w:val="14"/>
                <w:szCs w:val="14"/>
                <w:color w:val="auto"/>
              </w:rPr>
              <w:t>0.12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gridSpan w:val="2"/>
          </w:tcPr>
          <w:p>
            <w:pPr>
              <w:ind w:left="52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27,078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27,067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gridSpan w:val="2"/>
            <w:vMerge w:val="restart"/>
          </w:tcPr>
          <w:p>
            <w:pPr>
              <w:ind w:left="52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27,095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8"/>
              <w:spacing w:after="0" w:line="156" w:lineRule="exact"/>
              <w:rPr>
                <w:sz w:val="20"/>
                <w:szCs w:val="20"/>
                <w:color w:val="auto"/>
              </w:rPr>
            </w:pPr>
            <w:r>
              <w:rPr>
                <w:rFonts w:ascii="Arial" w:cs="Arial" w:eastAsia="Arial" w:hAnsi="Arial"/>
                <w:sz w:val="14"/>
                <w:szCs w:val="14"/>
                <w:color w:val="auto"/>
              </w:rPr>
              <w:t>27,102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880" w:type="dxa"/>
            <w:vAlign w:val="bottom"/>
            <w:gridSpan w:val="2"/>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5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CONSOLIDATED STATEMENTS OF OPERATIONS</w:t>
            </w:r>
          </w:p>
        </w:tc>
        <w:tc>
          <w:tcPr>
            <w:tcW w:w="2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 of Net Sales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w w:val="91"/>
              </w:rPr>
              <w:t>% of Net Sales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5680" w:type="dxa"/>
            <w:vAlign w:val="bottom"/>
            <w:gridSpan w:val="3"/>
          </w:tcPr>
          <w:p>
            <w:pPr>
              <w:spacing w:after="0"/>
              <w:rPr>
                <w:sz w:val="20"/>
                <w:szCs w:val="20"/>
                <w:color w:val="auto"/>
              </w:rPr>
            </w:pPr>
            <w:r>
              <w:rPr>
                <w:rFonts w:ascii="Arial" w:cs="Arial" w:eastAsia="Arial" w:hAnsi="Arial"/>
                <w:sz w:val="14"/>
                <w:szCs w:val="14"/>
                <w:color w:val="auto"/>
              </w:rPr>
              <w:t>Net sales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1,106,535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100.0%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1,314,567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680" w:type="dxa"/>
            <w:vAlign w:val="bottom"/>
            <w:gridSpan w:val="3"/>
          </w:tcPr>
          <w:p>
            <w:pPr>
              <w:spacing w:after="0"/>
              <w:rPr>
                <w:sz w:val="20"/>
                <w:szCs w:val="20"/>
                <w:color w:val="auto"/>
              </w:rPr>
            </w:pPr>
            <w:r>
              <w:rPr>
                <w:rFonts w:ascii="Arial" w:cs="Arial" w:eastAsia="Arial" w:hAnsi="Arial"/>
                <w:sz w:val="14"/>
                <w:szCs w:val="14"/>
                <w:color w:val="auto"/>
              </w:rPr>
              <w:t>Cost of sales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974,238</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88.0</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1,151,660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87.6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gridSpan w:val="2"/>
          </w:tcPr>
          <w:p>
            <w:pPr>
              <w:ind w:left="520"/>
              <w:spacing w:after="0"/>
              <w:rPr>
                <w:sz w:val="20"/>
                <w:szCs w:val="20"/>
                <w:color w:val="auto"/>
              </w:rPr>
            </w:pPr>
            <w:r>
              <w:rPr>
                <w:rFonts w:ascii="Arial" w:cs="Arial" w:eastAsia="Arial" w:hAnsi="Arial"/>
                <w:sz w:val="14"/>
                <w:szCs w:val="14"/>
                <w:b w:val="1"/>
                <w:bCs w:val="1"/>
                <w:color w:val="auto"/>
              </w:rPr>
              <w:t>Gross profit</w:t>
            </w:r>
          </w:p>
        </w:tc>
        <w:tc>
          <w:tcPr>
            <w:tcW w:w="2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132,297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162,907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680" w:type="dxa"/>
            <w:vAlign w:val="bottom"/>
            <w:gridSpan w:val="3"/>
          </w:tcPr>
          <w:p>
            <w:pPr>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126,670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11.5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140,438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680" w:type="dxa"/>
            <w:vAlign w:val="bottom"/>
            <w:gridSpan w:val="3"/>
          </w:tcPr>
          <w:p>
            <w:pPr>
              <w:spacing w:after="0"/>
              <w:rPr>
                <w:sz w:val="20"/>
                <w:szCs w:val="20"/>
                <w:color w:val="auto"/>
              </w:rPr>
            </w:pPr>
            <w:r>
              <w:rPr>
                <w:rFonts w:ascii="Arial" w:cs="Arial" w:eastAsia="Arial" w:hAnsi="Arial"/>
                <w:sz w:val="14"/>
                <w:szCs w:val="14"/>
                <w:color w:val="auto"/>
              </w:rPr>
              <w:t>Special charges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12,955</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gridSpan w:val="2"/>
          </w:tcPr>
          <w:p>
            <w:pPr>
              <w:ind w:left="520"/>
              <w:spacing w:after="0"/>
              <w:rPr>
                <w:sz w:val="20"/>
                <w:szCs w:val="20"/>
                <w:color w:val="auto"/>
              </w:rPr>
            </w:pPr>
            <w:r>
              <w:rPr>
                <w:rFonts w:ascii="Arial" w:cs="Arial" w:eastAsia="Arial" w:hAnsi="Arial"/>
                <w:sz w:val="14"/>
                <w:szCs w:val="14"/>
                <w:b w:val="1"/>
                <w:bCs w:val="1"/>
                <w:color w:val="auto"/>
              </w:rPr>
              <w:t>(Loss) income from operations</w:t>
            </w:r>
          </w:p>
        </w:tc>
        <w:tc>
          <w:tcPr>
            <w:tcW w:w="22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(7,328)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21,038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68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680" w:type="dxa"/>
            <w:vAlign w:val="bottom"/>
            <w:gridSpan w:val="3"/>
          </w:tcPr>
          <w:p>
            <w:pPr>
              <w:spacing w:after="0"/>
              <w:rPr>
                <w:sz w:val="20"/>
                <w:szCs w:val="20"/>
                <w:color w:val="auto"/>
              </w:rPr>
            </w:pPr>
            <w:r>
              <w:rPr>
                <w:rFonts w:ascii="Arial" w:cs="Arial" w:eastAsia="Arial" w:hAnsi="Arial"/>
                <w:sz w:val="14"/>
                <w:szCs w:val="14"/>
                <w:color w:val="auto"/>
              </w:rPr>
              <w:t>Other, net</w:t>
            </w:r>
          </w:p>
        </w:tc>
        <w:tc>
          <w:tcPr>
            <w:tcW w:w="2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w w:val="85"/>
              </w:rPr>
              <w:t>610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680" w:type="dxa"/>
            <w:vAlign w:val="bottom"/>
            <w:gridSpan w:val="3"/>
          </w:tcPr>
          <w:p>
            <w:pPr>
              <w:spacing w:after="0"/>
              <w:rPr>
                <w:sz w:val="20"/>
                <w:szCs w:val="20"/>
                <w:color w:val="auto"/>
              </w:rPr>
            </w:pPr>
            <w:r>
              <w:rPr>
                <w:rFonts w:ascii="Arial" w:cs="Arial" w:eastAsia="Arial" w:hAnsi="Arial"/>
                <w:sz w:val="14"/>
                <w:szCs w:val="14"/>
                <w:color w:val="auto"/>
              </w:rPr>
              <w:t>Income tax benefit (provision)</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60" w:type="dxa"/>
            <w:vAlign w:val="bottom"/>
            <w:gridSpan w:val="2"/>
          </w:tcPr>
          <w:p>
            <w:pPr>
              <w:ind w:left="520"/>
              <w:spacing w:after="0"/>
              <w:rPr>
                <w:sz w:val="20"/>
                <w:szCs w:val="20"/>
                <w:color w:val="auto"/>
              </w:rPr>
            </w:pPr>
            <w:r>
              <w:rPr>
                <w:rFonts w:ascii="Arial" w:cs="Arial" w:eastAsia="Arial" w:hAnsi="Arial"/>
                <w:sz w:val="14"/>
                <w:szCs w:val="14"/>
                <w:b w:val="1"/>
                <w:bCs w:val="1"/>
                <w:color w:val="auto"/>
              </w:rPr>
              <w:t>Net (loss) income</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($5,189)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(0.5)%</w:t>
            </w:r>
          </w:p>
        </w:tc>
        <w:tc>
          <w:tcPr>
            <w:tcW w:w="2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13,075</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4"/>
                <w:szCs w:val="14"/>
                <w:color w:val="auto"/>
              </w:rPr>
              <w:t>(Loss) earnings per common share:</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6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gridSpan w:val="2"/>
          </w:tcPr>
          <w:p>
            <w:pPr>
              <w:ind w:left="52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gridSpan w:val="2"/>
            <w:vMerge w:val="restart"/>
          </w:tcPr>
          <w:p>
            <w:pPr>
              <w:ind w:left="52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vMerge w:val="continue"/>
          </w:tcPr>
          <w:p>
            <w:pPr>
              <w:spacing w:after="0"/>
              <w:rPr>
                <w:sz w:val="13"/>
                <w:szCs w:val="13"/>
                <w:color w:val="auto"/>
              </w:rPr>
            </w:pPr>
          </w:p>
        </w:tc>
        <w:tc>
          <w:tcPr>
            <w:tcW w:w="22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gridSpan w:val="2"/>
          </w:tcPr>
          <w:p>
            <w:pPr>
              <w:jc w:val="right"/>
              <w:ind w:right="60"/>
              <w:spacing w:after="0" w:line="156" w:lineRule="exact"/>
              <w:rPr>
                <w:sz w:val="20"/>
                <w:szCs w:val="20"/>
                <w:color w:val="auto"/>
              </w:rPr>
            </w:pPr>
            <w:r>
              <w:rPr>
                <w:rFonts w:ascii="Arial" w:cs="Arial" w:eastAsia="Arial" w:hAnsi="Arial"/>
                <w:sz w:val="14"/>
                <w:szCs w:val="14"/>
                <w:color w:val="auto"/>
              </w:rPr>
              <w:t>(0.19)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28"/>
              <w:spacing w:after="0" w:line="156" w:lineRule="exact"/>
              <w:rPr>
                <w:sz w:val="20"/>
                <w:szCs w:val="20"/>
                <w:color w:val="auto"/>
              </w:rPr>
            </w:pPr>
            <w:r>
              <w:rPr>
                <w:rFonts w:ascii="Arial" w:cs="Arial" w:eastAsia="Arial" w:hAnsi="Arial"/>
                <w:sz w:val="14"/>
                <w:szCs w:val="14"/>
                <w:color w:val="auto"/>
              </w:rPr>
              <w:t>0.48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gridSpan w:val="2"/>
          </w:tcPr>
          <w:p>
            <w:pPr>
              <w:ind w:left="52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27,017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26,972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gridSpan w:val="2"/>
            <w:vMerge w:val="restart"/>
          </w:tcPr>
          <w:p>
            <w:pPr>
              <w:ind w:left="52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27,017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8"/>
              <w:spacing w:after="0" w:line="156" w:lineRule="exact"/>
              <w:rPr>
                <w:sz w:val="20"/>
                <w:szCs w:val="20"/>
                <w:color w:val="auto"/>
              </w:rPr>
            </w:pPr>
            <w:r>
              <w:rPr>
                <w:rFonts w:ascii="Arial" w:cs="Arial" w:eastAsia="Arial" w:hAnsi="Arial"/>
                <w:sz w:val="14"/>
                <w:szCs w:val="14"/>
                <w:color w:val="auto"/>
              </w:rPr>
              <w:t>27,058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80" w:type="dxa"/>
            <w:vAlign w:val="bottom"/>
            <w:gridSpan w:val="2"/>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5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 RECONCILIATION BETWEEN GAAP AND PRO FORMA RESULTS</w:t>
            </w:r>
          </w:p>
        </w:tc>
        <w:tc>
          <w:tcPr>
            <w:tcW w:w="2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40" w:type="dxa"/>
            <w:vAlign w:val="bottom"/>
            <w:tcBorders>
              <w:bottom w:val="single" w:sz="8" w:color="auto"/>
            </w:tcBorders>
            <w:gridSpan w:val="8"/>
          </w:tcPr>
          <w:p>
            <w:pPr>
              <w:spacing w:after="0"/>
              <w:rPr>
                <w:sz w:val="20"/>
                <w:szCs w:val="20"/>
                <w:color w:val="auto"/>
              </w:rPr>
            </w:pPr>
            <w:r>
              <w:rPr>
                <w:rFonts w:ascii="Arial" w:cs="Arial" w:eastAsia="Arial" w:hAnsi="Arial"/>
                <w:sz w:val="14"/>
                <w:szCs w:val="14"/>
                <w:i w:val="1"/>
                <w:iCs w:val="1"/>
                <w:color w:val="auto"/>
                <w:w w:val="99"/>
              </w:rPr>
              <w:t>This information is being provided so as to allow for a comparison of our operating results without special charges.</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gridSpan w:val="2"/>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3"/>
          </w:tcPr>
          <w:p>
            <w:pPr>
              <w:spacing w:after="0"/>
              <w:rPr>
                <w:sz w:val="14"/>
                <w:szCs w:val="14"/>
                <w:color w:val="auto"/>
              </w:rPr>
            </w:pPr>
          </w:p>
        </w:tc>
        <w:tc>
          <w:tcPr>
            <w:tcW w:w="132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5"/>
          </w:tcPr>
          <w:p>
            <w:pPr>
              <w:jc w:val="right"/>
              <w:ind w:right="240"/>
              <w:spacing w:after="0" w:line="142" w:lineRule="exact"/>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6"/>
          </w:tcPr>
          <w:p>
            <w:pPr>
              <w:jc w:val="right"/>
              <w:ind w:right="568"/>
              <w:spacing w:after="0" w:line="142" w:lineRule="exact"/>
              <w:rPr>
                <w:sz w:val="20"/>
                <w:szCs w:val="20"/>
                <w:color w:val="auto"/>
              </w:rPr>
            </w:pPr>
            <w:r>
              <w:rPr>
                <w:rFonts w:ascii="Arial" w:cs="Arial" w:eastAsia="Arial" w:hAnsi="Arial"/>
                <w:sz w:val="14"/>
                <w:szCs w:val="14"/>
                <w:b w:val="1"/>
                <w:bCs w:val="1"/>
                <w:color w:val="auto"/>
                <w:w w:val="96"/>
              </w:rPr>
              <w:t>Nine Months Ended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80" w:type="dxa"/>
            <w:vAlign w:val="bottom"/>
            <w:tcBorders>
              <w:bottom w:val="single" w:sz="8" w:color="auto"/>
            </w:tcBorders>
            <w:gridSpan w:val="3"/>
          </w:tcPr>
          <w:p>
            <w:pPr>
              <w:spacing w:after="0" w:line="156" w:lineRule="exact"/>
              <w:rPr>
                <w:sz w:val="20"/>
                <w:szCs w:val="20"/>
                <w:color w:val="auto"/>
              </w:rPr>
            </w:pPr>
            <w:r>
              <w:rPr>
                <w:rFonts w:ascii="Arial" w:cs="Arial" w:eastAsia="Arial" w:hAnsi="Arial"/>
                <w:sz w:val="14"/>
                <w:szCs w:val="14"/>
                <w:i w:val="1"/>
                <w:iCs w:val="1"/>
                <w:color w:val="auto"/>
              </w:rPr>
              <w:t>(amounts in thousands)</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40"/>
              <w:spacing w:after="0" w:line="156"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88"/>
              <w:spacing w:after="0" w:line="156"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8"/>
              <w:spacing w:after="0" w:line="156"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5680" w:type="dxa"/>
            <w:vAlign w:val="bottom"/>
            <w:gridSpan w:val="3"/>
          </w:tcPr>
          <w:p>
            <w:pPr>
              <w:spacing w:after="0"/>
              <w:rPr>
                <w:sz w:val="20"/>
                <w:szCs w:val="20"/>
                <w:color w:val="auto"/>
              </w:rPr>
            </w:pPr>
            <w:r>
              <w:rPr>
                <w:rFonts w:ascii="Arial" w:cs="Arial" w:eastAsia="Arial" w:hAnsi="Arial"/>
                <w:sz w:val="14"/>
                <w:szCs w:val="14"/>
                <w:color w:val="auto"/>
              </w:rPr>
              <w:t>GAAP net income (loss)</w:t>
            </w:r>
          </w:p>
        </w:tc>
        <w:tc>
          <w:tcPr>
            <w:tcW w:w="22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2,889</w:t>
            </w:r>
          </w:p>
        </w:tc>
        <w:tc>
          <w:tcPr>
            <w:tcW w:w="10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w w:val="96"/>
              </w:rPr>
              <w:t>3,214</w:t>
            </w:r>
          </w:p>
        </w:tc>
        <w:tc>
          <w:tcPr>
            <w:tcW w:w="60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($5,189)</w:t>
            </w:r>
          </w:p>
        </w:tc>
        <w:tc>
          <w:tcPr>
            <w:tcW w:w="120" w:type="dxa"/>
            <w:vAlign w:val="bottom"/>
          </w:tcPr>
          <w:p>
            <w:pPr>
              <w:spacing w:after="0"/>
              <w:rPr>
                <w:sz w:val="24"/>
                <w:szCs w:val="24"/>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13,075</w:t>
            </w:r>
          </w:p>
        </w:tc>
        <w:tc>
          <w:tcPr>
            <w:tcW w:w="0" w:type="dxa"/>
            <w:vAlign w:val="bottom"/>
          </w:tcPr>
          <w:p>
            <w:pPr>
              <w:spacing w:after="0"/>
              <w:rPr>
                <w:sz w:val="1"/>
                <w:szCs w:val="1"/>
                <w:color w:val="auto"/>
              </w:rPr>
            </w:pPr>
          </w:p>
        </w:tc>
      </w:tr>
      <w:tr>
        <w:trPr>
          <w:trHeight w:val="176"/>
        </w:trPr>
        <w:tc>
          <w:tcPr>
            <w:tcW w:w="5680" w:type="dxa"/>
            <w:vAlign w:val="bottom"/>
            <w:gridSpan w:val="3"/>
          </w:tcPr>
          <w:p>
            <w:pPr>
              <w:spacing w:after="0"/>
              <w:rPr>
                <w:sz w:val="20"/>
                <w:szCs w:val="20"/>
                <w:color w:val="auto"/>
              </w:rPr>
            </w:pPr>
            <w:r>
              <w:rPr>
                <w:rFonts w:ascii="Arial" w:cs="Arial" w:eastAsia="Arial" w:hAnsi="Arial"/>
                <w:sz w:val="14"/>
                <w:szCs w:val="14"/>
                <w:color w:val="auto"/>
              </w:rPr>
              <w:t>Special charges (after tax):</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gridSpan w:val="2"/>
          </w:tcPr>
          <w:p>
            <w:pPr>
              <w:ind w:left="200"/>
              <w:spacing w:after="0"/>
              <w:rPr>
                <w:sz w:val="20"/>
                <w:szCs w:val="20"/>
                <w:color w:val="auto"/>
              </w:rPr>
            </w:pPr>
            <w:r>
              <w:rPr>
                <w:rFonts w:ascii="Arial" w:cs="Arial" w:eastAsia="Arial" w:hAnsi="Arial"/>
                <w:sz w:val="14"/>
                <w:szCs w:val="14"/>
                <w:color w:val="auto"/>
              </w:rPr>
              <w:t>Software development write-off and related charges</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620" w:type="dxa"/>
            <w:vAlign w:val="bottom"/>
            <w:gridSpan w:val="3"/>
          </w:tcPr>
          <w:p>
            <w:pPr>
              <w:jc w:val="right"/>
              <w:ind w:right="28"/>
              <w:spacing w:after="0"/>
              <w:rPr>
                <w:sz w:val="20"/>
                <w:szCs w:val="20"/>
                <w:color w:val="auto"/>
              </w:rPr>
            </w:pPr>
            <w:r>
              <w:rPr>
                <w:rFonts w:ascii="Arial" w:cs="Arial" w:eastAsia="Arial" w:hAnsi="Arial"/>
                <w:sz w:val="14"/>
                <w:szCs w:val="14"/>
                <w:color w:val="auto"/>
              </w:rPr>
              <w:t>7,378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gridSpan w:val="2"/>
          </w:tcPr>
          <w:p>
            <w:pPr>
              <w:ind w:left="200"/>
              <w:spacing w:after="0"/>
              <w:rPr>
                <w:sz w:val="20"/>
                <w:szCs w:val="20"/>
                <w:color w:val="auto"/>
              </w:rPr>
            </w:pPr>
            <w:r>
              <w:rPr>
                <w:rFonts w:ascii="Arial" w:cs="Arial" w:eastAsia="Arial" w:hAnsi="Arial"/>
                <w:sz w:val="14"/>
                <w:szCs w:val="14"/>
                <w:color w:val="auto"/>
              </w:rPr>
              <w:t>Management restructuring</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906</w:t>
            </w:r>
          </w:p>
        </w:tc>
        <w:tc>
          <w:tcPr>
            <w:tcW w:w="600" w:type="dxa"/>
            <w:vAlign w:val="bottom"/>
          </w:tcPr>
          <w:p>
            <w:pPr>
              <w:spacing w:after="0"/>
              <w:rPr>
                <w:sz w:val="15"/>
                <w:szCs w:val="15"/>
                <w:color w:val="auto"/>
              </w:rPr>
            </w:pPr>
          </w:p>
        </w:tc>
        <w:tc>
          <w:tcPr>
            <w:tcW w:w="620" w:type="dxa"/>
            <w:vAlign w:val="bottom"/>
            <w:gridSpan w:val="3"/>
          </w:tcPr>
          <w:p>
            <w:pPr>
              <w:jc w:val="right"/>
              <w:ind w:right="28"/>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69"/>
        </w:trPr>
        <w:tc>
          <w:tcPr>
            <w:tcW w:w="5680" w:type="dxa"/>
            <w:vAlign w:val="bottom"/>
            <w:gridSpan w:val="3"/>
          </w:tcPr>
          <w:p>
            <w:pPr>
              <w:spacing w:after="0"/>
              <w:rPr>
                <w:sz w:val="20"/>
                <w:szCs w:val="20"/>
                <w:color w:val="auto"/>
              </w:rPr>
            </w:pPr>
            <w:r>
              <w:rPr>
                <w:rFonts w:ascii="Arial" w:cs="Arial" w:eastAsia="Arial" w:hAnsi="Arial"/>
                <w:sz w:val="14"/>
                <w:szCs w:val="14"/>
                <w:color w:val="auto"/>
              </w:rPr>
              <w:t>Total special charges (after tax)</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8,149</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5680" w:type="dxa"/>
            <w:vAlign w:val="bottom"/>
            <w:gridSpan w:val="3"/>
          </w:tcPr>
          <w:p>
            <w:pPr>
              <w:spacing w:after="0"/>
              <w:rPr>
                <w:sz w:val="20"/>
                <w:szCs w:val="20"/>
                <w:color w:val="auto"/>
              </w:rPr>
            </w:pPr>
            <w:r>
              <w:rPr>
                <w:rFonts w:ascii="Arial" w:cs="Arial" w:eastAsia="Arial" w:hAnsi="Arial"/>
                <w:sz w:val="14"/>
                <w:szCs w:val="14"/>
                <w:color w:val="auto"/>
              </w:rPr>
              <w:t>Pro forma net income</w:t>
            </w:r>
          </w:p>
        </w:tc>
        <w:tc>
          <w:tcPr>
            <w:tcW w:w="22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2,889</w:t>
            </w:r>
          </w:p>
        </w:tc>
        <w:tc>
          <w:tcPr>
            <w:tcW w:w="10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w w:val="96"/>
              </w:rPr>
              <w:t>4,120</w:t>
            </w:r>
          </w:p>
        </w:tc>
        <w:tc>
          <w:tcPr>
            <w:tcW w:w="600" w:type="dxa"/>
            <w:vAlign w:val="bottom"/>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28"/>
              <w:spacing w:after="0"/>
              <w:rPr>
                <w:sz w:val="20"/>
                <w:szCs w:val="20"/>
                <w:color w:val="auto"/>
              </w:rPr>
            </w:pPr>
            <w:r>
              <w:rPr>
                <w:rFonts w:ascii="Arial" w:cs="Arial" w:eastAsia="Arial" w:hAnsi="Arial"/>
                <w:sz w:val="14"/>
                <w:szCs w:val="14"/>
                <w:color w:val="auto"/>
              </w:rPr>
              <w:t>2,960</w:t>
            </w:r>
          </w:p>
        </w:tc>
        <w:tc>
          <w:tcPr>
            <w:tcW w:w="120" w:type="dxa"/>
            <w:vAlign w:val="bottom"/>
          </w:tcPr>
          <w:p>
            <w:pPr>
              <w:spacing w:after="0"/>
              <w:rPr>
                <w:sz w:val="24"/>
                <w:szCs w:val="24"/>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13,981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48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5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CONSOLIDATED BALANCE SHEETS</w:t>
            </w:r>
          </w:p>
        </w:tc>
        <w:tc>
          <w:tcPr>
            <w:tcW w:w="1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(amounts in thousands)</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65,680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47,003</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180,878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w w:val="94"/>
              </w:rPr>
              <w:t>185,885</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59,979</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60,813</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3,574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4,244</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Income taxes receivable</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3,227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181"/>
        </w:trPr>
        <w:tc>
          <w:tcPr>
            <w:tcW w:w="5280" w:type="dxa"/>
            <w:vAlign w:val="bottom"/>
            <w:gridSpan w:val="2"/>
          </w:tcPr>
          <w:p>
            <w:pPr>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2,958</w:t>
            </w: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3,626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60" w:type="dxa"/>
            <w:vAlign w:val="bottom"/>
          </w:tcPr>
          <w:p>
            <w:pPr>
              <w:ind w:left="80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316,296</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w w:val="94"/>
              </w:rPr>
              <w:t>303,019</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13,303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24,483</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48,060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48,060</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1,417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2,220</w:t>
            </w:r>
          </w:p>
        </w:tc>
        <w:tc>
          <w:tcPr>
            <w:tcW w:w="0" w:type="dxa"/>
            <w:vAlign w:val="bottom"/>
          </w:tcPr>
          <w:p>
            <w:pPr>
              <w:spacing w:after="0"/>
              <w:rPr>
                <w:sz w:val="1"/>
                <w:szCs w:val="1"/>
                <w:color w:val="auto"/>
              </w:rPr>
            </w:pPr>
          </w:p>
        </w:tc>
      </w:tr>
      <w:tr>
        <w:trPr>
          <w:trHeight w:val="181"/>
        </w:trPr>
        <w:tc>
          <w:tcPr>
            <w:tcW w:w="528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480</w:t>
            </w: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Pr>
          <w:p>
            <w:pPr>
              <w:ind w:left="80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379,556</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4"/>
              </w:rPr>
              <w:t>378,167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28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Current maturities of capital lease obligation to affiliate</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759</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108,894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w w:val="94"/>
              </w:rPr>
              <w:t>101,783</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20,194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19,993</w:t>
            </w:r>
          </w:p>
        </w:tc>
        <w:tc>
          <w:tcPr>
            <w:tcW w:w="0" w:type="dxa"/>
            <w:vAlign w:val="bottom"/>
          </w:tcPr>
          <w:p>
            <w:pPr>
              <w:spacing w:after="0"/>
              <w:rPr>
                <w:sz w:val="1"/>
                <w:szCs w:val="1"/>
                <w:color w:val="auto"/>
              </w:rPr>
            </w:pPr>
          </w:p>
        </w:tc>
      </w:tr>
      <w:tr>
        <w:trPr>
          <w:trHeight w:val="181"/>
        </w:trPr>
        <w:tc>
          <w:tcPr>
            <w:tcW w:w="5280" w:type="dxa"/>
            <w:vAlign w:val="bottom"/>
            <w:gridSpan w:val="2"/>
          </w:tcPr>
          <w:p>
            <w:pPr>
              <w:spacing w:after="0"/>
              <w:rPr>
                <w:sz w:val="20"/>
                <w:szCs w:val="20"/>
                <w:color w:val="auto"/>
              </w:rPr>
            </w:pPr>
            <w:r>
              <w:rPr>
                <w:rFonts w:ascii="Arial" w:cs="Arial" w:eastAsia="Arial" w:hAnsi="Arial"/>
                <w:sz w:val="14"/>
                <w:szCs w:val="14"/>
                <w:color w:val="auto"/>
              </w:rPr>
              <w:t>Accrued payroll</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7,968</w:t>
            </w: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6,337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60" w:type="dxa"/>
            <w:vAlign w:val="bottom"/>
          </w:tcPr>
          <w:p>
            <w:pPr>
              <w:ind w:left="80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137,815</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w w:val="94"/>
              </w:rPr>
              <w:t>128,812</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Capital lease obligation to affiliate, less current maturities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3,033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3,610</w:t>
            </w:r>
          </w:p>
        </w:tc>
        <w:tc>
          <w:tcPr>
            <w:tcW w:w="0" w:type="dxa"/>
            <w:vAlign w:val="bottom"/>
          </w:tcPr>
          <w:p>
            <w:pPr>
              <w:spacing w:after="0"/>
              <w:rPr>
                <w:sz w:val="1"/>
                <w:szCs w:val="1"/>
                <w:color w:val="auto"/>
              </w:rPr>
            </w:pPr>
          </w:p>
        </w:tc>
      </w:tr>
      <w:tr>
        <w:trPr>
          <w:trHeight w:val="176"/>
        </w:trPr>
        <w:tc>
          <w:tcPr>
            <w:tcW w:w="528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3,821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6,183</w:t>
            </w:r>
          </w:p>
        </w:tc>
        <w:tc>
          <w:tcPr>
            <w:tcW w:w="0" w:type="dxa"/>
            <w:vAlign w:val="bottom"/>
          </w:tcPr>
          <w:p>
            <w:pPr>
              <w:spacing w:after="0"/>
              <w:rPr>
                <w:sz w:val="1"/>
                <w:szCs w:val="1"/>
                <w:color w:val="auto"/>
              </w:rPr>
            </w:pPr>
          </w:p>
        </w:tc>
      </w:tr>
      <w:tr>
        <w:trPr>
          <w:trHeight w:val="181"/>
        </w:trPr>
        <w:tc>
          <w:tcPr>
            <w:tcW w:w="5280" w:type="dxa"/>
            <w:vAlign w:val="bottom"/>
            <w:gridSpan w:val="2"/>
          </w:tcPr>
          <w:p>
            <w:pPr>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4,062</w:t>
            </w: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Pr>
          <w:p>
            <w:pPr>
              <w:ind w:left="80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148,731</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4"/>
              </w:rPr>
              <w:t>142,843</w:t>
            </w:r>
          </w:p>
        </w:tc>
        <w:tc>
          <w:tcPr>
            <w:tcW w:w="0" w:type="dxa"/>
            <w:vAlign w:val="bottom"/>
          </w:tcPr>
          <w:p>
            <w:pPr>
              <w:spacing w:after="0"/>
              <w:rPr>
                <w:sz w:val="1"/>
                <w:szCs w:val="1"/>
                <w:color w:val="auto"/>
              </w:rPr>
            </w:pPr>
          </w:p>
        </w:tc>
      </w:tr>
      <w:tr>
        <w:trPr>
          <w:trHeight w:val="164"/>
        </w:trPr>
        <w:tc>
          <w:tcPr>
            <w:tcW w:w="528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273</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96,612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95,997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137,147</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w w:val="94"/>
              </w:rPr>
              <w:t>142,336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60" w:type="dxa"/>
            <w:vAlign w:val="bottom"/>
          </w:tcPr>
          <w:p>
            <w:pPr>
              <w:ind w:left="200"/>
              <w:spacing w:after="0"/>
              <w:rPr>
                <w:sz w:val="20"/>
                <w:szCs w:val="20"/>
                <w:color w:val="auto"/>
              </w:rPr>
            </w:pPr>
            <w:r>
              <w:rPr>
                <w:rFonts w:ascii="Arial" w:cs="Arial" w:eastAsia="Arial" w:hAnsi="Arial"/>
                <w:sz w:val="14"/>
                <w:szCs w:val="14"/>
                <w:color w:val="auto"/>
              </w:rPr>
              <w:t>Treasury stock at cost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(3,207)</w:t>
            </w: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Pr>
          <w:p>
            <w:pPr>
              <w:ind w:left="800"/>
              <w:spacing w:after="0"/>
              <w:rPr>
                <w:sz w:val="20"/>
                <w:szCs w:val="20"/>
                <w:color w:val="auto"/>
              </w:rPr>
            </w:pPr>
            <w:r>
              <w:rPr>
                <w:rFonts w:ascii="Arial" w:cs="Arial" w:eastAsia="Arial" w:hAnsi="Arial"/>
                <w:sz w:val="14"/>
                <w:szCs w:val="14"/>
                <w:b w:val="1"/>
                <w:bCs w:val="1"/>
                <w:color w:val="auto"/>
              </w:rPr>
              <w:t>Total Stockholders’ Equity</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230,825</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4"/>
              </w:rPr>
              <w:t>235,324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Pr>
          <w:p>
            <w:pPr>
              <w:ind w:left="80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379,556</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4"/>
              </w:rPr>
              <w:t>378,167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5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CONSOLIDATED STATEMENT OF CHANGES IN STOCKHOLDERS’ EQUITY</w:t>
            </w:r>
          </w:p>
        </w:tc>
        <w:tc>
          <w:tcPr>
            <w:tcW w:w="1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September 30, 2009 (amounts in thousands)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28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Additional</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Retained</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89"/>
              </w:rPr>
              <w:t>Treasury Shares</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w w:val="96"/>
              </w:rPr>
              <w:t>Paid-In Capital</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0"/>
              </w:rPr>
              <w:t>Earnings</w:t>
            </w:r>
          </w:p>
        </w:tc>
        <w:tc>
          <w:tcPr>
            <w:tcW w:w="5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6"/>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Balance – January 1, 2009</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27,326</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273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95,997</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142,336</w:t>
            </w:r>
          </w:p>
        </w:tc>
        <w:tc>
          <w:tcPr>
            <w:tcW w:w="80" w:type="dxa"/>
            <w:vAlign w:val="bottom"/>
          </w:tcPr>
          <w:p>
            <w:pPr>
              <w:spacing w:after="0"/>
              <w:rPr>
                <w:sz w:val="24"/>
                <w:szCs w:val="24"/>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4"/>
                <w:szCs w:val="14"/>
                <w:color w:val="auto"/>
              </w:rPr>
              <w:t>(492)</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(3,282)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235,324</w:t>
            </w:r>
          </w:p>
        </w:tc>
        <w:tc>
          <w:tcPr>
            <w:tcW w:w="0" w:type="dxa"/>
            <w:vAlign w:val="bottom"/>
          </w:tcPr>
          <w:p>
            <w:pPr>
              <w:spacing w:after="0"/>
              <w:rPr>
                <w:sz w:val="1"/>
                <w:szCs w:val="1"/>
                <w:color w:val="auto"/>
              </w:rPr>
            </w:pPr>
          </w:p>
        </w:tc>
      </w:tr>
      <w:tr>
        <w:trPr>
          <w:trHeight w:val="351"/>
        </w:trPr>
        <w:tc>
          <w:tcPr>
            <w:tcW w:w="528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952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8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351"/>
        </w:trPr>
        <w:tc>
          <w:tcPr>
            <w:tcW w:w="5280" w:type="dxa"/>
            <w:vAlign w:val="bottom"/>
            <w:gridSpan w:val="2"/>
          </w:tcPr>
          <w:p>
            <w:pPr>
              <w:spacing w:after="0"/>
              <w:rPr>
                <w:sz w:val="20"/>
                <w:szCs w:val="20"/>
                <w:color w:val="auto"/>
              </w:rPr>
            </w:pPr>
            <w:r>
              <w:rPr>
                <w:rFonts w:ascii="Arial" w:cs="Arial" w:eastAsia="Arial" w:hAnsi="Arial"/>
                <w:sz w:val="14"/>
                <w:szCs w:val="14"/>
                <w:color w:val="auto"/>
              </w:rPr>
              <w:t>Issuance of common stock under Employee Stock Purchase Plan</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8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351"/>
        </w:trPr>
        <w:tc>
          <w:tcPr>
            <w:tcW w:w="5280" w:type="dxa"/>
            <w:vAlign w:val="bottom"/>
            <w:gridSpan w:val="2"/>
          </w:tcPr>
          <w:p>
            <w:pPr>
              <w:spacing w:after="0"/>
              <w:rPr>
                <w:sz w:val="20"/>
                <w:szCs w:val="20"/>
                <w:color w:val="auto"/>
              </w:rPr>
            </w:pPr>
            <w:r>
              <w:rPr>
                <w:rFonts w:ascii="Arial" w:cs="Arial" w:eastAsia="Arial" w:hAnsi="Arial"/>
                <w:sz w:val="14"/>
                <w:szCs w:val="14"/>
                <w:color w:val="auto"/>
              </w:rPr>
              <w:t>Nonvested stock awards</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80" w:type="dxa"/>
            <w:vAlign w:val="bottom"/>
            <w:gridSpan w:val="3"/>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5280" w:type="dxa"/>
            <w:vAlign w:val="bottom"/>
            <w:gridSpan w:val="2"/>
          </w:tcPr>
          <w:p>
            <w:pPr>
              <w:spacing w:after="0"/>
              <w:rPr>
                <w:sz w:val="20"/>
                <w:szCs w:val="20"/>
                <w:color w:val="auto"/>
              </w:rPr>
            </w:pPr>
            <w:r>
              <w:rPr>
                <w:rFonts w:ascii="Arial" w:cs="Arial" w:eastAsia="Arial" w:hAnsi="Arial"/>
                <w:sz w:val="14"/>
                <w:szCs w:val="14"/>
                <w:color w:val="auto"/>
              </w:rPr>
              <w:t>Tax shortfall from stock-based compensation</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8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351"/>
        </w:trPr>
        <w:tc>
          <w:tcPr>
            <w:tcW w:w="5280" w:type="dxa"/>
            <w:vAlign w:val="bottom"/>
            <w:gridSpan w:val="2"/>
          </w:tcPr>
          <w:p>
            <w:pPr>
              <w:spacing w:after="0"/>
              <w:rPr>
                <w:sz w:val="20"/>
                <w:szCs w:val="20"/>
                <w:color w:val="auto"/>
              </w:rPr>
            </w:pPr>
            <w:r>
              <w:rPr>
                <w:rFonts w:ascii="Arial" w:cs="Arial" w:eastAsia="Arial" w:hAnsi="Arial"/>
                <w:sz w:val="14"/>
                <w:szCs w:val="14"/>
                <w:color w:val="auto"/>
              </w:rPr>
              <w:t>Repurchase of common stock for treasury</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350"/>
        </w:trPr>
        <w:tc>
          <w:tcPr>
            <w:tcW w:w="52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(5,189)</w:t>
            </w:r>
          </w:p>
        </w:tc>
        <w:tc>
          <w:tcPr>
            <w:tcW w:w="80" w:type="dxa"/>
            <w:vAlign w:val="bottom"/>
          </w:tcPr>
          <w:p>
            <w:pPr>
              <w:spacing w:after="0"/>
              <w:rPr>
                <w:sz w:val="24"/>
                <w:szCs w:val="24"/>
                <w:color w:val="auto"/>
              </w:rPr>
            </w:pPr>
          </w:p>
        </w:tc>
        <w:tc>
          <w:tcPr>
            <w:tcW w:w="5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(5,189)</w:t>
            </w:r>
          </w:p>
        </w:tc>
        <w:tc>
          <w:tcPr>
            <w:tcW w:w="0" w:type="dxa"/>
            <w:vAlign w:val="bottom"/>
          </w:tcPr>
          <w:p>
            <w:pPr>
              <w:spacing w:after="0"/>
              <w:rPr>
                <w:sz w:val="1"/>
                <w:szCs w:val="1"/>
                <w:color w:val="auto"/>
              </w:rPr>
            </w:pPr>
          </w:p>
        </w:tc>
      </w:tr>
      <w:tr>
        <w:trPr>
          <w:trHeight w:val="345"/>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Balance – September 30, 2009</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27,354</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80"/>
              <w:spacing w:after="0"/>
              <w:rPr>
                <w:sz w:val="20"/>
                <w:szCs w:val="20"/>
                <w:color w:val="auto"/>
              </w:rPr>
            </w:pPr>
            <w:r>
              <w:rPr>
                <w:rFonts w:ascii="Arial" w:cs="Arial" w:eastAsia="Arial" w:hAnsi="Arial"/>
                <w:sz w:val="14"/>
                <w:szCs w:val="14"/>
                <w:color w:val="auto"/>
              </w:rPr>
              <w:t>273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96,612</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137,147</w:t>
            </w:r>
          </w:p>
        </w:tc>
        <w:tc>
          <w:tcPr>
            <w:tcW w:w="80" w:type="dxa"/>
            <w:vAlign w:val="bottom"/>
          </w:tcPr>
          <w:p>
            <w:pPr>
              <w:spacing w:after="0"/>
              <w:rPr>
                <w:sz w:val="24"/>
                <w:szCs w:val="24"/>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4"/>
                <w:szCs w:val="14"/>
                <w:color w:val="auto"/>
              </w:rPr>
              <w:t>(506)</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(3,207)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230,825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Nine Months Ended September 30, (amounts in thousands)</w:t>
            </w:r>
          </w:p>
        </w:tc>
        <w:tc>
          <w:tcPr>
            <w:tcW w:w="2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2008</w:t>
            </w:r>
          </w:p>
        </w:tc>
      </w:tr>
      <w:tr>
        <w:trPr>
          <w:trHeight w:val="346"/>
        </w:trPr>
        <w:tc>
          <w:tcPr>
            <w:tcW w:w="918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4"/>
        </w:trPr>
        <w:tc>
          <w:tcPr>
            <w:tcW w:w="9180" w:type="dxa"/>
            <w:vAlign w:val="bottom"/>
          </w:tcPr>
          <w:p>
            <w:pPr>
              <w:spacing w:after="0"/>
              <w:rPr>
                <w:sz w:val="20"/>
                <w:szCs w:val="20"/>
                <w:color w:val="auto"/>
              </w:rPr>
            </w:pPr>
            <w:r>
              <w:rPr>
                <w:rFonts w:ascii="Arial" w:cs="Arial" w:eastAsia="Arial" w:hAnsi="Arial"/>
                <w:sz w:val="14"/>
                <w:szCs w:val="14"/>
                <w:color w:val="auto"/>
              </w:rPr>
              <w:t>Net (loss) income</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(5,189)</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13,075</w:t>
            </w:r>
          </w:p>
        </w:tc>
      </w:tr>
      <w:tr>
        <w:trPr>
          <w:trHeight w:val="176"/>
        </w:trPr>
        <w:tc>
          <w:tcPr>
            <w:tcW w:w="9180" w:type="dxa"/>
            <w:vAlign w:val="bottom"/>
          </w:tcPr>
          <w:p>
            <w:pPr>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Non-cash portion of special charges</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11,625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5,234</w:t>
            </w: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Provision for doubtful accounts</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1,396</w:t>
            </w: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(1,692)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1,318</w:t>
            </w: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Stock-based compensation expense</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1,096</w:t>
            </w: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Tax (shortfall) benefit from stock-based compensation</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w:t>
            </w: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Loss (gain) on disposal of fixed assets</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w:t>
            </w:r>
          </w:p>
        </w:tc>
      </w:tr>
      <w:tr>
        <w:trPr>
          <w:trHeight w:val="182"/>
        </w:trPr>
        <w:tc>
          <w:tcPr>
            <w:tcW w:w="9180" w:type="dxa"/>
            <w:vAlign w:val="bottom"/>
          </w:tcPr>
          <w:p>
            <w:pPr>
              <w:ind w:left="480"/>
              <w:spacing w:after="0"/>
              <w:rPr>
                <w:sz w:val="20"/>
                <w:szCs w:val="20"/>
                <w:color w:val="auto"/>
              </w:rPr>
            </w:pPr>
            <w:r>
              <w:rPr>
                <w:rFonts w:ascii="Arial" w:cs="Arial" w:eastAsia="Arial" w:hAnsi="Arial"/>
                <w:sz w:val="14"/>
                <w:szCs w:val="14"/>
                <w:color w:val="auto"/>
              </w:rPr>
              <w:t>Excess tax benefit from exercise of stock options</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344"/>
        </w:trPr>
        <w:tc>
          <w:tcPr>
            <w:tcW w:w="918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3,236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17,937</w:t>
            </w: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394</w:t>
            </w: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(599)</w:t>
            </w: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w:t>
            </w:r>
          </w:p>
        </w:tc>
      </w:tr>
      <w:tr>
        <w:trPr>
          <w:trHeight w:val="176"/>
        </w:trPr>
        <w:tc>
          <w:tcPr>
            <w:tcW w:w="918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7,243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4,225</w:t>
            </w:r>
          </w:p>
        </w:tc>
      </w:tr>
      <w:tr>
        <w:trPr>
          <w:trHeight w:val="181"/>
        </w:trPr>
        <w:tc>
          <w:tcPr>
            <w:tcW w:w="9180" w:type="dxa"/>
            <w:vAlign w:val="bottom"/>
          </w:tcPr>
          <w:p>
            <w:pPr>
              <w:ind w:left="480"/>
              <w:spacing w:after="0"/>
              <w:rPr>
                <w:sz w:val="20"/>
                <w:szCs w:val="20"/>
                <w:color w:val="auto"/>
              </w:rPr>
            </w:pPr>
            <w:r>
              <w:rPr>
                <w:rFonts w:ascii="Arial" w:cs="Arial" w:eastAsia="Arial" w:hAnsi="Arial"/>
                <w:sz w:val="14"/>
                <w:szCs w:val="14"/>
                <w:color w:val="auto"/>
              </w:rPr>
              <w:t>Accrued expenses and other liabilities</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1,656</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(1,149)</w:t>
            </w:r>
          </w:p>
        </w:tc>
      </w:tr>
      <w:tr>
        <w:trPr>
          <w:trHeight w:val="169"/>
        </w:trPr>
        <w:tc>
          <w:tcPr>
            <w:tcW w:w="918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24,363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42,942</w:t>
            </w:r>
          </w:p>
        </w:tc>
      </w:tr>
      <w:tr>
        <w:trPr>
          <w:trHeight w:val="522"/>
        </w:trPr>
        <w:tc>
          <w:tcPr>
            <w:tcW w:w="91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4"/>
        </w:trPr>
        <w:tc>
          <w:tcPr>
            <w:tcW w:w="918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(8,708)</w:t>
            </w:r>
          </w:p>
        </w:tc>
      </w:tr>
      <w:tr>
        <w:trPr>
          <w:trHeight w:val="181"/>
        </w:trPr>
        <w:tc>
          <w:tcPr>
            <w:tcW w:w="918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w:t>
            </w:r>
          </w:p>
        </w:tc>
      </w:tr>
      <w:tr>
        <w:trPr>
          <w:trHeight w:val="169"/>
        </w:trPr>
        <w:tc>
          <w:tcPr>
            <w:tcW w:w="9180" w:type="dxa"/>
            <w:vAlign w:val="bottom"/>
          </w:tcPr>
          <w:p>
            <w:pPr>
              <w:spacing w:after="0"/>
              <w:rPr>
                <w:sz w:val="20"/>
                <w:szCs w:val="20"/>
                <w:color w:val="auto"/>
              </w:rPr>
            </w:pPr>
            <w:r>
              <w:rPr>
                <w:rFonts w:ascii="Arial" w:cs="Arial" w:eastAsia="Arial" w:hAnsi="Arial"/>
                <w:sz w:val="14"/>
                <w:szCs w:val="14"/>
                <w:color w:val="auto"/>
              </w:rPr>
              <w:t>Net cash used for investing activities</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(8,664)</w:t>
            </w:r>
          </w:p>
        </w:tc>
      </w:tr>
      <w:tr>
        <w:trPr>
          <w:trHeight w:val="522"/>
        </w:trPr>
        <w:tc>
          <w:tcPr>
            <w:tcW w:w="91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4"/>
        </w:trPr>
        <w:tc>
          <w:tcPr>
            <w:tcW w:w="9180" w:type="dxa"/>
            <w:vAlign w:val="bottom"/>
          </w:tcPr>
          <w:p>
            <w:pPr>
              <w:spacing w:after="0"/>
              <w:rPr>
                <w:sz w:val="20"/>
                <w:szCs w:val="20"/>
                <w:color w:val="auto"/>
              </w:rPr>
            </w:pPr>
            <w:r>
              <w:rPr>
                <w:rFonts w:ascii="Arial" w:cs="Arial" w:eastAsia="Arial" w:hAnsi="Arial"/>
                <w:sz w:val="14"/>
                <w:szCs w:val="14"/>
                <w:color w:val="auto"/>
              </w:rPr>
              <w:t>Proceeds from short-term borrowings</w:t>
            </w:r>
          </w:p>
        </w:tc>
        <w:tc>
          <w:tcPr>
            <w:tcW w:w="2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22,055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37,343</w:t>
            </w:r>
          </w:p>
        </w:tc>
      </w:tr>
      <w:tr>
        <w:trPr>
          <w:trHeight w:val="176"/>
        </w:trPr>
        <w:tc>
          <w:tcPr>
            <w:tcW w:w="9180" w:type="dxa"/>
            <w:vAlign w:val="bottom"/>
          </w:tcPr>
          <w:p>
            <w:pPr>
              <w:spacing w:after="0"/>
              <w:rPr>
                <w:sz w:val="20"/>
                <w:szCs w:val="20"/>
                <w:color w:val="auto"/>
              </w:rPr>
            </w:pPr>
            <w:r>
              <w:rPr>
                <w:rFonts w:ascii="Arial" w:cs="Arial" w:eastAsia="Arial" w:hAnsi="Arial"/>
                <w:sz w:val="14"/>
                <w:szCs w:val="14"/>
                <w:color w:val="auto"/>
              </w:rPr>
              <w:t>Repayment of short-term borrowings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(22,055)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(37,343)</w:t>
            </w:r>
          </w:p>
        </w:tc>
      </w:tr>
      <w:tr>
        <w:trPr>
          <w:trHeight w:val="176"/>
        </w:trPr>
        <w:tc>
          <w:tcPr>
            <w:tcW w:w="9180" w:type="dxa"/>
            <w:vAlign w:val="bottom"/>
          </w:tcPr>
          <w:p>
            <w:pPr>
              <w:spacing w:after="0"/>
              <w:rPr>
                <w:sz w:val="20"/>
                <w:szCs w:val="20"/>
                <w:color w:val="auto"/>
              </w:rPr>
            </w:pPr>
            <w:r>
              <w:rPr>
                <w:rFonts w:ascii="Arial" w:cs="Arial" w:eastAsia="Arial" w:hAnsi="Arial"/>
                <w:sz w:val="14"/>
                <w:szCs w:val="14"/>
                <w:color w:val="auto"/>
              </w:rPr>
              <w:t>Repayment of capital lease obligation</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(383)</w:t>
            </w:r>
          </w:p>
        </w:tc>
      </w:tr>
      <w:tr>
        <w:trPr>
          <w:trHeight w:val="176"/>
        </w:trPr>
        <w:tc>
          <w:tcPr>
            <w:tcW w:w="9180" w:type="dxa"/>
            <w:vAlign w:val="bottom"/>
          </w:tcPr>
          <w:p>
            <w:pPr>
              <w:spacing w:after="0"/>
              <w:rPr>
                <w:sz w:val="20"/>
                <w:szCs w:val="20"/>
                <w:color w:val="auto"/>
              </w:rPr>
            </w:pPr>
            <w:r>
              <w:rPr>
                <w:rFonts w:ascii="Arial" w:cs="Arial" w:eastAsia="Arial" w:hAnsi="Arial"/>
                <w:sz w:val="14"/>
                <w:szCs w:val="14"/>
                <w:color w:val="auto"/>
              </w:rPr>
              <w:t>Purchase of treasury shares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(1,200)</w:t>
            </w:r>
          </w:p>
        </w:tc>
      </w:tr>
      <w:tr>
        <w:trPr>
          <w:trHeight w:val="176"/>
        </w:trPr>
        <w:tc>
          <w:tcPr>
            <w:tcW w:w="9180" w:type="dxa"/>
            <w:vAlign w:val="bottom"/>
          </w:tcPr>
          <w:p>
            <w:pPr>
              <w:spacing w:after="0"/>
              <w:rPr>
                <w:sz w:val="20"/>
                <w:szCs w:val="20"/>
                <w:color w:val="auto"/>
              </w:rPr>
            </w:pPr>
            <w:r>
              <w:rPr>
                <w:rFonts w:ascii="Arial" w:cs="Arial" w:eastAsia="Arial" w:hAnsi="Arial"/>
                <w:sz w:val="14"/>
                <w:szCs w:val="14"/>
                <w:color w:val="auto"/>
              </w:rPr>
              <w:t>Issuance of stock under Employee Stock Purchase Plan</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129</w:t>
            </w:r>
          </w:p>
        </w:tc>
      </w:tr>
      <w:tr>
        <w:trPr>
          <w:trHeight w:val="176"/>
        </w:trPr>
        <w:tc>
          <w:tcPr>
            <w:tcW w:w="91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204</w:t>
            </w:r>
          </w:p>
        </w:tc>
      </w:tr>
      <w:tr>
        <w:trPr>
          <w:trHeight w:val="176"/>
        </w:trPr>
        <w:tc>
          <w:tcPr>
            <w:tcW w:w="9180" w:type="dxa"/>
            <w:vAlign w:val="bottom"/>
          </w:tcPr>
          <w:p>
            <w:pPr>
              <w:spacing w:after="0"/>
              <w:rPr>
                <w:sz w:val="20"/>
                <w:szCs w:val="20"/>
                <w:color w:val="auto"/>
              </w:rPr>
            </w:pPr>
            <w:r>
              <w:rPr>
                <w:rFonts w:ascii="Arial" w:cs="Arial" w:eastAsia="Arial" w:hAnsi="Arial"/>
                <w:sz w:val="14"/>
                <w:szCs w:val="14"/>
                <w:color w:val="auto"/>
              </w:rPr>
              <w:t>Net share settlement obligation</w:t>
            </w:r>
          </w:p>
        </w:tc>
        <w:tc>
          <w:tcPr>
            <w:tcW w:w="26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55</w:t>
            </w:r>
          </w:p>
        </w:tc>
      </w:tr>
      <w:tr>
        <w:trPr>
          <w:trHeight w:val="181"/>
        </w:trPr>
        <w:tc>
          <w:tcPr>
            <w:tcW w:w="9180" w:type="dxa"/>
            <w:vAlign w:val="bottom"/>
          </w:tcPr>
          <w:p>
            <w:pPr>
              <w:spacing w:after="0"/>
              <w:rPr>
                <w:sz w:val="20"/>
                <w:szCs w:val="20"/>
                <w:color w:val="auto"/>
              </w:rPr>
            </w:pPr>
            <w:r>
              <w:rPr>
                <w:rFonts w:ascii="Arial" w:cs="Arial" w:eastAsia="Arial" w:hAnsi="Arial"/>
                <w:sz w:val="14"/>
                <w:szCs w:val="14"/>
                <w:color w:val="auto"/>
              </w:rPr>
              <w:t>Excess tax benefit from exercise of stock options</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r>
      <w:tr>
        <w:trPr>
          <w:trHeight w:val="169"/>
        </w:trPr>
        <w:tc>
          <w:tcPr>
            <w:tcW w:w="9180" w:type="dxa"/>
            <w:vAlign w:val="bottom"/>
          </w:tcPr>
          <w:p>
            <w:pPr>
              <w:spacing w:after="0"/>
              <w:rPr>
                <w:sz w:val="20"/>
                <w:szCs w:val="20"/>
                <w:color w:val="auto"/>
              </w:rPr>
            </w:pPr>
            <w:r>
              <w:rPr>
                <w:rFonts w:ascii="Arial" w:cs="Arial" w:eastAsia="Arial" w:hAnsi="Arial"/>
                <w:sz w:val="14"/>
                <w:szCs w:val="14"/>
                <w:color w:val="auto"/>
              </w:rPr>
              <w:t>Net cash used for financing activities</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(1,192)</w:t>
            </w:r>
          </w:p>
        </w:tc>
      </w:tr>
      <w:tr>
        <w:trPr>
          <w:trHeight w:val="164"/>
        </w:trPr>
        <w:tc>
          <w:tcPr>
            <w:tcW w:w="9180" w:type="dxa"/>
            <w:vAlign w:val="bottom"/>
          </w:tcPr>
          <w:p>
            <w:pPr>
              <w:spacing w:after="0"/>
              <w:rPr>
                <w:sz w:val="20"/>
                <w:szCs w:val="20"/>
                <w:color w:val="auto"/>
              </w:rPr>
            </w:pPr>
            <w:r>
              <w:rPr>
                <w:rFonts w:ascii="Arial" w:cs="Arial" w:eastAsia="Arial" w:hAnsi="Arial"/>
                <w:sz w:val="14"/>
                <w:szCs w:val="14"/>
                <w:color w:val="auto"/>
              </w:rPr>
              <w:t>Increase in cash and cash equivalents</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18,677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33,086</w:t>
            </w:r>
          </w:p>
        </w:tc>
      </w:tr>
      <w:tr>
        <w:trPr>
          <w:trHeight w:val="181"/>
        </w:trPr>
        <w:tc>
          <w:tcPr>
            <w:tcW w:w="91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47,003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13,741</w:t>
            </w:r>
          </w:p>
        </w:tc>
      </w:tr>
      <w:tr>
        <w:trPr>
          <w:trHeight w:val="169"/>
        </w:trPr>
        <w:tc>
          <w:tcPr>
            <w:tcW w:w="91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65,680</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46,827</w:t>
            </w:r>
          </w:p>
        </w:tc>
      </w:tr>
      <w:tr>
        <w:trPr>
          <w:trHeight w:val="20"/>
        </w:trPr>
        <w:tc>
          <w:tcPr>
            <w:tcW w:w="9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6"/>
        </w:trPr>
        <w:tc>
          <w:tcPr>
            <w:tcW w:w="9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PC Connection, Inc.</w:t>
      </w:r>
    </w:p>
    <w:p>
      <w:pPr>
        <w:spacing w:after="0" w:line="230" w:lineRule="auto"/>
        <w:rPr>
          <w:sz w:val="20"/>
          <w:szCs w:val="20"/>
          <w:color w:val="auto"/>
        </w:rPr>
      </w:pPr>
      <w:r>
        <w:rPr>
          <w:rFonts w:ascii="Arial" w:cs="Arial" w:eastAsia="Arial" w:hAnsi="Arial"/>
          <w:sz w:val="22"/>
          <w:szCs w:val="22"/>
          <w:color w:val="auto"/>
        </w:rPr>
        <w:t>Stephen Baldridge, Sr., 603-683-2322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of Finance &amp; Corporate Controller</w:t>
      </w:r>
    </w:p>
    <w:sectPr>
      <w:pgSz w:w="11900" w:h="16838" w:orient="portrait"/>
      <w:cols w:equalWidth="0" w:num="1">
        <w:col w:w="11420"/>
      </w:cols>
      <w:pgMar w:left="240" w:top="3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2019-12-10T15:48:25Z</dcterms:created>
  <dcterms:modified xsi:type="dcterms:W3CDTF">2019-12-10T15:48:25Z</dcterms:modified>
</cp:coreProperties>
</file>