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792"/>
        <w:gridCol w:w="1267"/>
        <w:gridCol w:w="987"/>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78.16</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6,965,545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79.61</w:t>
            </w:r>
            <w:r>
              <w:rPr>
                <w:rFonts w:ascii="Times;serif" w:hAnsi="Times;serif"/>
                <w:color w:val="008000"/>
                <w:position w:val="7"/>
                <w:sz w:val="16"/>
                <w:sz w:val="20"/>
                <w:shd w:fill="FFFFFF" w:val="clear"/>
              </w:rPr>
              <w:t>(4)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6,964,187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80.21</w:t>
            </w:r>
            <w:r>
              <w:rPr>
                <w:rFonts w:ascii="Times;serif" w:hAnsi="Times;serif"/>
                <w:color w:val="008000"/>
                <w:position w:val="7"/>
                <w:sz w:val="16"/>
                <w:sz w:val="20"/>
                <w:shd w:fill="FFFFFF" w:val="clear"/>
              </w:rPr>
              <w:t>(5)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6,963,469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78.36</w:t>
            </w:r>
            <w:r>
              <w:rPr>
                <w:rFonts w:ascii="Times;serif" w:hAnsi="Times;serif"/>
                <w:color w:val="008000"/>
                <w:position w:val="7"/>
                <w:sz w:val="16"/>
                <w:sz w:val="20"/>
                <w:shd w:fill="FFFFFF" w:val="clear"/>
              </w:rPr>
              <w:t>(6)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6,959,547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78.83</w:t>
            </w:r>
            <w:r>
              <w:rPr>
                <w:rFonts w:ascii="Times;serif" w:hAnsi="Times;serif"/>
                <w:color w:val="008000"/>
                <w:position w:val="7"/>
                <w:sz w:val="16"/>
                <w:sz w:val="20"/>
                <w:shd w:fill="FFFFFF" w:val="clear"/>
              </w:rPr>
              <w:t>(7)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6,956,327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533,258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(8)</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906,837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David Hall Trust 2003</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David Hall Trust 2003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$77.71 to $78.65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$78.92 to $79.86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sold in multiple transactions at prices ranging from $80.02 to $80.68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is a weighted average price. These shares were sold in multiple transactions at prices ranging from $77.60 to $78.59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is a weighted average price. These shares were sold in multiple transactions at prices ranging from $78.60 to $79.35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disclaims beneficial ownership of these securities, except to the extent of such person's pecuniary interest therein.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directly by the Abbott Brook Trust, a grantor retained annuity trust formed under the laws of the State of New Hampshire. The reporting person is the sole trustee of the Abbott Brook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 as Trustee of the David Hall Trust 2003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6630" TargetMode="External"/><Relationship Id="rId11" Type="http://schemas.openxmlformats.org/officeDocument/2006/relationships/hyperlink" Target="http://www.sec.gov/cgi-bin/browse-edgar?action=getcompany&amp;CIK=000193004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1377</Words>
  <Characters>7192</Characters>
  <CharactersWithSpaces>8397</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