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t>UNITED STATES</w:t>
      </w:r>
    </w:p>
    <w:p>
      <w:pPr>
        <w:jc w:val="center"/>
        <w:spacing w:after="0" w:line="238" w:lineRule="auto"/>
        <w:rPr>
          <w:sz w:val="20"/>
          <w:szCs w:val="20"/>
          <w:color w:val="auto"/>
        </w:rPr>
      </w:pPr>
      <w:r>
        <w:rPr>
          <w:rFonts w:ascii="Arial" w:cs="Arial" w:eastAsia="Arial" w:hAnsi="Arial"/>
          <w:sz w:val="22"/>
          <w:szCs w:val="22"/>
          <w:color w:val="auto"/>
        </w:rPr>
        <w:t>SECURITIES AND EXCHANGE COMMISSION</w:t>
      </w:r>
    </w:p>
    <w:p>
      <w:pPr>
        <w:jc w:val="center"/>
        <w:spacing w:after="0" w:line="230" w:lineRule="auto"/>
        <w:rPr>
          <w:sz w:val="20"/>
          <w:szCs w:val="20"/>
          <w:color w:val="auto"/>
        </w:rPr>
      </w:pPr>
      <w:r>
        <w:rPr>
          <w:rFonts w:ascii="Arial" w:cs="Arial" w:eastAsia="Arial" w:hAnsi="Arial"/>
          <w:sz w:val="22"/>
          <w:szCs w:val="22"/>
          <w:color w:val="auto"/>
        </w:rPr>
        <w:t>WASHINGTON, D.C. 20549</w:t>
      </w:r>
    </w:p>
    <w:p>
      <w:pPr>
        <w:spacing w:after="0" w:line="1"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___________________________</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 8-K</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CURRENT REPORT</w:t>
      </w:r>
    </w:p>
    <w:p>
      <w:pPr>
        <w:jc w:val="center"/>
        <w:spacing w:after="0" w:line="238" w:lineRule="auto"/>
        <w:rPr>
          <w:sz w:val="20"/>
          <w:szCs w:val="20"/>
          <w:color w:val="auto"/>
        </w:rPr>
      </w:pPr>
      <w:r>
        <w:rPr>
          <w:rFonts w:ascii="Arial" w:cs="Arial" w:eastAsia="Arial" w:hAnsi="Arial"/>
          <w:sz w:val="22"/>
          <w:szCs w:val="22"/>
          <w:color w:val="auto"/>
        </w:rPr>
        <w:t>PURSUANT TO SECTION 13 OR 15(d) OF</w:t>
      </w:r>
    </w:p>
    <w:p>
      <w:pPr>
        <w:jc w:val="center"/>
        <w:spacing w:after="0"/>
        <w:rPr>
          <w:sz w:val="20"/>
          <w:szCs w:val="20"/>
          <w:color w:val="auto"/>
        </w:rPr>
      </w:pPr>
      <w:r>
        <w:rPr>
          <w:rFonts w:ascii="Arial" w:cs="Arial" w:eastAsia="Arial" w:hAnsi="Arial"/>
          <w:sz w:val="22"/>
          <w:szCs w:val="22"/>
          <w:color w:val="auto"/>
        </w:rPr>
        <w:t>THE SECURITIES EXCHANGE ACT OF 1934</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February 5, 2009</w:t>
      </w: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PC Connection,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0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2"/>
              </w:rPr>
              <w:t>Delaware</w:t>
            </w:r>
          </w:p>
        </w:tc>
        <w:tc>
          <w:tcPr>
            <w:tcW w:w="35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0-23827</w:t>
            </w:r>
          </w:p>
        </w:tc>
        <w:tc>
          <w:tcPr>
            <w:tcW w:w="38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1"/>
              </w:rPr>
              <w:t>02-0513618</w:t>
            </w:r>
          </w:p>
        </w:tc>
      </w:tr>
      <w:tr>
        <w:trPr>
          <w:trHeight w:val="215"/>
        </w:trPr>
        <w:tc>
          <w:tcPr>
            <w:tcW w:w="4000" w:type="dxa"/>
            <w:vAlign w:val="bottom"/>
          </w:tcPr>
          <w:p>
            <w:pPr>
              <w:jc w:val="center"/>
              <w:ind w:right="130"/>
              <w:spacing w:after="0"/>
              <w:rPr>
                <w:sz w:val="20"/>
                <w:szCs w:val="20"/>
                <w:color w:val="auto"/>
              </w:rPr>
            </w:pPr>
            <w:r>
              <w:rPr>
                <w:rFonts w:ascii="Arial" w:cs="Arial" w:eastAsia="Arial" w:hAnsi="Arial"/>
                <w:sz w:val="18"/>
                <w:szCs w:val="18"/>
                <w:color w:val="auto"/>
                <w:w w:val="91"/>
              </w:rPr>
              <w:t>(State or other juris-</w:t>
            </w:r>
          </w:p>
        </w:tc>
        <w:tc>
          <w:tcPr>
            <w:tcW w:w="354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3880" w:type="dxa"/>
            <w:vAlign w:val="bottom"/>
          </w:tcPr>
          <w:p>
            <w:pPr>
              <w:jc w:val="center"/>
              <w:ind w:left="10"/>
              <w:spacing w:after="0"/>
              <w:rPr>
                <w:sz w:val="20"/>
                <w:szCs w:val="20"/>
                <w:color w:val="auto"/>
              </w:rPr>
            </w:pPr>
            <w:r>
              <w:rPr>
                <w:rFonts w:ascii="Arial" w:cs="Arial" w:eastAsia="Arial" w:hAnsi="Arial"/>
                <w:sz w:val="18"/>
                <w:szCs w:val="18"/>
                <w:color w:val="auto"/>
                <w:w w:val="93"/>
              </w:rPr>
              <w:t>(IRS Employer</w:t>
            </w:r>
          </w:p>
        </w:tc>
      </w:tr>
      <w:tr>
        <w:trPr>
          <w:trHeight w:val="230"/>
        </w:trPr>
        <w:tc>
          <w:tcPr>
            <w:tcW w:w="4000" w:type="dxa"/>
            <w:vAlign w:val="bottom"/>
          </w:tcPr>
          <w:p>
            <w:pPr>
              <w:jc w:val="center"/>
              <w:ind w:right="130"/>
              <w:spacing w:after="0"/>
              <w:rPr>
                <w:sz w:val="20"/>
                <w:szCs w:val="20"/>
                <w:color w:val="auto"/>
              </w:rPr>
            </w:pPr>
            <w:r>
              <w:rPr>
                <w:rFonts w:ascii="Arial" w:cs="Arial" w:eastAsia="Arial" w:hAnsi="Arial"/>
                <w:sz w:val="18"/>
                <w:szCs w:val="18"/>
                <w:color w:val="auto"/>
                <w:w w:val="95"/>
              </w:rPr>
              <w:t>diction of incorporation)</w:t>
            </w:r>
          </w:p>
        </w:tc>
        <w:tc>
          <w:tcPr>
            <w:tcW w:w="354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3880" w:type="dxa"/>
            <w:vAlign w:val="bottom"/>
          </w:tcPr>
          <w:p>
            <w:pPr>
              <w:jc w:val="center"/>
              <w:ind w:left="10"/>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jc w:val="center"/>
              <w:ind w:right="410"/>
              <w:spacing w:after="0"/>
              <w:rPr>
                <w:sz w:val="20"/>
                <w:szCs w:val="20"/>
                <w:color w:val="auto"/>
              </w:rPr>
            </w:pPr>
            <w:r>
              <w:rPr>
                <w:rFonts w:ascii="Arial" w:cs="Arial" w:eastAsia="Arial" w:hAnsi="Arial"/>
                <w:sz w:val="18"/>
                <w:szCs w:val="18"/>
                <w:color w:val="auto"/>
                <w:w w:val="93"/>
              </w:rPr>
              <w:t>Rt. 101A, 730 Milford Road</w:t>
            </w:r>
          </w:p>
        </w:tc>
        <w:tc>
          <w:tcPr>
            <w:tcW w:w="5200" w:type="dxa"/>
            <w:vAlign w:val="bottom"/>
          </w:tcPr>
          <w:p>
            <w:pPr>
              <w:jc w:val="right"/>
              <w:ind w:right="2530"/>
              <w:spacing w:after="0"/>
              <w:rPr>
                <w:sz w:val="20"/>
                <w:szCs w:val="20"/>
                <w:color w:val="auto"/>
              </w:rPr>
            </w:pPr>
            <w:r>
              <w:rPr>
                <w:rFonts w:ascii="Arial" w:cs="Arial" w:eastAsia="Arial" w:hAnsi="Arial"/>
                <w:sz w:val="18"/>
                <w:szCs w:val="18"/>
                <w:color w:val="auto"/>
              </w:rPr>
              <w:t>03054</w:t>
            </w:r>
          </w:p>
        </w:tc>
      </w:tr>
      <w:tr>
        <w:trPr>
          <w:trHeight w:val="237"/>
        </w:trPr>
        <w:tc>
          <w:tcPr>
            <w:tcW w:w="622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color w:val="auto"/>
                <w:w w:val="96"/>
              </w:rPr>
              <w:t>Merrimack, NH</w:t>
            </w:r>
          </w:p>
        </w:tc>
        <w:tc>
          <w:tcPr>
            <w:tcW w:w="5200" w:type="dxa"/>
            <w:vAlign w:val="bottom"/>
            <w:tcBorders>
              <w:bottom w:val="single" w:sz="8" w:color="auto"/>
            </w:tcBorders>
          </w:tcPr>
          <w:p>
            <w:pPr>
              <w:spacing w:after="0"/>
              <w:rPr>
                <w:sz w:val="20"/>
                <w:szCs w:val="20"/>
                <w:color w:val="auto"/>
              </w:rPr>
            </w:pPr>
          </w:p>
        </w:tc>
      </w:tr>
      <w:tr>
        <w:trPr>
          <w:trHeight w:val="230"/>
        </w:trPr>
        <w:tc>
          <w:tcPr>
            <w:tcW w:w="6220" w:type="dxa"/>
            <w:vAlign w:val="bottom"/>
          </w:tcPr>
          <w:p>
            <w:pPr>
              <w:jc w:val="center"/>
              <w:ind w:right="430"/>
              <w:spacing w:after="0"/>
              <w:rPr>
                <w:sz w:val="20"/>
                <w:szCs w:val="20"/>
                <w:color w:val="auto"/>
              </w:rPr>
            </w:pPr>
            <w:r>
              <w:rPr>
                <w:rFonts w:ascii="Arial" w:cs="Arial" w:eastAsia="Arial" w:hAnsi="Arial"/>
                <w:sz w:val="18"/>
                <w:szCs w:val="18"/>
                <w:color w:val="auto"/>
                <w:w w:val="92"/>
              </w:rPr>
              <w:t>(Address of principal executive offices)</w:t>
            </w:r>
          </w:p>
        </w:tc>
        <w:tc>
          <w:tcPr>
            <w:tcW w:w="5200" w:type="dxa"/>
            <w:vAlign w:val="bottom"/>
          </w:tcPr>
          <w:p>
            <w:pPr>
              <w:jc w:val="center"/>
              <w:ind w:right="43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21"/>
          <w:szCs w:val="21"/>
          <w:color w:val="auto"/>
        </w:rPr>
        <w:t>(603) 683-2000</w:t>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309"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2" w:lineRule="exact"/>
        <w:rPr>
          <w:sz w:val="20"/>
          <w:szCs w:val="20"/>
          <w:color w:val="auto"/>
        </w:rPr>
      </w:pPr>
    </w:p>
    <w:p>
      <w:pPr>
        <w:ind w:right="440" w:firstLine="405"/>
        <w:spacing w:after="0"/>
        <w:rPr>
          <w:sz w:val="20"/>
          <w:szCs w:val="20"/>
          <w:color w:val="auto"/>
        </w:rPr>
      </w:pPr>
      <w:r>
        <w:rPr>
          <w:rFonts w:ascii="Arial" w:cs="Arial" w:eastAsia="Arial" w:hAnsi="Arial"/>
          <w:sz w:val="22"/>
          <w:szCs w:val="22"/>
          <w:color w:val="auto"/>
        </w:rPr>
        <w:t>On February 5, 2009, PC Connection, Inc. announced its financial results for the quarter and year ended December 31, 2008. The full text of the press release issued in connection with the announcement is furnished as Exhibit 99.1 to this Current Report on Form 8-K.</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2.06. Material Impairments.</w:t>
      </w:r>
    </w:p>
    <w:p>
      <w:pPr>
        <w:spacing w:after="0" w:line="219"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color w:val="auto"/>
        </w:rPr>
        <w:t>In connection with its quarter-end financial and accounting procedures, PC Connection, Inc., a Delaware corporation (the “Company”), tested its goodwill and intangible assets for possible impairment in accordance with Statement of Financial Accounting Standards No. 142, “Goodwill and Other Intangible Assets.” Based on its analysis, the Company concluded on February 3, 2009, that due to the continued deteriorating environment and the decline in the market value of its common stock, the goodwill held by its small- and medium-sized business segment and associated with an acquisition made in 2000, is impaired. The preliminary estimate of this impairment charge is $1.2 million, which represented the entire goodwill balance for this reporting unit. This is a preliminary estimate only. The Company has not yet completed its review of the $55.7 million of goodwill attributed to its public sector and large account segments. The completion of this review may result in an additional non-cash impairment charge, which could be material and would decrease the Company’s GAAP net income and earnings per share for the fourth quarter and year ended December 31, 2008, as preliminarily reported on February 5,</w:t>
      </w:r>
    </w:p>
    <w:p>
      <w:pPr>
        <w:spacing w:after="0" w:line="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2009. The Company expects to complete its review and the additional charge determined prior to the Company’s filing of its Annual Report on Form 10-K for the year ended December 31, 2008. The impairment(s) will not result in any current or future cash expenditures.</w:t>
      </w:r>
    </w:p>
    <w:p>
      <w:pPr>
        <w:spacing w:after="0" w:line="177" w:lineRule="exact"/>
        <w:rPr>
          <w:sz w:val="20"/>
          <w:szCs w:val="20"/>
          <w:color w:val="auto"/>
        </w:rPr>
      </w:pPr>
    </w:p>
    <w:p>
      <w:pPr>
        <w:ind w:right="160" w:firstLine="405"/>
        <w:spacing w:after="0" w:line="238" w:lineRule="auto"/>
        <w:rPr>
          <w:sz w:val="20"/>
          <w:szCs w:val="20"/>
          <w:color w:val="auto"/>
        </w:rPr>
      </w:pPr>
      <w:r>
        <w:rPr>
          <w:rFonts w:ascii="Arial" w:cs="Arial" w:eastAsia="Arial" w:hAnsi="Arial"/>
          <w:sz w:val="22"/>
          <w:szCs w:val="22"/>
          <w:color w:val="auto"/>
        </w:rPr>
        <w:t>The information in this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43" w:lineRule="exact"/>
        <w:rPr>
          <w:sz w:val="20"/>
          <w:szCs w:val="20"/>
          <w:color w:val="auto"/>
        </w:rPr>
      </w:pPr>
    </w:p>
    <w:p>
      <w:pPr>
        <w:ind w:left="1720" w:hanging="1250"/>
        <w:spacing w:after="0"/>
        <w:tabs>
          <w:tab w:leader="none" w:pos="1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79"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The following exhibit relating to Item 2.02 shall be deemed to be furnished, and not filed:</w:t>
      </w:r>
    </w:p>
    <w:p>
      <w:pPr>
        <w:spacing w:after="0" w:line="279"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99.1</w:t>
      </w:r>
      <w:r>
        <w:rPr>
          <w:rFonts w:ascii="Arial" w:cs="Arial" w:eastAsia="Arial" w:hAnsi="Arial"/>
          <w:sz w:val="16"/>
          <w:szCs w:val="16"/>
          <w:color w:val="auto"/>
        </w:rPr>
        <w:t>Press Release issued by PC Connection, Inc. on February 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68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5, 2009</w:t>
      </w:r>
      <w:r>
        <w:rPr>
          <w:sz w:val="20"/>
          <w:szCs w:val="20"/>
          <w:color w:val="auto"/>
        </w:rPr>
        <w:tab/>
      </w:r>
      <w:r>
        <w:rPr>
          <w:rFonts w:ascii="Arial" w:cs="Arial" w:eastAsia="Arial" w:hAnsi="Arial"/>
          <w:sz w:val="17"/>
          <w:szCs w:val="17"/>
          <w:color w:val="auto"/>
        </w:rPr>
        <w:t>PC CONNECTION, INC.</w:t>
      </w:r>
    </w:p>
    <w:p>
      <w:pPr>
        <w:spacing w:after="0" w:line="279" w:lineRule="exact"/>
        <w:rPr>
          <w:sz w:val="20"/>
          <w:szCs w:val="20"/>
          <w:color w:val="auto"/>
        </w:rPr>
      </w:pPr>
    </w:p>
    <w:p>
      <w:pPr>
        <w:ind w:left="57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Jack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Jack Ferguson</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Treasurer, and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760"/>
          </w:cols>
          <w:pgMar w:left="240" w:top="125" w:right="8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40" w:type="dxa"/>
            <w:vAlign w:val="bottom"/>
          </w:tcPr>
          <w:p>
            <w:pPr>
              <w:ind w:left="1920"/>
              <w:spacing w:after="0"/>
              <w:rPr>
                <w:sz w:val="20"/>
                <w:szCs w:val="20"/>
                <w:color w:val="auto"/>
              </w:rPr>
            </w:pPr>
            <w:r>
              <w:rPr>
                <w:rFonts w:ascii="Arial" w:cs="Arial" w:eastAsia="Arial" w:hAnsi="Arial"/>
                <w:sz w:val="18"/>
                <w:szCs w:val="18"/>
                <w:color w:val="auto"/>
              </w:rPr>
              <w:t>EXHIBIT INDEX</w:t>
            </w:r>
          </w:p>
        </w:tc>
      </w:tr>
      <w:tr>
        <w:trPr>
          <w:trHeight w:val="405"/>
        </w:trPr>
        <w:tc>
          <w:tcPr>
            <w:tcW w:w="156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5420" w:type="dxa"/>
            <w:vAlign w:val="bottom"/>
            <w:gridSpan w:val="3"/>
          </w:tcPr>
          <w:p>
            <w:pPr>
              <w:ind w:left="740"/>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507"/>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720" w:type="dxa"/>
            <w:vAlign w:val="bottom"/>
          </w:tcPr>
          <w:p>
            <w:pPr>
              <w:spacing w:after="0"/>
              <w:rPr>
                <w:sz w:val="24"/>
                <w:szCs w:val="24"/>
                <w:color w:val="auto"/>
              </w:rPr>
            </w:pPr>
          </w:p>
        </w:tc>
        <w:tc>
          <w:tcPr>
            <w:tcW w:w="5420" w:type="dxa"/>
            <w:vAlign w:val="bottom"/>
            <w:gridSpan w:val="3"/>
          </w:tcPr>
          <w:p>
            <w:pPr>
              <w:ind w:left="740"/>
              <w:spacing w:after="0"/>
              <w:rPr>
                <w:sz w:val="20"/>
                <w:szCs w:val="20"/>
                <w:color w:val="auto"/>
              </w:rPr>
            </w:pPr>
            <w:r>
              <w:rPr>
                <w:rFonts w:ascii="Arial" w:cs="Arial" w:eastAsia="Arial" w:hAnsi="Arial"/>
                <w:sz w:val="18"/>
                <w:szCs w:val="18"/>
                <w:color w:val="auto"/>
                <w:w w:val="88"/>
              </w:rPr>
              <w:t>Press release issued by PC Connection, Inc. on February 5, 2009.</w:t>
            </w:r>
          </w:p>
        </w:tc>
      </w:tr>
    </w:tbl>
    <w:p>
      <w:pPr>
        <w:sectPr>
          <w:pgSz w:w="11900" w:h="16838" w:orient="portrait"/>
          <w:cols w:equalWidth="0" w:num="1">
            <w:col w:w="10219"/>
          </w:cols>
          <w:pgMar w:left="240" w:top="12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left="2040"/>
        <w:spacing w:after="0"/>
        <w:rPr>
          <w:sz w:val="20"/>
          <w:szCs w:val="20"/>
          <w:color w:val="auto"/>
        </w:rPr>
      </w:pPr>
      <w:r>
        <w:rPr>
          <w:rFonts w:ascii="Arial" w:cs="Arial" w:eastAsia="Arial" w:hAnsi="Arial"/>
          <w:sz w:val="22"/>
          <w:szCs w:val="22"/>
          <w:b w:val="1"/>
          <w:bCs w:val="1"/>
          <w:color w:val="auto"/>
        </w:rPr>
        <w:t>PC Connection, Inc. Reports Preliminary Fourth Quarter and Full Year Results</w:t>
      </w:r>
    </w:p>
    <w:p>
      <w:pPr>
        <w:spacing w:after="0" w:line="206" w:lineRule="exact"/>
        <w:rPr>
          <w:sz w:val="20"/>
          <w:szCs w:val="20"/>
          <w:color w:val="auto"/>
        </w:rPr>
      </w:pPr>
    </w:p>
    <w:p>
      <w:pPr>
        <w:ind w:left="2760"/>
        <w:spacing w:after="0"/>
        <w:rPr>
          <w:sz w:val="20"/>
          <w:szCs w:val="20"/>
          <w:color w:val="auto"/>
        </w:rPr>
      </w:pPr>
      <w:r>
        <w:rPr>
          <w:rFonts w:ascii="Arial" w:cs="Arial" w:eastAsia="Arial" w:hAnsi="Arial"/>
          <w:sz w:val="22"/>
          <w:szCs w:val="22"/>
          <w:b w:val="1"/>
          <w:bCs w:val="1"/>
          <w:color w:val="auto"/>
        </w:rPr>
        <w:t>Earnings Subject to Potential Goodwill Impairment Adjustment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MERRIMACK, N.H.--(BUSINESS WIRE)--February 5, 2009--PC Connection, Inc. (NASDAQ: PCCC):</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gridSpan w:val="7"/>
          </w:tcPr>
          <w:p>
            <w:pPr>
              <w:spacing w:after="0"/>
              <w:rPr>
                <w:sz w:val="20"/>
                <w:szCs w:val="20"/>
                <w:color w:val="auto"/>
              </w:rPr>
            </w:pPr>
            <w:r>
              <w:rPr>
                <w:rFonts w:ascii="Arial" w:cs="Arial" w:eastAsia="Arial" w:hAnsi="Arial"/>
                <w:sz w:val="14"/>
                <w:szCs w:val="14"/>
                <w:color w:val="auto"/>
              </w:rPr>
              <w:t>FOURTH QUARTER SUMMARY:</w:t>
            </w:r>
          </w:p>
        </w:tc>
        <w:tc>
          <w:tcPr>
            <w:tcW w:w="3640" w:type="dxa"/>
            <w:vAlign w:val="bottom"/>
            <w:gridSpan w:val="6"/>
          </w:tcPr>
          <w:p>
            <w:pPr>
              <w:spacing w:after="0"/>
              <w:rPr>
                <w:sz w:val="20"/>
                <w:szCs w:val="20"/>
                <w:color w:val="auto"/>
              </w:rPr>
            </w:pPr>
            <w:r>
              <w:rPr>
                <w:rFonts w:ascii="Arial" w:cs="Arial" w:eastAsia="Arial" w:hAnsi="Arial"/>
                <w:sz w:val="14"/>
                <w:szCs w:val="14"/>
                <w:color w:val="auto"/>
              </w:rPr>
              <w:t>FULL YEAR SUMMARY:</w:t>
            </w:r>
          </w:p>
        </w:tc>
      </w:tr>
      <w:tr>
        <w:trPr>
          <w:trHeight w:val="20"/>
        </w:trPr>
        <w:tc>
          <w:tcPr>
            <w:tcW w:w="5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31"/>
        </w:trPr>
        <w:tc>
          <w:tcPr>
            <w:tcW w:w="540" w:type="dxa"/>
            <w:vAlign w:val="bottom"/>
          </w:tcPr>
          <w:p>
            <w:pPr>
              <w:spacing w:after="0"/>
              <w:rPr>
                <w:sz w:val="24"/>
                <w:szCs w:val="24"/>
                <w:color w:val="auto"/>
              </w:rPr>
            </w:pPr>
          </w:p>
        </w:tc>
        <w:tc>
          <w:tcPr>
            <w:tcW w:w="5200" w:type="dxa"/>
            <w:vAlign w:val="bottom"/>
            <w:gridSpan w:val="6"/>
          </w:tcPr>
          <w:p>
            <w:pPr>
              <w:spacing w:after="0"/>
              <w:rPr>
                <w:sz w:val="20"/>
                <w:szCs w:val="20"/>
                <w:color w:val="auto"/>
              </w:rPr>
            </w:pPr>
            <w:r>
              <w:rPr>
                <w:rFonts w:ascii="Arial" w:cs="Arial" w:eastAsia="Arial" w:hAnsi="Arial"/>
                <w:sz w:val="14"/>
                <w:szCs w:val="14"/>
                <w:color w:val="auto"/>
              </w:rPr>
              <w:t xml:space="preserve">Net sales: </w:t>
            </w:r>
            <w:r>
              <w:rPr>
                <w:rFonts w:ascii="Arial" w:cs="Arial" w:eastAsia="Arial" w:hAnsi="Arial"/>
                <w:sz w:val="14"/>
                <w:szCs w:val="14"/>
                <w:u w:val="single" w:color="auto"/>
                <w:color w:val="auto"/>
              </w:rPr>
              <w:t>$</w:t>
            </w:r>
            <w:r>
              <w:rPr>
                <w:rFonts w:ascii="Arial" w:cs="Arial" w:eastAsia="Arial" w:hAnsi="Arial"/>
                <w:sz w:val="14"/>
                <w:szCs w:val="14"/>
                <w:color w:val="auto"/>
              </w:rPr>
              <w:t>439.1 million, down 10% y/y</w:t>
            </w:r>
          </w:p>
        </w:tc>
        <w:tc>
          <w:tcPr>
            <w:tcW w:w="540" w:type="dxa"/>
            <w:vAlign w:val="bottom"/>
          </w:tcPr>
          <w:p>
            <w:pPr>
              <w:spacing w:after="0"/>
              <w:rPr>
                <w:sz w:val="24"/>
                <w:szCs w:val="24"/>
                <w:color w:val="auto"/>
              </w:rPr>
            </w:pPr>
          </w:p>
        </w:tc>
        <w:tc>
          <w:tcPr>
            <w:tcW w:w="3100" w:type="dxa"/>
            <w:vAlign w:val="bottom"/>
            <w:gridSpan w:val="5"/>
          </w:tcPr>
          <w:p>
            <w:pPr>
              <w:spacing w:after="0"/>
              <w:rPr>
                <w:sz w:val="20"/>
                <w:szCs w:val="20"/>
                <w:color w:val="auto"/>
              </w:rPr>
            </w:pPr>
            <w:r>
              <w:rPr>
                <w:rFonts w:ascii="Arial" w:cs="Arial" w:eastAsia="Arial" w:hAnsi="Arial"/>
                <w:sz w:val="14"/>
                <w:szCs w:val="14"/>
                <w:color w:val="auto"/>
              </w:rPr>
              <w:t xml:space="preserve">Net sales: </w:t>
            </w:r>
            <w:r>
              <w:rPr>
                <w:rFonts w:ascii="Arial" w:cs="Arial" w:eastAsia="Arial" w:hAnsi="Arial"/>
                <w:sz w:val="14"/>
                <w:szCs w:val="14"/>
                <w:u w:val="single" w:color="auto"/>
                <w:color w:val="auto"/>
              </w:rPr>
              <w:t>$</w:t>
            </w:r>
            <w:r>
              <w:rPr>
                <w:rFonts w:ascii="Arial" w:cs="Arial" w:eastAsia="Arial" w:hAnsi="Arial"/>
                <w:sz w:val="14"/>
                <w:szCs w:val="14"/>
                <w:color w:val="auto"/>
              </w:rPr>
              <w:t>1,753.7 million, down 2% y/y</w:t>
            </w:r>
          </w:p>
        </w:tc>
      </w:tr>
      <w:tr>
        <w:trPr>
          <w:trHeight w:val="304"/>
        </w:trPr>
        <w:tc>
          <w:tcPr>
            <w:tcW w:w="540" w:type="dxa"/>
            <w:vAlign w:val="bottom"/>
          </w:tcPr>
          <w:p>
            <w:pPr>
              <w:spacing w:after="0"/>
              <w:rPr>
                <w:sz w:val="24"/>
                <w:szCs w:val="24"/>
                <w:color w:val="auto"/>
              </w:rPr>
            </w:pPr>
          </w:p>
        </w:tc>
        <w:tc>
          <w:tcPr>
            <w:tcW w:w="2360" w:type="dxa"/>
            <w:vAlign w:val="bottom"/>
            <w:tcBorders>
              <w:top w:val="single" w:sz="8" w:color="auto"/>
            </w:tcBorders>
            <w:gridSpan w:val="4"/>
          </w:tcPr>
          <w:p>
            <w:pPr>
              <w:spacing w:after="0"/>
              <w:rPr>
                <w:sz w:val="20"/>
                <w:szCs w:val="20"/>
                <w:color w:val="auto"/>
              </w:rPr>
            </w:pPr>
            <w:r>
              <w:rPr>
                <w:rFonts w:ascii="Arial" w:cs="Arial" w:eastAsia="Arial" w:hAnsi="Arial"/>
                <w:sz w:val="14"/>
                <w:szCs w:val="14"/>
                <w:color w:val="auto"/>
              </w:rPr>
              <w:t>Gross margin: 11.8%</w:t>
            </w:r>
          </w:p>
        </w:tc>
        <w:tc>
          <w:tcPr>
            <w:tcW w:w="284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2400" w:type="dxa"/>
            <w:vAlign w:val="bottom"/>
            <w:tcBorders>
              <w:top w:val="single" w:sz="8" w:color="auto"/>
            </w:tcBorders>
            <w:gridSpan w:val="4"/>
          </w:tcPr>
          <w:p>
            <w:pPr>
              <w:spacing w:after="0"/>
              <w:rPr>
                <w:sz w:val="20"/>
                <w:szCs w:val="20"/>
                <w:color w:val="auto"/>
              </w:rPr>
            </w:pPr>
            <w:r>
              <w:rPr>
                <w:rFonts w:ascii="Arial" w:cs="Arial" w:eastAsia="Arial" w:hAnsi="Arial"/>
                <w:sz w:val="14"/>
                <w:szCs w:val="14"/>
                <w:color w:val="auto"/>
              </w:rPr>
              <w:t>Gross margin: 12.3%</w:t>
            </w:r>
          </w:p>
        </w:tc>
        <w:tc>
          <w:tcPr>
            <w:tcW w:w="700" w:type="dxa"/>
            <w:vAlign w:val="bottom"/>
          </w:tcPr>
          <w:p>
            <w:pPr>
              <w:spacing w:after="0"/>
              <w:rPr>
                <w:sz w:val="24"/>
                <w:szCs w:val="24"/>
                <w:color w:val="auto"/>
              </w:rPr>
            </w:pPr>
          </w:p>
        </w:tc>
      </w:tr>
      <w:tr>
        <w:trPr>
          <w:trHeight w:val="20"/>
        </w:trPr>
        <w:tc>
          <w:tcPr>
            <w:tcW w:w="5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214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w w:val="95"/>
              </w:rPr>
              <w:t xml:space="preserve">Preliminary net income: </w:t>
            </w:r>
            <w:r>
              <w:rPr>
                <w:rFonts w:ascii="Arial" w:cs="Arial" w:eastAsia="Arial" w:hAnsi="Arial"/>
                <w:sz w:val="14"/>
                <w:szCs w:val="14"/>
                <w:u w:val="single" w:color="auto"/>
                <w:color w:val="auto"/>
                <w:w w:val="95"/>
              </w:rPr>
              <w:t>$</w:t>
            </w:r>
            <w:r>
              <w:rPr>
                <w:rFonts w:ascii="Arial" w:cs="Arial" w:eastAsia="Arial" w:hAnsi="Arial"/>
                <w:sz w:val="14"/>
                <w:szCs w:val="14"/>
                <w:color w:val="auto"/>
                <w:w w:val="95"/>
              </w:rPr>
              <w:t>1.9 million</w:t>
            </w:r>
          </w:p>
        </w:tc>
        <w:tc>
          <w:tcPr>
            <w:tcW w:w="3060" w:type="dxa"/>
            <w:vAlign w:val="bottom"/>
            <w:gridSpan w:val="3"/>
          </w:tcPr>
          <w:p>
            <w:pPr>
              <w:spacing w:after="0"/>
              <w:rPr>
                <w:sz w:val="24"/>
                <w:szCs w:val="24"/>
                <w:color w:val="auto"/>
              </w:rPr>
            </w:pPr>
          </w:p>
        </w:tc>
        <w:tc>
          <w:tcPr>
            <w:tcW w:w="540" w:type="dxa"/>
            <w:vAlign w:val="bottom"/>
          </w:tcPr>
          <w:p>
            <w:pPr>
              <w:spacing w:after="0"/>
              <w:rPr>
                <w:sz w:val="24"/>
                <w:szCs w:val="24"/>
                <w:color w:val="auto"/>
              </w:rPr>
            </w:pPr>
          </w:p>
        </w:tc>
        <w:tc>
          <w:tcPr>
            <w:tcW w:w="222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w w:val="96"/>
              </w:rPr>
              <w:t xml:space="preserve">Preliminary net income: </w:t>
            </w:r>
            <w:r>
              <w:rPr>
                <w:rFonts w:ascii="Arial" w:cs="Arial" w:eastAsia="Arial" w:hAnsi="Arial"/>
                <w:sz w:val="14"/>
                <w:szCs w:val="14"/>
                <w:u w:val="single" w:color="auto"/>
                <w:color w:val="auto"/>
                <w:w w:val="96"/>
              </w:rPr>
              <w:t>$</w:t>
            </w:r>
            <w:r>
              <w:rPr>
                <w:rFonts w:ascii="Arial" w:cs="Arial" w:eastAsia="Arial" w:hAnsi="Arial"/>
                <w:sz w:val="14"/>
                <w:szCs w:val="14"/>
                <w:color w:val="auto"/>
                <w:w w:val="96"/>
              </w:rPr>
              <w:t>15.0 million</w:t>
            </w:r>
          </w:p>
        </w:tc>
        <w:tc>
          <w:tcPr>
            <w:tcW w:w="880" w:type="dxa"/>
            <w:vAlign w:val="bottom"/>
            <w:gridSpan w:val="2"/>
          </w:tcPr>
          <w:p>
            <w:pPr>
              <w:spacing w:after="0"/>
              <w:rPr>
                <w:sz w:val="24"/>
                <w:szCs w:val="24"/>
                <w:color w:val="auto"/>
              </w:rPr>
            </w:pPr>
          </w:p>
        </w:tc>
      </w:tr>
      <w:tr>
        <w:trPr>
          <w:trHeight w:val="304"/>
        </w:trPr>
        <w:tc>
          <w:tcPr>
            <w:tcW w:w="540" w:type="dxa"/>
            <w:vAlign w:val="bottom"/>
          </w:tcPr>
          <w:p>
            <w:pPr>
              <w:spacing w:after="0"/>
              <w:rPr>
                <w:sz w:val="24"/>
                <w:szCs w:val="24"/>
                <w:color w:val="auto"/>
              </w:rPr>
            </w:pPr>
          </w:p>
        </w:tc>
        <w:tc>
          <w:tcPr>
            <w:tcW w:w="3100" w:type="dxa"/>
            <w:vAlign w:val="bottom"/>
            <w:tcBorders>
              <w:bottom w:val="single" w:sz="8" w:color="auto"/>
            </w:tcBorders>
            <w:gridSpan w:val="5"/>
          </w:tcPr>
          <w:p>
            <w:pPr>
              <w:spacing w:after="0"/>
              <w:rPr>
                <w:sz w:val="20"/>
                <w:szCs w:val="20"/>
                <w:color w:val="auto"/>
              </w:rPr>
            </w:pPr>
            <w:r>
              <w:rPr>
                <w:rFonts w:ascii="Arial" w:cs="Arial" w:eastAsia="Arial" w:hAnsi="Arial"/>
                <w:sz w:val="14"/>
                <w:szCs w:val="14"/>
                <w:color w:val="auto"/>
                <w:w w:val="92"/>
              </w:rPr>
              <w:t>Preliminary diluted earnings per share: $.07 per share</w:t>
            </w:r>
          </w:p>
        </w:tc>
        <w:tc>
          <w:tcPr>
            <w:tcW w:w="2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100" w:type="dxa"/>
            <w:vAlign w:val="bottom"/>
            <w:tcBorders>
              <w:bottom w:val="single" w:sz="8" w:color="auto"/>
            </w:tcBorders>
            <w:gridSpan w:val="5"/>
          </w:tcPr>
          <w:p>
            <w:pPr>
              <w:spacing w:after="0"/>
              <w:rPr>
                <w:sz w:val="20"/>
                <w:szCs w:val="20"/>
                <w:color w:val="auto"/>
              </w:rPr>
            </w:pPr>
            <w:r>
              <w:rPr>
                <w:rFonts w:ascii="Arial" w:cs="Arial" w:eastAsia="Arial" w:hAnsi="Arial"/>
                <w:sz w:val="14"/>
                <w:szCs w:val="14"/>
                <w:color w:val="auto"/>
                <w:w w:val="92"/>
              </w:rPr>
              <w:t>Preliminary diluted earnings per share: $.56 per share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-689610</wp:posOffset>
            </wp:positionV>
            <wp:extent cx="51435"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3868420</wp:posOffset>
            </wp:positionH>
            <wp:positionV relativeFrom="paragraph">
              <wp:posOffset>-689610</wp:posOffset>
            </wp:positionV>
            <wp:extent cx="51435"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224155</wp:posOffset>
            </wp:positionH>
            <wp:positionV relativeFrom="paragraph">
              <wp:posOffset>-483870</wp:posOffset>
            </wp:positionV>
            <wp:extent cx="5143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3868420</wp:posOffset>
            </wp:positionH>
            <wp:positionV relativeFrom="paragraph">
              <wp:posOffset>-483870</wp:posOffset>
            </wp:positionV>
            <wp:extent cx="5143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224155</wp:posOffset>
            </wp:positionH>
            <wp:positionV relativeFrom="paragraph">
              <wp:posOffset>-278130</wp:posOffset>
            </wp:positionV>
            <wp:extent cx="51435"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3868420</wp:posOffset>
            </wp:positionH>
            <wp:positionV relativeFrom="paragraph">
              <wp:posOffset>-278130</wp:posOffset>
            </wp:positionV>
            <wp:extent cx="51435"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224155</wp:posOffset>
            </wp:positionH>
            <wp:positionV relativeFrom="paragraph">
              <wp:posOffset>-72390</wp:posOffset>
            </wp:positionV>
            <wp:extent cx="51435"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3868420</wp:posOffset>
            </wp:positionH>
            <wp:positionV relativeFrom="paragraph">
              <wp:posOffset>-72390</wp:posOffset>
            </wp:positionV>
            <wp:extent cx="51435"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331" w:lineRule="exact"/>
        <w:rPr>
          <w:sz w:val="20"/>
          <w:szCs w:val="20"/>
          <w:color w:val="auto"/>
        </w:rPr>
      </w:pPr>
    </w:p>
    <w:p>
      <w:pPr>
        <w:ind w:right="160"/>
        <w:spacing w:after="0" w:line="237" w:lineRule="auto"/>
        <w:rPr>
          <w:sz w:val="20"/>
          <w:szCs w:val="20"/>
          <w:color w:val="auto"/>
        </w:rPr>
      </w:pPr>
      <w:r>
        <w:rPr>
          <w:rFonts w:ascii="Arial" w:cs="Arial" w:eastAsia="Arial" w:hAnsi="Arial"/>
          <w:sz w:val="22"/>
          <w:szCs w:val="22"/>
          <w:color w:val="auto"/>
        </w:rPr>
        <w:t xml:space="preserve">PC Connection, Inc. </w:t>
      </w:r>
      <w:r>
        <w:rPr>
          <w:rFonts w:ascii="Arial" w:cs="Arial" w:eastAsia="Arial" w:hAnsi="Arial"/>
          <w:sz w:val="22"/>
          <w:szCs w:val="22"/>
          <w:b w:val="1"/>
          <w:bCs w:val="1"/>
          <w:color w:val="auto"/>
        </w:rPr>
        <w:t>(NASDAQ: PCCC)</w:t>
      </w:r>
      <w:r>
        <w:rPr>
          <w:rFonts w:ascii="Arial" w:cs="Arial" w:eastAsia="Arial" w:hAnsi="Arial"/>
          <w:sz w:val="22"/>
          <w:szCs w:val="22"/>
          <w:color w:val="auto"/>
        </w:rPr>
        <w:t>, a leading direct marketer of information technology (IT) products and services, today announced preliminary results for the quarter ended December 31, 2008. Net sales for the three months ended December 31, 2008 decreased by $50.5 million, or 10.3%, to $439.1 million from $489.6 million for the three months ended December 31, 2007. Preliminary net income for the quarter was $1.9 million, or $.07 per share, compared to $6.2 million, or $.23 per share, for the corresponding prior year quarter.</w:t>
      </w:r>
    </w:p>
    <w:p>
      <w:pPr>
        <w:spacing w:after="0" w:line="189"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The three-month periods ended December 31, 2008 and 2007 included special charges that reduced earnings and earnings per share. In the fourth quarter of 2008, the Company’s small- and medium-sized business (SMB) segment incurred a preliminary special charge of $1.2 million related to a non-cash goodwill impairment adjustment, which represented the entire goodwill balance for this reporting unit. In the fourth quarter of 2007, the Company’s large account segment incurred a special charge of $0.5 million related to management restructuring. Had these charges not been incurred, pro forma net income for the quarter ended December 31, 2008 would have been $2.7 million, or $.10 per share, compared to $6.5 million, or $.24 per share, for the quarter ended December 31, 2007. A reconciliation between preliminary net income on a GAAP basis and pro forma net income is provided in a table below immediately following the Consolidated Income Statements.</w:t>
      </w:r>
    </w:p>
    <w:p>
      <w:pPr>
        <w:spacing w:after="0" w:line="158" w:lineRule="exact"/>
        <w:rPr>
          <w:sz w:val="20"/>
          <w:szCs w:val="20"/>
          <w:color w:val="auto"/>
        </w:rPr>
      </w:pPr>
    </w:p>
    <w:p>
      <w:pPr>
        <w:ind w:right="100"/>
        <w:spacing w:after="0" w:line="246" w:lineRule="auto"/>
        <w:rPr>
          <w:sz w:val="20"/>
          <w:szCs w:val="20"/>
          <w:color w:val="auto"/>
        </w:rPr>
      </w:pPr>
      <w:r>
        <w:rPr>
          <w:rFonts w:ascii="Arial" w:cs="Arial" w:eastAsia="Arial" w:hAnsi="Arial"/>
          <w:sz w:val="21"/>
          <w:szCs w:val="21"/>
          <w:color w:val="auto"/>
        </w:rPr>
        <w:t>Due to the economic downturn and the subsequent decline in the market value of the Company’s stock, management is performing a goodwill impairment assessment as required by Statement of Financial Accounting Standards No. 142, "Goodwill and Other Intangible Assets." The Company has not yet completed its review of the goodwill attributed to its public sector and large account segments. The completion of this review may result in an additional non-cash impairment charge, which could be material and would decrease the Company’s reported preliminary GAAP net income and earnings per share for the fourth quarter and the year 2008. The review is expected to be completed and the additional charge, if any, determined prior to the Company’s filing of its Annual Report on Form 10-K for the year ended December 31, 2008. Total goodwill at December 31, 2008 attributed to the public sector and large account segments aggregated $55.7 million.</w:t>
      </w:r>
    </w:p>
    <w:p>
      <w:pPr>
        <w:spacing w:after="0" w:line="181" w:lineRule="exact"/>
        <w:rPr>
          <w:sz w:val="20"/>
          <w:szCs w:val="20"/>
          <w:color w:val="auto"/>
        </w:rPr>
      </w:pPr>
    </w:p>
    <w:p>
      <w:pPr>
        <w:ind w:right="440"/>
        <w:spacing w:after="0"/>
        <w:rPr>
          <w:sz w:val="20"/>
          <w:szCs w:val="20"/>
          <w:color w:val="auto"/>
        </w:rPr>
      </w:pPr>
      <w:r>
        <w:rPr>
          <w:rFonts w:ascii="Arial" w:cs="Arial" w:eastAsia="Arial" w:hAnsi="Arial"/>
          <w:sz w:val="22"/>
          <w:szCs w:val="22"/>
          <w:color w:val="auto"/>
        </w:rPr>
        <w:t>The Company’s effective income tax rate for the quarter ended December 31, 2008 was 57.2%, compared to 37.8% for the corresponding prior year quarter. The increase was due primarily to an increase in valuation allowances associated with certain state tax credits which reduced earnings per share by $0.02.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line="275" w:lineRule="auto"/>
        <w:rPr>
          <w:sz w:val="20"/>
          <w:szCs w:val="20"/>
          <w:color w:val="auto"/>
        </w:rPr>
      </w:pPr>
      <w:r>
        <w:rPr>
          <w:rFonts w:ascii="Arial" w:cs="Arial" w:eastAsia="Arial" w:hAnsi="Arial"/>
          <w:sz w:val="19"/>
          <w:szCs w:val="19"/>
          <w:color w:val="auto"/>
        </w:rPr>
        <w:t>Net sales for the year ended December 31, 2008 decreased by $31.7 million, or 1.8%, to $1,753.7 million from $1,785.4 million for the year ended December 31, 2007. Preliminary net income for the year ended December 31, 2008 was $15.0 million, or $.56 per share, compared to $23.0 million, or $.85 per share, for the year ended December 31, 2007. Both 2008 and 2007 included special charges that reduced earnings and earnings per share. Had these charges not been recorded, pro forma net income for the year ended December 31, 2008 would have been $16.7 million, or $.62 per share, compared to $23.3 million, or $.86 per share, for the year ended December 31, 2007. Preliminary net income and earnings per share for the year ended December 31, 2008 are subject to a potential non-cash goodwill impairment adjustment, as noted above. A reconciliation between preliminary net income on a GAAP basis and pro forma net income is provided in a table below immediately following the Consolidated Income Statements.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Quarterly Sales Comparisons by Business Segment</w:t>
      </w:r>
      <w:r>
        <w:rPr>
          <w:rFonts w:ascii="Arial" w:cs="Arial" w:eastAsia="Arial" w:hAnsi="Arial"/>
          <w:sz w:val="22"/>
          <w:szCs w:val="22"/>
          <w:i w:val="1"/>
          <w:iCs w:val="1"/>
          <w:color w:val="auto"/>
        </w:rPr>
        <w:t>:</w:t>
      </w:r>
    </w:p>
    <w:p>
      <w:pPr>
        <w:spacing w:after="0" w:line="206" w:lineRule="exact"/>
        <w:rPr>
          <w:sz w:val="20"/>
          <w:szCs w:val="20"/>
          <w:color w:val="auto"/>
        </w:rPr>
      </w:pPr>
    </w:p>
    <w:p>
      <w:pPr>
        <w:ind w:left="540" w:right="180"/>
        <w:spacing w:after="0" w:line="258" w:lineRule="auto"/>
        <w:rPr>
          <w:sz w:val="20"/>
          <w:szCs w:val="20"/>
          <w:color w:val="auto"/>
        </w:rPr>
      </w:pPr>
      <w:r>
        <w:rPr>
          <w:rFonts w:ascii="Arial" w:cs="Arial" w:eastAsia="Arial" w:hAnsi="Arial"/>
          <w:sz w:val="21"/>
          <w:szCs w:val="21"/>
          <w:color w:val="auto"/>
        </w:rPr>
        <w:t>Net sales for the SMB segment decreased by 14.7% to $225.1 million compared to the fourth quarter of 2007. Corporate outbound sales within the segment declined year over year, offsetting increased consumer web sales. Approximately half of this year’s decrease resulted from lower sales of Video products from three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-433070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6" w:lineRule="exact"/>
        <w:rPr>
          <w:sz w:val="20"/>
          <w:szCs w:val="20"/>
          <w:color w:val="auto"/>
        </w:rPr>
      </w:pPr>
    </w:p>
    <w:p>
      <w:pPr>
        <w:jc w:val="both"/>
        <w:ind w:left="540" w:right="220"/>
        <w:spacing w:after="0"/>
        <w:rPr>
          <w:sz w:val="20"/>
          <w:szCs w:val="20"/>
          <w:color w:val="auto"/>
        </w:rPr>
      </w:pPr>
      <w:r>
        <w:rPr>
          <w:rFonts w:ascii="Arial" w:cs="Arial" w:eastAsia="Arial" w:hAnsi="Arial"/>
          <w:sz w:val="22"/>
          <w:szCs w:val="22"/>
          <w:color w:val="auto"/>
        </w:rPr>
        <w:t>Net sales for MoreDirect, Inc., the Company’s Large Account segment, decreased by 19.5% to $113.4 million compared to the fourth quarter of 2007. MoreDirect’s revenues continue to be impacted by declines in spending by its larger enterprise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ind w:left="540"/>
        <w:spacing w:after="0"/>
        <w:rPr>
          <w:sz w:val="20"/>
          <w:szCs w:val="20"/>
          <w:color w:val="auto"/>
        </w:rPr>
      </w:pPr>
      <w:r>
        <w:rPr>
          <w:rFonts w:ascii="Arial" w:cs="Arial" w:eastAsia="Arial" w:hAnsi="Arial"/>
          <w:sz w:val="21"/>
          <w:szCs w:val="21"/>
          <w:color w:val="auto"/>
        </w:rPr>
        <w:t>Net sales for GovConnection, Inc., the Company’s Public Sector segment, increased by $15.6 million, or 18.4%,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600"/>
        <w:spacing w:after="0" w:line="237" w:lineRule="auto"/>
        <w:rPr>
          <w:sz w:val="20"/>
          <w:szCs w:val="20"/>
          <w:color w:val="auto"/>
        </w:rPr>
      </w:pPr>
      <w:r>
        <w:rPr>
          <w:rFonts w:ascii="Arial" w:cs="Arial" w:eastAsia="Arial" w:hAnsi="Arial"/>
          <w:sz w:val="22"/>
          <w:szCs w:val="22"/>
          <w:color w:val="auto"/>
        </w:rPr>
        <w:t>$100.6 million compared to the fourth quarter of 2007. Increased customer acquisitions and strong federal government contract sales accounted for most of this double-digit increase.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Quarterly Sales by Product Mix</w:t>
      </w:r>
      <w:r>
        <w:rPr>
          <w:rFonts w:ascii="Arial" w:cs="Arial" w:eastAsia="Arial" w:hAnsi="Arial"/>
          <w:sz w:val="22"/>
          <w:szCs w:val="22"/>
          <w:i w:val="1"/>
          <w:iCs w:val="1"/>
          <w:color w:val="auto"/>
        </w:rPr>
        <w:t>:</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Net/Com Product sales increased 24% year over year, accounting for 12% of net sales in the fourth quarter of 2008 compared to 9% of net sales for the corresponding prior year period. We experienced year-over-year growth for this category in all business segments and with several strategic vendor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ind w:left="540" w:right="160"/>
        <w:spacing w:after="0" w:line="328" w:lineRule="auto"/>
        <w:rPr>
          <w:sz w:val="20"/>
          <w:szCs w:val="20"/>
          <w:color w:val="auto"/>
        </w:rPr>
      </w:pPr>
      <w:r>
        <w:rPr>
          <w:rFonts w:ascii="Arial" w:cs="Arial" w:eastAsia="Arial" w:hAnsi="Arial"/>
          <w:sz w:val="19"/>
          <w:szCs w:val="19"/>
          <w:color w:val="auto"/>
        </w:rPr>
        <w:t>Sales of Notebooks and PDAs decreased 9% year over year, accounting for 15% of net sales in both fourth quarters of 2008 and 2007. Notebook units’ sales increased slightly year over year but were impacted by a decline in average selling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-317500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4" w:lineRule="exact"/>
        <w:rPr>
          <w:sz w:val="20"/>
          <w:szCs w:val="20"/>
          <w:color w:val="auto"/>
        </w:rPr>
      </w:pPr>
    </w:p>
    <w:p>
      <w:pPr>
        <w:ind w:left="540" w:right="80"/>
        <w:spacing w:after="0" w:line="251" w:lineRule="auto"/>
        <w:rPr>
          <w:sz w:val="20"/>
          <w:szCs w:val="20"/>
          <w:color w:val="auto"/>
        </w:rPr>
      </w:pPr>
      <w:r>
        <w:rPr>
          <w:rFonts w:ascii="Arial" w:cs="Arial" w:eastAsia="Arial" w:hAnsi="Arial"/>
          <w:sz w:val="22"/>
          <w:szCs w:val="22"/>
          <w:color w:val="auto"/>
        </w:rPr>
        <w:t>Video, Imaging and Sound sales decreased 21% year over year, accounting for 15% of net sales in the fourth quarter of 2008 compared to 18% for the corresponding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2" w:lineRule="exact"/>
        <w:rPr>
          <w:sz w:val="20"/>
          <w:szCs w:val="20"/>
          <w:color w:val="auto"/>
        </w:rPr>
      </w:pPr>
    </w:p>
    <w:p>
      <w:pPr>
        <w:jc w:val="both"/>
        <w:ind w:left="540" w:right="40"/>
        <w:spacing w:after="0"/>
        <w:rPr>
          <w:sz w:val="20"/>
          <w:szCs w:val="20"/>
          <w:color w:val="auto"/>
        </w:rPr>
      </w:pPr>
      <w:r>
        <w:rPr>
          <w:rFonts w:ascii="Arial" w:cs="Arial" w:eastAsia="Arial" w:hAnsi="Arial"/>
          <w:sz w:val="22"/>
          <w:szCs w:val="22"/>
          <w:color w:val="auto"/>
        </w:rPr>
        <w:t>Accessories/Other sales increased 4% year over year, accounting for 12% of net sales in the fourth quarter of 2008 compared to 10% for the corresponding prior year quarter. The fastest growing products within this category were power management and point-of-sales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Gross profit dollars totaled $51.9 million in the fourth quarter of 2008, representing a 10% decline from the corresponding period a year ago and reflecting lower volumes. Gross profit margin, as a percentage of net sales, increased 10 basis-points year over year to 11.8% in the fourth quarter of 2008. Higher invoice product margins and increased vendor consideration offset lower agency fee revenues in the fourth quarter of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7202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 w:name="page7"/>
    <w:bookmarkEnd w:id="6"/>
    <w:p>
      <w:pPr>
        <w:ind w:right="20"/>
        <w:spacing w:after="0" w:line="236" w:lineRule="auto"/>
        <w:rPr>
          <w:sz w:val="20"/>
          <w:szCs w:val="20"/>
          <w:color w:val="auto"/>
        </w:rPr>
      </w:pPr>
      <w:r>
        <w:rPr>
          <w:rFonts w:ascii="Arial" w:cs="Arial" w:eastAsia="Arial" w:hAnsi="Arial"/>
          <w:sz w:val="22"/>
          <w:szCs w:val="22"/>
          <w:color w:val="auto"/>
        </w:rPr>
        <w:t>Overall annualized sales productivity decreased 14% in the fourth quarter of 2008 compared to the fourth quarter of 2007. Sales productivity in our Large Account segment decreased 16% year over year. Sales productivity in our SMB segment decreased 15% year over year. Sales productivity in our Public Sector segment decreased 5% year over year primarily due to the hiring of sales representatives late in the quarter. On a consolidated basis, the total number of sales representatives was 712 at December 31, 2008, compared to 683 at December 31, 2007.</w:t>
      </w:r>
    </w:p>
    <w:p>
      <w:pPr>
        <w:spacing w:after="0" w:line="188" w:lineRule="exact"/>
        <w:rPr>
          <w:sz w:val="20"/>
          <w:szCs w:val="20"/>
          <w:color w:val="auto"/>
        </w:rPr>
      </w:pPr>
    </w:p>
    <w:p>
      <w:pPr>
        <w:ind w:right="100"/>
        <w:spacing w:after="0" w:line="247" w:lineRule="auto"/>
        <w:rPr>
          <w:sz w:val="20"/>
          <w:szCs w:val="20"/>
          <w:color w:val="auto"/>
        </w:rPr>
      </w:pPr>
      <w:r>
        <w:rPr>
          <w:rFonts w:ascii="Arial" w:cs="Arial" w:eastAsia="Arial" w:hAnsi="Arial"/>
          <w:sz w:val="21"/>
          <w:szCs w:val="21"/>
          <w:color w:val="auto"/>
        </w:rPr>
        <w:t>Total selling, general and administrative expenses for the quarter decreased year over year by $0.6 million, or 1%, but increased as a percentage of net sales to 10.5% for the fourth quarter of 2008 from 9.5% for the fourth quarter of 2007. Lower variable compensation associated with reduced sales levels contributed to the dollar decline in SG&amp;A expenses. The fourth quarter of 2008 was negatively impacted by a $0.6 million charge related to a fixed asset disposal. The year-over-year rate increase was primarily attributable to lower sales volumes as the weaker demand environment adversely affected such expenses as a percentage of net sales. Management implemented a number of cost reduction initiatives in the third quarter and continues to review operating expenses to adjust for changes in revenues.</w:t>
      </w:r>
    </w:p>
    <w:p>
      <w:pPr>
        <w:spacing w:after="0" w:line="178" w:lineRule="exact"/>
        <w:rPr>
          <w:sz w:val="20"/>
          <w:szCs w:val="20"/>
          <w:color w:val="auto"/>
        </w:rPr>
      </w:pPr>
    </w:p>
    <w:p>
      <w:pPr>
        <w:ind w:right="160"/>
        <w:spacing w:after="0" w:line="235" w:lineRule="auto"/>
        <w:rPr>
          <w:sz w:val="20"/>
          <w:szCs w:val="20"/>
          <w:color w:val="auto"/>
        </w:rPr>
      </w:pPr>
      <w:r>
        <w:rPr>
          <w:rFonts w:ascii="Arial" w:cs="Arial" w:eastAsia="Arial" w:hAnsi="Arial"/>
          <w:sz w:val="22"/>
          <w:szCs w:val="22"/>
          <w:color w:val="auto"/>
        </w:rPr>
        <w:t>Patricia Gallup, Chairman and Chief Executive Officer said, “Our results for the quarter reflected the decline in demand for IT products. Customers are taking a wait-and-see attitude toward IT spending as they try to determine what their own demand, technology budgets, and staffing levels will be for the year. Nonetheless, our customers rely on us to provide them with the advanced technology solutions they need to help them run their operations more effectively. Our ability to offer valued services in concert with the industry’s leading brand-name products gives us confidence PC Connection will continue to stand out as an industry leader."</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PC Connection, Inc.</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 xml:space="preserve">PC Connection, Inc., a Fortune 1000 company, has three sales subsidiaries: PC Connection Sales Corporation, MoreDirect, Inc., and GovConnection, Inc., headquartered in Merrimack, NH, Boca Raton, FL, and Rockville, MD, respectively. All three companies can deliver custom-configured computer systems overnight. Investors and media can find more information about PC Connection, Inc. at </w:t>
      </w:r>
      <w:r>
        <w:rPr>
          <w:rFonts w:ascii="Arial" w:cs="Arial" w:eastAsia="Arial" w:hAnsi="Arial"/>
          <w:sz w:val="22"/>
          <w:szCs w:val="22"/>
          <w:u w:val="single" w:color="auto"/>
          <w:color w:val="auto"/>
        </w:rPr>
        <w:t>http://ir.pcconnection.com</w:t>
      </w:r>
      <w:r>
        <w:rPr>
          <w:rFonts w:ascii="Arial" w:cs="Arial" w:eastAsia="Arial" w:hAnsi="Arial"/>
          <w:sz w:val="22"/>
          <w:szCs w:val="22"/>
          <w:color w:val="auto"/>
        </w:rPr>
        <w:t>.</w:t>
      </w:r>
    </w:p>
    <w:p>
      <w:pPr>
        <w:spacing w:after="0" w:line="185"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color w:val="auto"/>
        </w:rPr>
        <w:t xml:space="preserve">PC Connection Sales Corporation (1-800-800-5555), the original business of PC Connection, Inc. serving the small- and medium-sized business sector (SMB), is a rapid-response provider of information technology (IT) products and services. It offers more than 150,000 brand-name products through its staff of technically trained sales account managers and catalog telesales representatives, catalogs, and publications, and its website at </w:t>
      </w:r>
      <w:r>
        <w:rPr>
          <w:rFonts w:ascii="Arial" w:cs="Arial" w:eastAsia="Arial" w:hAnsi="Arial"/>
          <w:sz w:val="22"/>
          <w:szCs w:val="22"/>
          <w:u w:val="single" w:color="auto"/>
          <w:color w:val="auto"/>
        </w:rPr>
        <w:t>www.pcconnection.com</w:t>
      </w:r>
      <w:r>
        <w:rPr>
          <w:rFonts w:ascii="Arial" w:cs="Arial" w:eastAsia="Arial" w:hAnsi="Arial"/>
          <w:sz w:val="22"/>
          <w:szCs w:val="22"/>
          <w:color w:val="auto"/>
        </w:rPr>
        <w:t xml:space="preserve">. The subsidiary serves the Apple/Macintosh community through its MacConnection division (1-800-800-2222), which also publishes specialized catalogs and is online at </w:t>
      </w:r>
      <w:r>
        <w:rPr>
          <w:rFonts w:ascii="Arial" w:cs="Arial" w:eastAsia="Arial" w:hAnsi="Arial"/>
          <w:sz w:val="22"/>
          <w:szCs w:val="22"/>
          <w:u w:val="single" w:color="auto"/>
          <w:color w:val="auto"/>
        </w:rPr>
        <w:t>www.macconnection.com</w:t>
      </w:r>
      <w:r>
        <w:rPr>
          <w:rFonts w:ascii="Arial" w:cs="Arial" w:eastAsia="Arial" w:hAnsi="Arial"/>
          <w:sz w:val="22"/>
          <w:szCs w:val="22"/>
          <w:color w:val="auto"/>
        </w:rPr>
        <w:t>.</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 xml:space="preserve">MoreDirect, Inc. (561-237-3300), </w:t>
      </w:r>
      <w:r>
        <w:rPr>
          <w:rFonts w:ascii="Arial" w:cs="Arial" w:eastAsia="Arial" w:hAnsi="Arial"/>
          <w:sz w:val="22"/>
          <w:szCs w:val="22"/>
          <w:u w:val="single" w:color="auto"/>
          <w:color w:val="auto"/>
        </w:rPr>
        <w:t>www.moredirect.com</w:t>
      </w:r>
      <w:r>
        <w:rPr>
          <w:rFonts w:ascii="Arial" w:cs="Arial" w:eastAsia="Arial" w:hAnsi="Arial"/>
          <w:sz w:val="22"/>
          <w:szCs w:val="22"/>
          <w:color w:val="auto"/>
        </w:rPr>
        <w:t>, provides corporate technology buyers with a comprehensive web-based e-procurement solution and in-depth IT supply-chain expertise, serving as a one-stop source by aggregating more than 300,000 products from the inventories of leading IT wholesale distributors and manufacturers. MoreDirect’s TRAXX™ system is a seamless end-to-end interface that empowers clients to electronically source, evaluate, compare prices, and track related technology product purchases in real-time.</w:t>
      </w:r>
    </w:p>
    <w:p>
      <w:pPr>
        <w:spacing w:after="0" w:line="188"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 xml:space="preserve">GovConnection, Inc. (1-800-800-0019) is a provider of IT products and services to federal, state, and local government agencies and educational institutions through specialized account managers, catalogs, and publications, and online at </w:t>
      </w:r>
      <w:r>
        <w:rPr>
          <w:rFonts w:ascii="Arial" w:cs="Arial" w:eastAsia="Arial" w:hAnsi="Arial"/>
          <w:sz w:val="22"/>
          <w:szCs w:val="22"/>
          <w:u w:val="single" w:color="auto"/>
          <w:color w:val="auto"/>
        </w:rPr>
        <w:t>www.govconnection.com</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 w:name="page8"/>
    <w:bookmarkEnd w:id="7"/>
    <w:p>
      <w:pPr>
        <w:spacing w:after="0" w:line="271" w:lineRule="auto"/>
        <w:rPr>
          <w:sz w:val="20"/>
          <w:szCs w:val="20"/>
          <w:color w:val="auto"/>
        </w:rPr>
      </w:pPr>
      <w:r>
        <w:rPr>
          <w:rFonts w:ascii="Arial" w:cs="Arial" w:eastAsia="Arial" w:hAnsi="Arial"/>
          <w:sz w:val="19"/>
          <w:szCs w:val="19"/>
          <w:color w:val="auto"/>
        </w:rPr>
        <w:t>“Safe Harbor” Statement Under the Private Securities Litigation Reform Act of 1995: This release contains forward-looking statements that are subject to risks and uncertainties, including, but not limited to, the impact of changes in market demand and the overall level of economic activity and environment, completion and valuation of any goodwill impairment, or in the level of business investment in information technology products, competitive products and pricing, product availability and market acceptance, new products, fluctuations in operating results, and the ability of the Company to hire and retain essential personnel, and other risks that could cause actual results to differ materially from these detailed under the caption “Risk Factors” in the Company’s Quarterly Report on Form 10-Q filed with the Securities and Exchange Commission for the quarter ended September 30, 2008. More specifically, the statements in this release concerning the Company’s outlook for 2009 and the statements concerning the Company’s gross margin percentage, productivity, and selling and administrative costs and other statements of a non-historical basis (including statements regarding implementing strategies for future growth and the ability of the Company to improve sales productivity) are forward-looking statements that involve certain risks and uncertainties. Such risks and uncertainties include the ability to realize market demand for and competitive pricing pressures on the products and services marketed by the Company, the continued acceptance of the Company's distribution channel by vendors and customers, continuation of key vendor and customer relationships and support programs and the ability of the Company to hire and retain qualified sales representatives and other essential personnel. Except for the reporting of any adjustments required upon completion of its goodwill impairment review, the Company assumes no obligation to update the information in this press release or revise any forward-looking statements, whether as a result of any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255905</wp:posOffset>
            </wp:positionV>
            <wp:extent cx="727202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t>CONSOLIDATED SELECTED FINANCIAL HIGHLIGHTS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At or for the Three Months Ended December 31,</w:t>
            </w:r>
          </w:p>
        </w:tc>
        <w:tc>
          <w:tcPr>
            <w:tcW w:w="12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2008</w:t>
            </w:r>
          </w:p>
        </w:tc>
        <w:tc>
          <w:tcPr>
            <w:tcW w:w="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2007</w:t>
            </w:r>
          </w:p>
        </w:tc>
        <w:tc>
          <w:tcPr>
            <w:tcW w:w="9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20" w:type="dxa"/>
            <w:vAlign w:val="bottom"/>
          </w:tcPr>
          <w:p>
            <w:pPr>
              <w:spacing w:after="0" w:line="133" w:lineRule="exact"/>
              <w:rPr>
                <w:sz w:val="20"/>
                <w:szCs w:val="20"/>
                <w:color w:val="auto"/>
              </w:rPr>
            </w:pPr>
            <w:r>
              <w:rPr>
                <w:rFonts w:ascii="Arial" w:cs="Arial" w:eastAsia="Arial" w:hAnsi="Arial"/>
                <w:sz w:val="14"/>
                <w:szCs w:val="14"/>
                <w:i w:val="1"/>
                <w:iCs w:val="1"/>
                <w:color w:val="auto"/>
              </w:rPr>
              <w:t>(Dollars and shares in thousands, except operating data,</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ind w:right="248"/>
              <w:spacing w:after="0" w:line="133"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ind w:right="248"/>
              <w:spacing w:after="0" w:line="133"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1040" w:type="dxa"/>
            <w:vAlign w:val="bottom"/>
          </w:tcPr>
          <w:p>
            <w:pPr>
              <w:jc w:val="right"/>
              <w:ind w:right="508"/>
              <w:spacing w:after="0" w:line="13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5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price/earnings ratio, and per share data)</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Net Sales</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Net Sales</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339"/>
        </w:trPr>
        <w:tc>
          <w:tcPr>
            <w:tcW w:w="5820" w:type="dxa"/>
            <w:vAlign w:val="bottom"/>
          </w:tcPr>
          <w:p>
            <w:pPr>
              <w:spacing w:after="0"/>
              <w:rPr>
                <w:sz w:val="20"/>
                <w:szCs w:val="20"/>
                <w:color w:val="auto"/>
              </w:rPr>
            </w:pPr>
            <w:r>
              <w:rPr>
                <w:rFonts w:ascii="Arial" w:cs="Arial" w:eastAsia="Arial" w:hAnsi="Arial"/>
                <w:sz w:val="14"/>
                <w:szCs w:val="14"/>
                <w:b w:val="1"/>
                <w:bCs w:val="1"/>
                <w:color w:val="auto"/>
              </w:rPr>
              <w:t>Operating Data:</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820" w:type="dxa"/>
            <w:vAlign w:val="bottom"/>
          </w:tcPr>
          <w:p>
            <w:pPr>
              <w:ind w:left="340"/>
              <w:spacing w:after="0"/>
              <w:rPr>
                <w:sz w:val="20"/>
                <w:szCs w:val="20"/>
                <w:color w:val="auto"/>
              </w:rPr>
            </w:pPr>
            <w:r>
              <w:rPr>
                <w:rFonts w:ascii="Arial" w:cs="Arial" w:eastAsia="Arial" w:hAnsi="Arial"/>
                <w:sz w:val="14"/>
                <w:szCs w:val="14"/>
                <w:color w:val="auto"/>
              </w:rPr>
              <w:t>Net sales</w:t>
            </w: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439,113</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489,607</w:t>
            </w:r>
          </w:p>
        </w:tc>
        <w:tc>
          <w:tcPr>
            <w:tcW w:w="920" w:type="dxa"/>
            <w:vAlign w:val="bottom"/>
          </w:tcPr>
          <w:p>
            <w:pPr>
              <w:spacing w:after="0"/>
              <w:rPr>
                <w:sz w:val="15"/>
                <w:szCs w:val="15"/>
                <w:color w:val="auto"/>
              </w:rPr>
            </w:pPr>
          </w:p>
        </w:tc>
        <w:tc>
          <w:tcPr>
            <w:tcW w:w="1140" w:type="dxa"/>
            <w:vAlign w:val="bottom"/>
            <w:gridSpan w:val="2"/>
          </w:tcPr>
          <w:p>
            <w:pPr>
              <w:jc w:val="right"/>
              <w:ind w:right="4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2"/>
        </w:trPr>
        <w:tc>
          <w:tcPr>
            <w:tcW w:w="5820" w:type="dxa"/>
            <w:vAlign w:val="bottom"/>
          </w:tcPr>
          <w:p>
            <w:pPr>
              <w:ind w:left="340"/>
              <w:spacing w:after="0"/>
              <w:rPr>
                <w:sz w:val="20"/>
                <w:szCs w:val="20"/>
                <w:color w:val="auto"/>
              </w:rPr>
            </w:pPr>
            <w:r>
              <w:rPr>
                <w:rFonts w:ascii="Arial" w:cs="Arial" w:eastAsia="Arial" w:hAnsi="Arial"/>
                <w:sz w:val="14"/>
                <w:szCs w:val="14"/>
                <w:color w:val="auto"/>
              </w:rPr>
              <w:t>Diluted earnings per share</w:t>
            </w: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.07</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.23</w:t>
            </w:r>
          </w:p>
        </w:tc>
        <w:tc>
          <w:tcPr>
            <w:tcW w:w="920" w:type="dxa"/>
            <w:vAlign w:val="bottom"/>
          </w:tcPr>
          <w:p>
            <w:pPr>
              <w:spacing w:after="0"/>
              <w:rPr>
                <w:sz w:val="15"/>
                <w:szCs w:val="15"/>
                <w:color w:val="auto"/>
              </w:rPr>
            </w:pPr>
          </w:p>
        </w:tc>
        <w:tc>
          <w:tcPr>
            <w:tcW w:w="1140" w:type="dxa"/>
            <w:vAlign w:val="bottom"/>
            <w:gridSpan w:val="2"/>
          </w:tcPr>
          <w:p>
            <w:pPr>
              <w:jc w:val="right"/>
              <w:ind w:right="4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344"/>
        </w:trPr>
        <w:tc>
          <w:tcPr>
            <w:tcW w:w="5820" w:type="dxa"/>
            <w:vAlign w:val="bottom"/>
          </w:tcPr>
          <w:p>
            <w:pPr>
              <w:ind w:left="340"/>
              <w:spacing w:after="0"/>
              <w:rPr>
                <w:sz w:val="20"/>
                <w:szCs w:val="20"/>
                <w:color w:val="auto"/>
              </w:rPr>
            </w:pPr>
            <w:r>
              <w:rPr>
                <w:rFonts w:ascii="Arial" w:cs="Arial" w:eastAsia="Arial" w:hAnsi="Arial"/>
                <w:sz w:val="14"/>
                <w:szCs w:val="14"/>
                <w:color w:val="auto"/>
              </w:rPr>
              <w:t>Gross profit margin</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11.8%</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11.7%</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820" w:type="dxa"/>
            <w:vAlign w:val="bottom"/>
          </w:tcPr>
          <w:p>
            <w:pPr>
              <w:ind w:left="340"/>
              <w:spacing w:after="0"/>
              <w:rPr>
                <w:sz w:val="20"/>
                <w:szCs w:val="20"/>
                <w:color w:val="auto"/>
              </w:rPr>
            </w:pPr>
            <w:r>
              <w:rPr>
                <w:rFonts w:ascii="Arial" w:cs="Arial" w:eastAsia="Arial" w:hAnsi="Arial"/>
                <w:sz w:val="14"/>
                <w:szCs w:val="14"/>
                <w:color w:val="auto"/>
              </w:rPr>
              <w:t>Operating margin</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1.0</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2.1</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5820" w:type="dxa"/>
            <w:vAlign w:val="bottom"/>
          </w:tcPr>
          <w:p>
            <w:pPr>
              <w:ind w:left="340"/>
              <w:spacing w:after="0"/>
              <w:rPr>
                <w:sz w:val="20"/>
                <w:szCs w:val="20"/>
                <w:color w:val="auto"/>
              </w:rPr>
            </w:pPr>
            <w:r>
              <w:rPr>
                <w:rFonts w:ascii="Arial" w:cs="Arial" w:eastAsia="Arial" w:hAnsi="Arial"/>
                <w:sz w:val="14"/>
                <w:szCs w:val="14"/>
                <w:color w:val="auto"/>
              </w:rPr>
              <w:t xml:space="preserve">Return on equity </w:t>
            </w:r>
            <w:r>
              <w:rPr>
                <w:rFonts w:ascii="Arial" w:cs="Arial" w:eastAsia="Arial" w:hAnsi="Arial"/>
                <w:sz w:val="23"/>
                <w:szCs w:val="23"/>
                <w:color w:val="auto"/>
                <w:vertAlign w:val="superscript"/>
              </w:rPr>
              <w:t>(1)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3.3</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11.2</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820" w:type="dxa"/>
            <w:vAlign w:val="bottom"/>
          </w:tcPr>
          <w:p>
            <w:pPr>
              <w:ind w:left="340"/>
              <w:spacing w:after="0"/>
              <w:rPr>
                <w:sz w:val="20"/>
                <w:szCs w:val="20"/>
                <w:color w:val="auto"/>
              </w:rPr>
            </w:pPr>
            <w:r>
              <w:rPr>
                <w:rFonts w:ascii="Arial" w:cs="Arial" w:eastAsia="Arial" w:hAnsi="Arial"/>
                <w:sz w:val="14"/>
                <w:szCs w:val="14"/>
                <w:color w:val="auto"/>
              </w:rPr>
              <w:t>Catalogs distributed</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3,126,000</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w w:val="89"/>
              </w:rPr>
              <w:t>3,563,000</w:t>
            </w:r>
          </w:p>
        </w:tc>
        <w:tc>
          <w:tcPr>
            <w:tcW w:w="920" w:type="dxa"/>
            <w:vAlign w:val="bottom"/>
          </w:tcPr>
          <w:p>
            <w:pPr>
              <w:spacing w:after="0"/>
              <w:rPr>
                <w:sz w:val="21"/>
                <w:szCs w:val="21"/>
                <w:color w:val="auto"/>
              </w:rPr>
            </w:pPr>
          </w:p>
        </w:tc>
        <w:tc>
          <w:tcPr>
            <w:tcW w:w="1140" w:type="dxa"/>
            <w:vAlign w:val="bottom"/>
            <w:gridSpan w:val="2"/>
          </w:tcPr>
          <w:p>
            <w:pPr>
              <w:jc w:val="right"/>
              <w:ind w:right="4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19"/>
        </w:trPr>
        <w:tc>
          <w:tcPr>
            <w:tcW w:w="5820" w:type="dxa"/>
            <w:vAlign w:val="bottom"/>
          </w:tcPr>
          <w:p>
            <w:pPr>
              <w:ind w:left="340"/>
              <w:spacing w:after="0" w:line="219" w:lineRule="exact"/>
              <w:rPr>
                <w:sz w:val="20"/>
                <w:szCs w:val="20"/>
                <w:color w:val="auto"/>
              </w:rPr>
            </w:pPr>
            <w:r>
              <w:rPr>
                <w:rFonts w:ascii="Arial" w:cs="Arial" w:eastAsia="Arial" w:hAnsi="Arial"/>
                <w:sz w:val="14"/>
                <w:szCs w:val="14"/>
                <w:color w:val="auto"/>
              </w:rPr>
              <w:t xml:space="preserve">Orders entered </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361,800</w:t>
            </w: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367,100</w:t>
            </w:r>
          </w:p>
        </w:tc>
        <w:tc>
          <w:tcPr>
            <w:tcW w:w="920" w:type="dxa"/>
            <w:vAlign w:val="bottom"/>
          </w:tcPr>
          <w:p>
            <w:pPr>
              <w:spacing w:after="0"/>
              <w:rPr>
                <w:sz w:val="19"/>
                <w:szCs w:val="19"/>
                <w:color w:val="auto"/>
              </w:rPr>
            </w:pPr>
          </w:p>
        </w:tc>
        <w:tc>
          <w:tcPr>
            <w:tcW w:w="1140" w:type="dxa"/>
            <w:vAlign w:val="bottom"/>
            <w:gridSpan w:val="2"/>
          </w:tcPr>
          <w:p>
            <w:pPr>
              <w:jc w:val="right"/>
              <w:ind w:right="16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13"/>
        </w:trPr>
        <w:tc>
          <w:tcPr>
            <w:tcW w:w="5820" w:type="dxa"/>
            <w:vAlign w:val="bottom"/>
          </w:tcPr>
          <w:p>
            <w:pPr>
              <w:ind w:left="340"/>
              <w:spacing w:after="0"/>
              <w:rPr>
                <w:sz w:val="20"/>
                <w:szCs w:val="20"/>
                <w:color w:val="auto"/>
              </w:rPr>
            </w:pPr>
            <w:r>
              <w:rPr>
                <w:rFonts w:ascii="Arial" w:cs="Arial" w:eastAsia="Arial" w:hAnsi="Arial"/>
                <w:sz w:val="14"/>
                <w:szCs w:val="14"/>
                <w:color w:val="auto"/>
              </w:rPr>
              <w:t xml:space="preserve">Average order size </w:t>
            </w:r>
            <w:r>
              <w:rPr>
                <w:rFonts w:ascii="Arial" w:cs="Arial" w:eastAsia="Arial" w:hAnsi="Arial"/>
                <w:sz w:val="23"/>
                <w:szCs w:val="23"/>
                <w:color w:val="auto"/>
                <w:vertAlign w:val="superscript"/>
              </w:rPr>
              <w:t>(2)</w:t>
            </w: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1,330</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1,515</w:t>
            </w:r>
          </w:p>
        </w:tc>
        <w:tc>
          <w:tcPr>
            <w:tcW w:w="920" w:type="dxa"/>
            <w:vAlign w:val="bottom"/>
          </w:tcPr>
          <w:p>
            <w:pPr>
              <w:spacing w:after="0"/>
              <w:rPr>
                <w:sz w:val="24"/>
                <w:szCs w:val="24"/>
                <w:color w:val="auto"/>
              </w:rPr>
            </w:pPr>
          </w:p>
        </w:tc>
        <w:tc>
          <w:tcPr>
            <w:tcW w:w="1140" w:type="dxa"/>
            <w:vAlign w:val="bottom"/>
            <w:gridSpan w:val="2"/>
          </w:tcPr>
          <w:p>
            <w:pPr>
              <w:jc w:val="right"/>
              <w:ind w:right="16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85"/>
        </w:trPr>
        <w:tc>
          <w:tcPr>
            <w:tcW w:w="5820" w:type="dxa"/>
            <w:vAlign w:val="bottom"/>
          </w:tcPr>
          <w:p>
            <w:pPr>
              <w:ind w:left="340"/>
              <w:spacing w:after="0"/>
              <w:rPr>
                <w:sz w:val="20"/>
                <w:szCs w:val="20"/>
                <w:color w:val="auto"/>
              </w:rPr>
            </w:pPr>
            <w:r>
              <w:rPr>
                <w:rFonts w:ascii="Arial" w:cs="Arial" w:eastAsia="Arial" w:hAnsi="Arial"/>
                <w:sz w:val="14"/>
                <w:szCs w:val="14"/>
                <w:color w:val="auto"/>
              </w:rPr>
              <w:t xml:space="preserve">Inventory turns </w:t>
            </w:r>
            <w:r>
              <w:rPr>
                <w:rFonts w:ascii="Arial" w:cs="Arial" w:eastAsia="Arial" w:hAnsi="Arial"/>
                <w:sz w:val="23"/>
                <w:szCs w:val="23"/>
                <w:color w:val="auto"/>
                <w:vertAlign w:val="superscript"/>
              </w:rPr>
              <w:t>(1)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21</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820" w:type="dxa"/>
            <w:vAlign w:val="bottom"/>
          </w:tcPr>
          <w:p>
            <w:pPr>
              <w:ind w:left="340"/>
              <w:spacing w:after="0"/>
              <w:rPr>
                <w:sz w:val="20"/>
                <w:szCs w:val="20"/>
                <w:color w:val="auto"/>
              </w:rPr>
            </w:pPr>
            <w:r>
              <w:rPr>
                <w:rFonts w:ascii="Arial" w:cs="Arial" w:eastAsia="Arial" w:hAnsi="Arial"/>
                <w:sz w:val="14"/>
                <w:szCs w:val="14"/>
                <w:color w:val="auto"/>
              </w:rPr>
              <w:t>Days sales outstanding</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45</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43</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0"/>
        </w:trPr>
        <w:tc>
          <w:tcPr>
            <w:tcW w:w="5820" w:type="dxa"/>
            <w:vAlign w:val="bottom"/>
          </w:tcPr>
          <w:p>
            <w:pPr>
              <w:spacing w:after="0"/>
              <w:rPr>
                <w:sz w:val="20"/>
                <w:szCs w:val="20"/>
                <w:color w:val="auto"/>
              </w:rPr>
            </w:pPr>
            <w:r>
              <w:rPr>
                <w:rFonts w:ascii="Arial" w:cs="Arial" w:eastAsia="Arial" w:hAnsi="Arial"/>
                <w:sz w:val="14"/>
                <w:szCs w:val="14"/>
                <w:b w:val="1"/>
                <w:bCs w:val="1"/>
                <w:color w:val="auto"/>
              </w:rPr>
              <w:t>Product Mix:</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820" w:type="dxa"/>
            <w:vAlign w:val="bottom"/>
          </w:tcPr>
          <w:p>
            <w:pPr>
              <w:ind w:left="340"/>
              <w:spacing w:after="0"/>
              <w:rPr>
                <w:sz w:val="20"/>
                <w:szCs w:val="20"/>
                <w:color w:val="auto"/>
              </w:rPr>
            </w:pPr>
            <w:r>
              <w:rPr>
                <w:rFonts w:ascii="Arial" w:cs="Arial" w:eastAsia="Arial" w:hAnsi="Arial"/>
                <w:sz w:val="14"/>
                <w:szCs w:val="14"/>
                <w:color w:val="auto"/>
              </w:rPr>
              <w:t>Notebooks &amp; PDAs</w:t>
            </w: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66,553</w:t>
            </w:r>
          </w:p>
        </w:tc>
        <w:tc>
          <w:tcPr>
            <w:tcW w:w="960" w:type="dxa"/>
            <w:vAlign w:val="bottom"/>
            <w:gridSpan w:val="2"/>
          </w:tcPr>
          <w:p>
            <w:pPr>
              <w:jc w:val="right"/>
              <w:ind w:right="148"/>
              <w:spacing w:after="0"/>
              <w:rPr>
                <w:sz w:val="20"/>
                <w:szCs w:val="20"/>
                <w:color w:val="auto"/>
              </w:rPr>
            </w:pPr>
            <w:r>
              <w:rPr>
                <w:rFonts w:ascii="Arial" w:cs="Arial" w:eastAsia="Arial" w:hAnsi="Arial"/>
                <w:sz w:val="14"/>
                <w:szCs w:val="14"/>
                <w:color w:val="auto"/>
              </w:rPr>
              <w:t>15%</w:t>
            </w:r>
          </w:p>
        </w:tc>
        <w:tc>
          <w:tcPr>
            <w:tcW w:w="54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72,962</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15%</w:t>
            </w:r>
          </w:p>
        </w:tc>
        <w:tc>
          <w:tcPr>
            <w:tcW w:w="1140" w:type="dxa"/>
            <w:vAlign w:val="bottom"/>
            <w:gridSpan w:val="2"/>
          </w:tcPr>
          <w:p>
            <w:pPr>
              <w:jc w:val="right"/>
              <w:ind w:right="4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76"/>
        </w:trPr>
        <w:tc>
          <w:tcPr>
            <w:tcW w:w="5820" w:type="dxa"/>
            <w:vAlign w:val="bottom"/>
          </w:tcPr>
          <w:p>
            <w:pPr>
              <w:ind w:left="340"/>
              <w:spacing w:after="0"/>
              <w:rPr>
                <w:sz w:val="20"/>
                <w:szCs w:val="20"/>
                <w:color w:val="auto"/>
              </w:rPr>
            </w:pPr>
            <w:r>
              <w:rPr>
                <w:rFonts w:ascii="Arial" w:cs="Arial" w:eastAsia="Arial" w:hAnsi="Arial"/>
                <w:sz w:val="14"/>
                <w:szCs w:val="14"/>
                <w:color w:val="auto"/>
              </w:rPr>
              <w:t>Video, Imaging &amp; Sound</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68,114</w:t>
            </w:r>
          </w:p>
        </w:tc>
        <w:tc>
          <w:tcPr>
            <w:tcW w:w="140" w:type="dxa"/>
            <w:vAlign w:val="bottom"/>
          </w:tcPr>
          <w:p>
            <w:pPr>
              <w:spacing w:after="0"/>
              <w:rPr>
                <w:sz w:val="15"/>
                <w:szCs w:val="15"/>
                <w:color w:val="auto"/>
              </w:rPr>
            </w:pPr>
          </w:p>
        </w:tc>
        <w:tc>
          <w:tcPr>
            <w:tcW w:w="960" w:type="dxa"/>
            <w:vAlign w:val="bottom"/>
            <w:gridSpan w:val="2"/>
          </w:tcPr>
          <w:p>
            <w:pPr>
              <w:jc w:val="right"/>
              <w:ind w:right="268"/>
              <w:spacing w:after="0"/>
              <w:rPr>
                <w:sz w:val="20"/>
                <w:szCs w:val="20"/>
                <w:color w:val="auto"/>
              </w:rPr>
            </w:pPr>
            <w:r>
              <w:rPr>
                <w:rFonts w:ascii="Arial" w:cs="Arial" w:eastAsia="Arial" w:hAnsi="Arial"/>
                <w:sz w:val="14"/>
                <w:szCs w:val="14"/>
                <w:color w:val="auto"/>
              </w:rPr>
              <w:t>15</w:t>
            </w:r>
          </w:p>
        </w:tc>
        <w:tc>
          <w:tcPr>
            <w:tcW w:w="54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86,657</w:t>
            </w:r>
          </w:p>
        </w:tc>
        <w:tc>
          <w:tcPr>
            <w:tcW w:w="920" w:type="dxa"/>
            <w:vAlign w:val="bottom"/>
          </w:tcPr>
          <w:p>
            <w:pPr>
              <w:jc w:val="right"/>
              <w:ind w:right="268"/>
              <w:spacing w:after="0"/>
              <w:rPr>
                <w:sz w:val="20"/>
                <w:szCs w:val="20"/>
                <w:color w:val="auto"/>
              </w:rPr>
            </w:pPr>
            <w:r>
              <w:rPr>
                <w:rFonts w:ascii="Arial" w:cs="Arial" w:eastAsia="Arial" w:hAnsi="Arial"/>
                <w:sz w:val="14"/>
                <w:szCs w:val="14"/>
                <w:color w:val="auto"/>
              </w:rPr>
              <w:t>18</w:t>
            </w:r>
          </w:p>
        </w:tc>
        <w:tc>
          <w:tcPr>
            <w:tcW w:w="1140" w:type="dxa"/>
            <w:vAlign w:val="bottom"/>
            <w:gridSpan w:val="2"/>
          </w:tcPr>
          <w:p>
            <w:pPr>
              <w:jc w:val="right"/>
              <w:ind w:right="16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76"/>
        </w:trPr>
        <w:tc>
          <w:tcPr>
            <w:tcW w:w="5820" w:type="dxa"/>
            <w:vAlign w:val="bottom"/>
          </w:tcPr>
          <w:p>
            <w:pPr>
              <w:ind w:left="340"/>
              <w:spacing w:after="0"/>
              <w:rPr>
                <w:sz w:val="20"/>
                <w:szCs w:val="20"/>
                <w:color w:val="auto"/>
              </w:rPr>
            </w:pPr>
            <w:r>
              <w:rPr>
                <w:rFonts w:ascii="Arial" w:cs="Arial" w:eastAsia="Arial" w:hAnsi="Arial"/>
                <w:sz w:val="14"/>
                <w:szCs w:val="14"/>
                <w:color w:val="auto"/>
              </w:rPr>
              <w:t>Desktops/Servers</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53,736</w:t>
            </w:r>
          </w:p>
        </w:tc>
        <w:tc>
          <w:tcPr>
            <w:tcW w:w="960" w:type="dxa"/>
            <w:vAlign w:val="bottom"/>
            <w:gridSpan w:val="2"/>
          </w:tcPr>
          <w:p>
            <w:pPr>
              <w:jc w:val="right"/>
              <w:ind w:right="26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64,984</w:t>
            </w:r>
          </w:p>
        </w:tc>
        <w:tc>
          <w:tcPr>
            <w:tcW w:w="920" w:type="dxa"/>
            <w:vAlign w:val="bottom"/>
          </w:tcPr>
          <w:p>
            <w:pPr>
              <w:jc w:val="right"/>
              <w:ind w:right="268"/>
              <w:spacing w:after="0"/>
              <w:rPr>
                <w:sz w:val="20"/>
                <w:szCs w:val="20"/>
                <w:color w:val="auto"/>
              </w:rPr>
            </w:pPr>
            <w:r>
              <w:rPr>
                <w:rFonts w:ascii="Arial" w:cs="Arial" w:eastAsia="Arial" w:hAnsi="Arial"/>
                <w:sz w:val="14"/>
                <w:szCs w:val="14"/>
                <w:color w:val="auto"/>
              </w:rPr>
              <w:t>13</w:t>
            </w:r>
          </w:p>
        </w:tc>
        <w:tc>
          <w:tcPr>
            <w:tcW w:w="1140" w:type="dxa"/>
            <w:vAlign w:val="bottom"/>
            <w:gridSpan w:val="2"/>
          </w:tcPr>
          <w:p>
            <w:pPr>
              <w:jc w:val="right"/>
              <w:ind w:right="16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76"/>
        </w:trPr>
        <w:tc>
          <w:tcPr>
            <w:tcW w:w="5820" w:type="dxa"/>
            <w:vAlign w:val="bottom"/>
          </w:tcPr>
          <w:p>
            <w:pPr>
              <w:ind w:left="340"/>
              <w:spacing w:after="0"/>
              <w:rPr>
                <w:sz w:val="20"/>
                <w:szCs w:val="20"/>
                <w:color w:val="auto"/>
              </w:rPr>
            </w:pPr>
            <w:r>
              <w:rPr>
                <w:rFonts w:ascii="Arial" w:cs="Arial" w:eastAsia="Arial" w:hAnsi="Arial"/>
                <w:sz w:val="14"/>
                <w:szCs w:val="14"/>
                <w:color w:val="auto"/>
              </w:rPr>
              <w:t>Software</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56,102</w:t>
            </w:r>
          </w:p>
        </w:tc>
        <w:tc>
          <w:tcPr>
            <w:tcW w:w="960" w:type="dxa"/>
            <w:vAlign w:val="bottom"/>
            <w:gridSpan w:val="2"/>
          </w:tcPr>
          <w:p>
            <w:pPr>
              <w:jc w:val="right"/>
              <w:ind w:right="26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63,511</w:t>
            </w:r>
          </w:p>
        </w:tc>
        <w:tc>
          <w:tcPr>
            <w:tcW w:w="920" w:type="dxa"/>
            <w:vAlign w:val="bottom"/>
          </w:tcPr>
          <w:p>
            <w:pPr>
              <w:jc w:val="right"/>
              <w:ind w:right="268"/>
              <w:spacing w:after="0"/>
              <w:rPr>
                <w:sz w:val="20"/>
                <w:szCs w:val="20"/>
                <w:color w:val="auto"/>
              </w:rPr>
            </w:pPr>
            <w:r>
              <w:rPr>
                <w:rFonts w:ascii="Arial" w:cs="Arial" w:eastAsia="Arial" w:hAnsi="Arial"/>
                <w:sz w:val="14"/>
                <w:szCs w:val="14"/>
                <w:color w:val="auto"/>
              </w:rPr>
              <w:t>13</w:t>
            </w:r>
          </w:p>
        </w:tc>
        <w:tc>
          <w:tcPr>
            <w:tcW w:w="1140" w:type="dxa"/>
            <w:vAlign w:val="bottom"/>
            <w:gridSpan w:val="2"/>
          </w:tcPr>
          <w:p>
            <w:pPr>
              <w:jc w:val="right"/>
              <w:ind w:right="16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6"/>
        </w:trPr>
        <w:tc>
          <w:tcPr>
            <w:tcW w:w="5820" w:type="dxa"/>
            <w:vAlign w:val="bottom"/>
          </w:tcPr>
          <w:p>
            <w:pPr>
              <w:ind w:left="340"/>
              <w:spacing w:after="0"/>
              <w:rPr>
                <w:sz w:val="20"/>
                <w:szCs w:val="20"/>
                <w:color w:val="auto"/>
              </w:rPr>
            </w:pPr>
            <w:r>
              <w:rPr>
                <w:rFonts w:ascii="Arial" w:cs="Arial" w:eastAsia="Arial" w:hAnsi="Arial"/>
                <w:sz w:val="14"/>
                <w:szCs w:val="14"/>
                <w:color w:val="auto"/>
              </w:rPr>
              <w:t>Net/Com Products</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51,126</w:t>
            </w:r>
          </w:p>
        </w:tc>
        <w:tc>
          <w:tcPr>
            <w:tcW w:w="960" w:type="dxa"/>
            <w:vAlign w:val="bottom"/>
            <w:gridSpan w:val="2"/>
          </w:tcPr>
          <w:p>
            <w:pPr>
              <w:jc w:val="right"/>
              <w:ind w:right="26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41,281</w:t>
            </w:r>
          </w:p>
        </w:tc>
        <w:tc>
          <w:tcPr>
            <w:tcW w:w="920" w:type="dxa"/>
            <w:vAlign w:val="bottom"/>
          </w:tcPr>
          <w:p>
            <w:pPr>
              <w:jc w:val="right"/>
              <w:ind w:right="268"/>
              <w:spacing w:after="0"/>
              <w:rPr>
                <w:sz w:val="20"/>
                <w:szCs w:val="20"/>
                <w:color w:val="auto"/>
              </w:rPr>
            </w:pPr>
            <w:r>
              <w:rPr>
                <w:rFonts w:ascii="Arial" w:cs="Arial" w:eastAsia="Arial" w:hAnsi="Arial"/>
                <w:sz w:val="14"/>
                <w:szCs w:val="14"/>
                <w:color w:val="auto"/>
              </w:rPr>
              <w:t>9</w:t>
            </w:r>
          </w:p>
        </w:tc>
        <w:tc>
          <w:tcPr>
            <w:tcW w:w="1140" w:type="dxa"/>
            <w:vAlign w:val="bottom"/>
            <w:gridSpan w:val="2"/>
          </w:tcPr>
          <w:p>
            <w:pPr>
              <w:jc w:val="right"/>
              <w:ind w:right="20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76"/>
        </w:trPr>
        <w:tc>
          <w:tcPr>
            <w:tcW w:w="5820" w:type="dxa"/>
            <w:vAlign w:val="bottom"/>
          </w:tcPr>
          <w:p>
            <w:pPr>
              <w:ind w:left="340"/>
              <w:spacing w:after="0"/>
              <w:rPr>
                <w:sz w:val="20"/>
                <w:szCs w:val="20"/>
                <w:color w:val="auto"/>
              </w:rPr>
            </w:pPr>
            <w:r>
              <w:rPr>
                <w:rFonts w:ascii="Arial" w:cs="Arial" w:eastAsia="Arial" w:hAnsi="Arial"/>
                <w:sz w:val="14"/>
                <w:szCs w:val="14"/>
                <w:color w:val="auto"/>
              </w:rPr>
              <w:t>Storage Devices</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37,940</w:t>
            </w:r>
          </w:p>
        </w:tc>
        <w:tc>
          <w:tcPr>
            <w:tcW w:w="960" w:type="dxa"/>
            <w:vAlign w:val="bottom"/>
            <w:gridSpan w:val="2"/>
          </w:tcPr>
          <w:p>
            <w:pPr>
              <w:jc w:val="right"/>
              <w:ind w:right="26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45,383</w:t>
            </w:r>
          </w:p>
        </w:tc>
        <w:tc>
          <w:tcPr>
            <w:tcW w:w="920" w:type="dxa"/>
            <w:vAlign w:val="bottom"/>
          </w:tcPr>
          <w:p>
            <w:pPr>
              <w:jc w:val="right"/>
              <w:ind w:right="268"/>
              <w:spacing w:after="0"/>
              <w:rPr>
                <w:sz w:val="20"/>
                <w:szCs w:val="20"/>
                <w:color w:val="auto"/>
              </w:rPr>
            </w:pPr>
            <w:r>
              <w:rPr>
                <w:rFonts w:ascii="Arial" w:cs="Arial" w:eastAsia="Arial" w:hAnsi="Arial"/>
                <w:sz w:val="14"/>
                <w:szCs w:val="14"/>
                <w:color w:val="auto"/>
              </w:rPr>
              <w:t>9</w:t>
            </w:r>
          </w:p>
        </w:tc>
        <w:tc>
          <w:tcPr>
            <w:tcW w:w="1140" w:type="dxa"/>
            <w:vAlign w:val="bottom"/>
            <w:gridSpan w:val="2"/>
          </w:tcPr>
          <w:p>
            <w:pPr>
              <w:jc w:val="right"/>
              <w:ind w:right="16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76"/>
        </w:trPr>
        <w:tc>
          <w:tcPr>
            <w:tcW w:w="5820" w:type="dxa"/>
            <w:vAlign w:val="bottom"/>
          </w:tcPr>
          <w:p>
            <w:pPr>
              <w:ind w:left="340"/>
              <w:spacing w:after="0"/>
              <w:rPr>
                <w:sz w:val="20"/>
                <w:szCs w:val="20"/>
                <w:color w:val="auto"/>
              </w:rPr>
            </w:pPr>
            <w:r>
              <w:rPr>
                <w:rFonts w:ascii="Arial" w:cs="Arial" w:eastAsia="Arial" w:hAnsi="Arial"/>
                <w:sz w:val="14"/>
                <w:szCs w:val="14"/>
                <w:color w:val="auto"/>
              </w:rPr>
              <w:t>Printers &amp; Printer Supplies</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36,713</w:t>
            </w:r>
          </w:p>
        </w:tc>
        <w:tc>
          <w:tcPr>
            <w:tcW w:w="960" w:type="dxa"/>
            <w:vAlign w:val="bottom"/>
            <w:gridSpan w:val="2"/>
          </w:tcPr>
          <w:p>
            <w:pPr>
              <w:jc w:val="right"/>
              <w:ind w:right="26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44,118</w:t>
            </w:r>
          </w:p>
        </w:tc>
        <w:tc>
          <w:tcPr>
            <w:tcW w:w="920" w:type="dxa"/>
            <w:vAlign w:val="bottom"/>
          </w:tcPr>
          <w:p>
            <w:pPr>
              <w:jc w:val="right"/>
              <w:ind w:right="268"/>
              <w:spacing w:after="0"/>
              <w:rPr>
                <w:sz w:val="20"/>
                <w:szCs w:val="20"/>
                <w:color w:val="auto"/>
              </w:rPr>
            </w:pPr>
            <w:r>
              <w:rPr>
                <w:rFonts w:ascii="Arial" w:cs="Arial" w:eastAsia="Arial" w:hAnsi="Arial"/>
                <w:sz w:val="14"/>
                <w:szCs w:val="14"/>
                <w:color w:val="auto"/>
              </w:rPr>
              <w:t>9</w:t>
            </w:r>
          </w:p>
        </w:tc>
        <w:tc>
          <w:tcPr>
            <w:tcW w:w="1140" w:type="dxa"/>
            <w:vAlign w:val="bottom"/>
            <w:gridSpan w:val="2"/>
          </w:tcPr>
          <w:p>
            <w:pPr>
              <w:jc w:val="right"/>
              <w:ind w:right="16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76"/>
        </w:trPr>
        <w:tc>
          <w:tcPr>
            <w:tcW w:w="5820" w:type="dxa"/>
            <w:vAlign w:val="bottom"/>
          </w:tcPr>
          <w:p>
            <w:pPr>
              <w:ind w:left="340"/>
              <w:spacing w:after="0"/>
              <w:rPr>
                <w:sz w:val="20"/>
                <w:szCs w:val="20"/>
                <w:color w:val="auto"/>
              </w:rPr>
            </w:pPr>
            <w:r>
              <w:rPr>
                <w:rFonts w:ascii="Arial" w:cs="Arial" w:eastAsia="Arial" w:hAnsi="Arial"/>
                <w:sz w:val="14"/>
                <w:szCs w:val="14"/>
                <w:color w:val="auto"/>
              </w:rPr>
              <w:t>Memory &amp; System Enhancements</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16,741</w:t>
            </w:r>
          </w:p>
        </w:tc>
        <w:tc>
          <w:tcPr>
            <w:tcW w:w="960" w:type="dxa"/>
            <w:vAlign w:val="bottom"/>
            <w:gridSpan w:val="2"/>
          </w:tcPr>
          <w:p>
            <w:pPr>
              <w:jc w:val="right"/>
              <w:ind w:right="26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20,525</w:t>
            </w:r>
          </w:p>
        </w:tc>
        <w:tc>
          <w:tcPr>
            <w:tcW w:w="920" w:type="dxa"/>
            <w:vAlign w:val="bottom"/>
          </w:tcPr>
          <w:p>
            <w:pPr>
              <w:jc w:val="right"/>
              <w:ind w:right="268"/>
              <w:spacing w:after="0"/>
              <w:rPr>
                <w:sz w:val="20"/>
                <w:szCs w:val="20"/>
                <w:color w:val="auto"/>
              </w:rPr>
            </w:pPr>
            <w:r>
              <w:rPr>
                <w:rFonts w:ascii="Arial" w:cs="Arial" w:eastAsia="Arial" w:hAnsi="Arial"/>
                <w:sz w:val="14"/>
                <w:szCs w:val="14"/>
                <w:color w:val="auto"/>
              </w:rPr>
              <w:t>4</w:t>
            </w:r>
          </w:p>
        </w:tc>
        <w:tc>
          <w:tcPr>
            <w:tcW w:w="1140" w:type="dxa"/>
            <w:vAlign w:val="bottom"/>
            <w:gridSpan w:val="2"/>
          </w:tcPr>
          <w:p>
            <w:pPr>
              <w:jc w:val="right"/>
              <w:ind w:right="16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1"/>
        </w:trPr>
        <w:tc>
          <w:tcPr>
            <w:tcW w:w="5820" w:type="dxa"/>
            <w:vAlign w:val="bottom"/>
          </w:tcPr>
          <w:p>
            <w:pPr>
              <w:ind w:left="340"/>
              <w:spacing w:after="0"/>
              <w:rPr>
                <w:sz w:val="20"/>
                <w:szCs w:val="20"/>
                <w:color w:val="auto"/>
              </w:rPr>
            </w:pPr>
            <w:r>
              <w:rPr>
                <w:rFonts w:ascii="Arial" w:cs="Arial" w:eastAsia="Arial" w:hAnsi="Arial"/>
                <w:sz w:val="14"/>
                <w:szCs w:val="14"/>
                <w:color w:val="auto"/>
              </w:rPr>
              <w:t>Accessories/Other</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52,088</w:t>
            </w:r>
          </w:p>
        </w:tc>
        <w:tc>
          <w:tcPr>
            <w:tcW w:w="960" w:type="dxa"/>
            <w:vAlign w:val="bottom"/>
            <w:gridSpan w:val="2"/>
          </w:tcPr>
          <w:p>
            <w:pPr>
              <w:jc w:val="right"/>
              <w:ind w:right="26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50,186</w:t>
            </w:r>
          </w:p>
        </w:tc>
        <w:tc>
          <w:tcPr>
            <w:tcW w:w="920" w:type="dxa"/>
            <w:vAlign w:val="bottom"/>
          </w:tcPr>
          <w:p>
            <w:pPr>
              <w:jc w:val="right"/>
              <w:ind w:right="268"/>
              <w:spacing w:after="0"/>
              <w:rPr>
                <w:sz w:val="20"/>
                <w:szCs w:val="20"/>
                <w:color w:val="auto"/>
              </w:rPr>
            </w:pPr>
            <w:r>
              <w:rPr>
                <w:rFonts w:ascii="Arial" w:cs="Arial" w:eastAsia="Arial" w:hAnsi="Arial"/>
                <w:sz w:val="14"/>
                <w:szCs w:val="14"/>
                <w:color w:val="auto"/>
              </w:rPr>
              <w:t>10</w:t>
            </w:r>
          </w:p>
        </w:tc>
        <w:tc>
          <w:tcPr>
            <w:tcW w:w="1140" w:type="dxa"/>
            <w:vAlign w:val="bottom"/>
            <w:gridSpan w:val="2"/>
          </w:tcPr>
          <w:p>
            <w:pPr>
              <w:jc w:val="right"/>
              <w:ind w:right="20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9"/>
        </w:trPr>
        <w:tc>
          <w:tcPr>
            <w:tcW w:w="5820" w:type="dxa"/>
            <w:vAlign w:val="bottom"/>
          </w:tcPr>
          <w:p>
            <w:pPr>
              <w:ind w:left="34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center"/>
              <w:ind w:right="1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439,113</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gridSpan w:val="2"/>
          </w:tcPr>
          <w:p>
            <w:pPr>
              <w:jc w:val="right"/>
              <w:ind w:right="32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489,607</w:t>
            </w:r>
          </w:p>
        </w:tc>
        <w:tc>
          <w:tcPr>
            <w:tcW w:w="18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100%</w:t>
            </w:r>
          </w:p>
        </w:tc>
        <w:tc>
          <w:tcPr>
            <w:tcW w:w="1140" w:type="dxa"/>
            <w:vAlign w:val="bottom"/>
            <w:gridSpan w:val="2"/>
          </w:tcPr>
          <w:p>
            <w:pPr>
              <w:jc w:val="right"/>
              <w:ind w:right="4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4"/>
                <w:szCs w:val="14"/>
                <w:b w:val="1"/>
                <w:bCs w:val="1"/>
                <w:color w:val="auto"/>
                <w:w w:val="93"/>
              </w:rPr>
              <w:t>Net Sales of Enterprise Server and Networking Products (included in the above Product Mix):</w:t>
            </w: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58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820" w:type="dxa"/>
            <w:vAlign w:val="bottom"/>
          </w:tcPr>
          <w:p>
            <w:pPr>
              <w:spacing w:after="0"/>
              <w:rPr>
                <w:sz w:val="24"/>
                <w:szCs w:val="24"/>
                <w:color w:val="auto"/>
              </w:rPr>
            </w:pP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164,140</w:t>
            </w:r>
          </w:p>
        </w:tc>
        <w:tc>
          <w:tcPr>
            <w:tcW w:w="960" w:type="dxa"/>
            <w:vAlign w:val="bottom"/>
            <w:gridSpan w:val="2"/>
          </w:tcPr>
          <w:p>
            <w:pPr>
              <w:jc w:val="right"/>
              <w:ind w:right="148"/>
              <w:spacing w:after="0"/>
              <w:rPr>
                <w:sz w:val="20"/>
                <w:szCs w:val="20"/>
                <w:color w:val="auto"/>
              </w:rPr>
            </w:pPr>
            <w:r>
              <w:rPr>
                <w:rFonts w:ascii="Arial" w:cs="Arial" w:eastAsia="Arial" w:hAnsi="Arial"/>
                <w:sz w:val="14"/>
                <w:szCs w:val="14"/>
                <w:color w:val="auto"/>
              </w:rPr>
              <w:t>37%</w:t>
            </w:r>
          </w:p>
        </w:tc>
        <w:tc>
          <w:tcPr>
            <w:tcW w:w="54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164,922</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34%</w:t>
            </w:r>
          </w:p>
        </w:tc>
        <w:tc>
          <w:tcPr>
            <w:tcW w:w="114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4"/>
                <w:szCs w:val="14"/>
                <w:b w:val="1"/>
                <w:bCs w:val="1"/>
                <w:color w:val="auto"/>
              </w:rPr>
              <w:t>Stock Performance Indicators:</w:t>
            </w: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58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820" w:type="dxa"/>
            <w:vAlign w:val="bottom"/>
          </w:tcPr>
          <w:p>
            <w:pPr>
              <w:ind w:left="340"/>
              <w:spacing w:after="0"/>
              <w:rPr>
                <w:sz w:val="20"/>
                <w:szCs w:val="20"/>
                <w:color w:val="auto"/>
              </w:rPr>
            </w:pPr>
            <w:r>
              <w:rPr>
                <w:rFonts w:ascii="Arial" w:cs="Arial" w:eastAsia="Arial" w:hAnsi="Arial"/>
                <w:sz w:val="14"/>
                <w:szCs w:val="14"/>
                <w:color w:val="auto"/>
              </w:rPr>
              <w:t>Actual shares outstanding</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26,829</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26,892</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20" w:type="dxa"/>
            <w:vAlign w:val="bottom"/>
          </w:tcPr>
          <w:p>
            <w:pPr>
              <w:ind w:left="340"/>
              <w:spacing w:after="0"/>
              <w:rPr>
                <w:sz w:val="20"/>
                <w:szCs w:val="20"/>
                <w:color w:val="auto"/>
              </w:rPr>
            </w:pPr>
            <w:r>
              <w:rPr>
                <w:rFonts w:ascii="Arial" w:cs="Arial" w:eastAsia="Arial" w:hAnsi="Arial"/>
                <w:sz w:val="14"/>
                <w:szCs w:val="14"/>
                <w:color w:val="auto"/>
              </w:rPr>
              <w:t>Total book value per share</w:t>
            </w: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8.94</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8.34</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20" w:type="dxa"/>
            <w:vAlign w:val="bottom"/>
          </w:tcPr>
          <w:p>
            <w:pPr>
              <w:ind w:left="340"/>
              <w:spacing w:after="0"/>
              <w:rPr>
                <w:sz w:val="20"/>
                <w:szCs w:val="20"/>
                <w:color w:val="auto"/>
              </w:rPr>
            </w:pPr>
            <w:r>
              <w:rPr>
                <w:rFonts w:ascii="Arial" w:cs="Arial" w:eastAsia="Arial" w:hAnsi="Arial"/>
                <w:sz w:val="14"/>
                <w:szCs w:val="14"/>
                <w:color w:val="auto"/>
              </w:rPr>
              <w:t>Tangible book value per share</w:t>
            </w: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6.79</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6.10</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20" w:type="dxa"/>
            <w:vAlign w:val="bottom"/>
          </w:tcPr>
          <w:p>
            <w:pPr>
              <w:ind w:left="340"/>
              <w:spacing w:after="0"/>
              <w:rPr>
                <w:sz w:val="20"/>
                <w:szCs w:val="20"/>
                <w:color w:val="auto"/>
              </w:rPr>
            </w:pPr>
            <w:r>
              <w:rPr>
                <w:rFonts w:ascii="Arial" w:cs="Arial" w:eastAsia="Arial" w:hAnsi="Arial"/>
                <w:sz w:val="14"/>
                <w:szCs w:val="14"/>
                <w:color w:val="auto"/>
              </w:rPr>
              <w:t>Closing price</w:t>
            </w: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5.12</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11.35</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820" w:type="dxa"/>
            <w:vAlign w:val="bottom"/>
          </w:tcPr>
          <w:p>
            <w:pPr>
              <w:ind w:left="340"/>
              <w:spacing w:after="0"/>
              <w:rPr>
                <w:sz w:val="20"/>
                <w:szCs w:val="20"/>
                <w:color w:val="auto"/>
              </w:rPr>
            </w:pPr>
            <w:r>
              <w:rPr>
                <w:rFonts w:ascii="Arial" w:cs="Arial" w:eastAsia="Arial" w:hAnsi="Arial"/>
                <w:sz w:val="14"/>
                <w:szCs w:val="14"/>
                <w:color w:val="auto"/>
              </w:rPr>
              <w:t>Market capitalization</w:t>
            </w: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137,364</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305,224</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5820" w:type="dxa"/>
            <w:vAlign w:val="bottom"/>
          </w:tcPr>
          <w:p>
            <w:pPr>
              <w:ind w:left="340"/>
              <w:spacing w:after="0"/>
              <w:rPr>
                <w:sz w:val="20"/>
                <w:szCs w:val="20"/>
                <w:color w:val="auto"/>
              </w:rPr>
            </w:pPr>
            <w:r>
              <w:rPr>
                <w:rFonts w:ascii="Arial" w:cs="Arial" w:eastAsia="Arial" w:hAnsi="Arial"/>
                <w:sz w:val="14"/>
                <w:szCs w:val="14"/>
                <w:color w:val="auto"/>
              </w:rPr>
              <w:t xml:space="preserve">Trailing price/earnings ratio </w:t>
            </w:r>
            <w:r>
              <w:rPr>
                <w:rFonts w:ascii="Arial" w:cs="Arial" w:eastAsia="Arial" w:hAnsi="Arial"/>
                <w:sz w:val="23"/>
                <w:szCs w:val="23"/>
                <w:color w:val="auto"/>
                <w:vertAlign w:val="superscript"/>
              </w:rPr>
              <w:t>(3)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13</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820" w:type="dxa"/>
            <w:vAlign w:val="bottom"/>
          </w:tcPr>
          <w:p>
            <w:pPr>
              <w:ind w:left="80"/>
              <w:spacing w:after="0"/>
              <w:rPr>
                <w:sz w:val="20"/>
                <w:szCs w:val="20"/>
                <w:color w:val="auto"/>
              </w:rPr>
            </w:pPr>
            <w:r>
              <w:rPr>
                <w:rFonts w:ascii="Arial" w:cs="Arial" w:eastAsia="Arial" w:hAnsi="Arial"/>
                <w:sz w:val="14"/>
                <w:szCs w:val="14"/>
                <w:color w:val="auto"/>
              </w:rPr>
              <w:t>(1) Annualized</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820" w:type="dxa"/>
            <w:vAlign w:val="bottom"/>
          </w:tcPr>
          <w:p>
            <w:pPr>
              <w:ind w:left="80"/>
              <w:spacing w:after="0"/>
              <w:rPr>
                <w:sz w:val="20"/>
                <w:szCs w:val="20"/>
                <w:color w:val="auto"/>
              </w:rPr>
            </w:pPr>
            <w:r>
              <w:rPr>
                <w:rFonts w:ascii="Arial" w:cs="Arial" w:eastAsia="Arial" w:hAnsi="Arial"/>
                <w:sz w:val="14"/>
                <w:szCs w:val="14"/>
                <w:color w:val="auto"/>
              </w:rPr>
              <w:t>(2) Does not reflect cancellations or returns</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820" w:type="dxa"/>
            <w:vAlign w:val="bottom"/>
          </w:tcPr>
          <w:p>
            <w:pPr>
              <w:ind w:left="80"/>
              <w:spacing w:after="0"/>
              <w:rPr>
                <w:sz w:val="20"/>
                <w:szCs w:val="20"/>
                <w:color w:val="auto"/>
              </w:rPr>
            </w:pPr>
            <w:r>
              <w:rPr>
                <w:rFonts w:ascii="Arial" w:cs="Arial" w:eastAsia="Arial" w:hAnsi="Arial"/>
                <w:sz w:val="14"/>
                <w:szCs w:val="14"/>
                <w:color w:val="auto"/>
              </w:rPr>
              <w:t>(3) Earnings is based on the last four quarters</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0"/>
        </w:trPr>
        <w:tc>
          <w:tcPr>
            <w:tcW w:w="5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SELECTED SEGMENT INFORMATION</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Three Months Ended December 31,</w:t>
            </w: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2008</w:t>
            </w:r>
          </w:p>
        </w:tc>
        <w:tc>
          <w:tcPr>
            <w:tcW w:w="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820" w:type="dxa"/>
            <w:vAlign w:val="bottom"/>
          </w:tcPr>
          <w:p>
            <w:pPr>
              <w:spacing w:after="0"/>
              <w:rPr>
                <w:sz w:val="13"/>
                <w:szCs w:val="13"/>
                <w:color w:val="auto"/>
              </w:rPr>
            </w:pPr>
          </w:p>
        </w:tc>
        <w:tc>
          <w:tcPr>
            <w:tcW w:w="46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88"/>
              </w:rPr>
              <w:t>Net</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jc w:val="right"/>
              <w:ind w:right="308"/>
              <w:spacing w:after="0" w:line="160"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gridSpan w:val="2"/>
          </w:tcPr>
          <w:p>
            <w:pPr>
              <w:jc w:val="right"/>
              <w:ind w:right="120"/>
              <w:spacing w:after="0" w:line="160" w:lineRule="exact"/>
              <w:rPr>
                <w:sz w:val="20"/>
                <w:szCs w:val="20"/>
                <w:color w:val="auto"/>
              </w:rPr>
            </w:pPr>
            <w:r>
              <w:rPr>
                <w:rFonts w:ascii="Arial" w:cs="Arial" w:eastAsia="Arial" w:hAnsi="Arial"/>
                <w:sz w:val="14"/>
                <w:szCs w:val="14"/>
                <w:b w:val="1"/>
                <w:bCs w:val="1"/>
                <w:color w:val="auto"/>
              </w:rPr>
              <w:t>Net</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508"/>
              <w:spacing w:after="0" w:line="160" w:lineRule="exact"/>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85"/>
        </w:trPr>
        <w:tc>
          <w:tcPr>
            <w:tcW w:w="5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460" w:type="dxa"/>
            <w:vAlign w:val="bottom"/>
            <w:tcBorders>
              <w:bottom w:val="single" w:sz="8" w:color="auto"/>
            </w:tcBorders>
            <w:gridSpan w:val="2"/>
          </w:tcPr>
          <w:p>
            <w:pPr>
              <w:jc w:val="center"/>
              <w:ind w:right="8"/>
              <w:spacing w:after="0"/>
              <w:rPr>
                <w:sz w:val="20"/>
                <w:szCs w:val="20"/>
                <w:color w:val="auto"/>
              </w:rPr>
            </w:pPr>
            <w:r>
              <w:rPr>
                <w:rFonts w:ascii="Arial" w:cs="Arial" w:eastAsia="Arial" w:hAnsi="Arial"/>
                <w:sz w:val="14"/>
                <w:szCs w:val="14"/>
                <w:b w:val="1"/>
                <w:bCs w:val="1"/>
                <w:color w:val="auto"/>
                <w:w w:val="81"/>
              </w:rPr>
              <w:t>Sales</w:t>
            </w: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Margin (%)</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Sales</w:t>
            </w:r>
          </w:p>
        </w:tc>
        <w:tc>
          <w:tcPr>
            <w:tcW w:w="9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328"/>
              <w:spacing w:after="0"/>
              <w:rPr>
                <w:sz w:val="20"/>
                <w:szCs w:val="20"/>
                <w:color w:val="auto"/>
              </w:rPr>
            </w:pPr>
            <w:r>
              <w:rPr>
                <w:rFonts w:ascii="Arial" w:cs="Arial" w:eastAsia="Arial" w:hAnsi="Arial"/>
                <w:sz w:val="14"/>
                <w:szCs w:val="14"/>
                <w:b w:val="1"/>
                <w:bCs w:val="1"/>
                <w:color w:val="auto"/>
              </w:rPr>
              <w:t>Margin (%)</w:t>
            </w:r>
          </w:p>
        </w:tc>
        <w:tc>
          <w:tcPr>
            <w:tcW w:w="0" w:type="dxa"/>
            <w:vAlign w:val="bottom"/>
          </w:tcPr>
          <w:p>
            <w:pPr>
              <w:spacing w:after="0"/>
              <w:rPr>
                <w:sz w:val="1"/>
                <w:szCs w:val="1"/>
                <w:color w:val="auto"/>
              </w:rPr>
            </w:pPr>
          </w:p>
        </w:tc>
      </w:tr>
    </w:tbl>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00" w:type="dxa"/>
            <w:vAlign w:val="bottom"/>
          </w:tcPr>
          <w:p>
            <w:pPr>
              <w:spacing w:after="0"/>
              <w:rPr>
                <w:sz w:val="20"/>
                <w:szCs w:val="20"/>
                <w:color w:val="auto"/>
              </w:rPr>
            </w:pPr>
            <w:r>
              <w:rPr>
                <w:rFonts w:ascii="Arial" w:cs="Arial" w:eastAsia="Arial" w:hAnsi="Arial"/>
                <w:sz w:val="14"/>
                <w:szCs w:val="14"/>
                <w:color w:val="auto"/>
              </w:rPr>
              <w:t>PC Connection Sales Corporation (SMB)</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4"/>
                <w:szCs w:val="14"/>
                <w:color w:val="auto"/>
              </w:rPr>
              <w:t>225,069</w:t>
            </w:r>
          </w:p>
        </w:tc>
        <w:tc>
          <w:tcPr>
            <w:tcW w:w="1560" w:type="dxa"/>
            <w:vAlign w:val="bottom"/>
          </w:tcPr>
          <w:p>
            <w:pPr>
              <w:jc w:val="right"/>
              <w:ind w:right="628"/>
              <w:spacing w:after="0"/>
              <w:rPr>
                <w:sz w:val="20"/>
                <w:szCs w:val="20"/>
                <w:color w:val="auto"/>
              </w:rPr>
            </w:pPr>
            <w:r>
              <w:rPr>
                <w:rFonts w:ascii="Arial" w:cs="Arial" w:eastAsia="Arial" w:hAnsi="Arial"/>
                <w:sz w:val="14"/>
                <w:szCs w:val="14"/>
                <w:color w:val="auto"/>
              </w:rPr>
              <w:t>13.6%</w:t>
            </w:r>
          </w:p>
        </w:tc>
        <w:tc>
          <w:tcPr>
            <w:tcW w:w="3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520"/>
              <w:spacing w:after="0"/>
              <w:rPr>
                <w:sz w:val="20"/>
                <w:szCs w:val="20"/>
                <w:color w:val="auto"/>
              </w:rPr>
            </w:pPr>
            <w:r>
              <w:rPr>
                <w:rFonts w:ascii="Arial" w:cs="Arial" w:eastAsia="Arial" w:hAnsi="Arial"/>
                <w:sz w:val="14"/>
                <w:szCs w:val="14"/>
                <w:color w:val="auto"/>
              </w:rPr>
              <w:t>263,785</w:t>
            </w:r>
          </w:p>
        </w:tc>
        <w:tc>
          <w:tcPr>
            <w:tcW w:w="1240" w:type="dxa"/>
            <w:vAlign w:val="bottom"/>
          </w:tcPr>
          <w:p>
            <w:pPr>
              <w:ind w:left="500"/>
              <w:spacing w:after="0"/>
              <w:rPr>
                <w:sz w:val="20"/>
                <w:szCs w:val="20"/>
                <w:color w:val="auto"/>
              </w:rPr>
            </w:pPr>
            <w:r>
              <w:rPr>
                <w:rFonts w:ascii="Arial" w:cs="Arial" w:eastAsia="Arial" w:hAnsi="Arial"/>
                <w:sz w:val="14"/>
                <w:szCs w:val="14"/>
                <w:color w:val="auto"/>
              </w:rPr>
              <w:t>12.6%</w:t>
            </w:r>
          </w:p>
        </w:tc>
      </w:tr>
      <w:tr>
        <w:trPr>
          <w:trHeight w:val="176"/>
        </w:trPr>
        <w:tc>
          <w:tcPr>
            <w:tcW w:w="5500" w:type="dxa"/>
            <w:vAlign w:val="bottom"/>
          </w:tcPr>
          <w:p>
            <w:pPr>
              <w:spacing w:after="0"/>
              <w:rPr>
                <w:sz w:val="20"/>
                <w:szCs w:val="20"/>
                <w:color w:val="auto"/>
              </w:rPr>
            </w:pPr>
            <w:r>
              <w:rPr>
                <w:rFonts w:ascii="Arial" w:cs="Arial" w:eastAsia="Arial" w:hAnsi="Arial"/>
                <w:sz w:val="14"/>
                <w:szCs w:val="14"/>
                <w:color w:val="auto"/>
              </w:rPr>
              <w:t>MoreDirect (Large Account)</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113,422</w:t>
            </w:r>
          </w:p>
        </w:tc>
        <w:tc>
          <w:tcPr>
            <w:tcW w:w="500" w:type="dxa"/>
            <w:vAlign w:val="bottom"/>
          </w:tcPr>
          <w:p>
            <w:pPr>
              <w:spacing w:after="0"/>
              <w:rPr>
                <w:sz w:val="15"/>
                <w:szCs w:val="15"/>
                <w:color w:val="auto"/>
              </w:rPr>
            </w:pPr>
          </w:p>
        </w:tc>
        <w:tc>
          <w:tcPr>
            <w:tcW w:w="1560" w:type="dxa"/>
            <w:vAlign w:val="bottom"/>
          </w:tcPr>
          <w:p>
            <w:pPr>
              <w:jc w:val="right"/>
              <w:ind w:right="748"/>
              <w:spacing w:after="0"/>
              <w:rPr>
                <w:sz w:val="20"/>
                <w:szCs w:val="20"/>
                <w:color w:val="auto"/>
              </w:rPr>
            </w:pPr>
            <w:r>
              <w:rPr>
                <w:rFonts w:ascii="Arial" w:cs="Arial" w:eastAsia="Arial" w:hAnsi="Arial"/>
                <w:sz w:val="14"/>
                <w:szCs w:val="14"/>
                <w:color w:val="auto"/>
              </w:rPr>
              <w:t>10.4</w:t>
            </w:r>
          </w:p>
        </w:tc>
        <w:tc>
          <w:tcPr>
            <w:tcW w:w="380" w:type="dxa"/>
            <w:vAlign w:val="bottom"/>
          </w:tcPr>
          <w:p>
            <w:pPr>
              <w:spacing w:after="0"/>
              <w:rPr>
                <w:sz w:val="15"/>
                <w:szCs w:val="15"/>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color w:val="auto"/>
              </w:rPr>
              <w:t>140,826</w:t>
            </w:r>
          </w:p>
        </w:tc>
        <w:tc>
          <w:tcPr>
            <w:tcW w:w="1240" w:type="dxa"/>
            <w:vAlign w:val="bottom"/>
          </w:tcPr>
          <w:p>
            <w:pPr>
              <w:ind w:left="500"/>
              <w:spacing w:after="0"/>
              <w:rPr>
                <w:sz w:val="20"/>
                <w:szCs w:val="20"/>
                <w:color w:val="auto"/>
              </w:rPr>
            </w:pPr>
            <w:r>
              <w:rPr>
                <w:rFonts w:ascii="Arial" w:cs="Arial" w:eastAsia="Arial" w:hAnsi="Arial"/>
                <w:sz w:val="14"/>
                <w:szCs w:val="14"/>
                <w:color w:val="auto"/>
              </w:rPr>
              <w:t>11.0</w:t>
            </w:r>
          </w:p>
        </w:tc>
      </w:tr>
      <w:tr>
        <w:trPr>
          <w:trHeight w:val="181"/>
        </w:trPr>
        <w:tc>
          <w:tcPr>
            <w:tcW w:w="5500" w:type="dxa"/>
            <w:vAlign w:val="bottom"/>
          </w:tcPr>
          <w:p>
            <w:pPr>
              <w:spacing w:after="0"/>
              <w:rPr>
                <w:sz w:val="20"/>
                <w:szCs w:val="20"/>
                <w:color w:val="auto"/>
              </w:rPr>
            </w:pPr>
            <w:r>
              <w:rPr>
                <w:rFonts w:ascii="Arial" w:cs="Arial" w:eastAsia="Arial" w:hAnsi="Arial"/>
                <w:sz w:val="14"/>
                <w:szCs w:val="14"/>
                <w:color w:val="auto"/>
              </w:rPr>
              <w:t>GovConnection (Public Sector)</w:t>
            </w:r>
          </w:p>
        </w:tc>
        <w:tc>
          <w:tcPr>
            <w:tcW w:w="360" w:type="dxa"/>
            <w:vAlign w:val="bottom"/>
          </w:tcPr>
          <w:p>
            <w:pPr>
              <w:spacing w:after="0"/>
              <w:rPr>
                <w:sz w:val="15"/>
                <w:szCs w:val="15"/>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color w:val="auto"/>
              </w:rPr>
              <w:t>100,622</w:t>
            </w:r>
          </w:p>
        </w:tc>
        <w:tc>
          <w:tcPr>
            <w:tcW w:w="1560" w:type="dxa"/>
            <w:vAlign w:val="bottom"/>
          </w:tcPr>
          <w:p>
            <w:pPr>
              <w:jc w:val="right"/>
              <w:ind w:right="748"/>
              <w:spacing w:after="0"/>
              <w:rPr>
                <w:sz w:val="20"/>
                <w:szCs w:val="20"/>
                <w:color w:val="auto"/>
              </w:rPr>
            </w:pPr>
            <w:r>
              <w:rPr>
                <w:rFonts w:ascii="Arial" w:cs="Arial" w:eastAsia="Arial" w:hAnsi="Arial"/>
                <w:sz w:val="14"/>
                <w:szCs w:val="14"/>
                <w:color w:val="auto"/>
              </w:rPr>
              <w:t>9.5</w:t>
            </w:r>
          </w:p>
        </w:tc>
        <w:tc>
          <w:tcPr>
            <w:tcW w:w="380" w:type="dxa"/>
            <w:vAlign w:val="bottom"/>
          </w:tcPr>
          <w:p>
            <w:pPr>
              <w:spacing w:after="0"/>
              <w:rPr>
                <w:sz w:val="15"/>
                <w:szCs w:val="15"/>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color w:val="auto"/>
              </w:rPr>
              <w:t>84,996</w:t>
            </w:r>
          </w:p>
        </w:tc>
        <w:tc>
          <w:tcPr>
            <w:tcW w:w="1240" w:type="dxa"/>
            <w:vAlign w:val="bottom"/>
          </w:tcPr>
          <w:p>
            <w:pPr>
              <w:ind w:left="500"/>
              <w:spacing w:after="0"/>
              <w:rPr>
                <w:sz w:val="20"/>
                <w:szCs w:val="20"/>
                <w:color w:val="auto"/>
              </w:rPr>
            </w:pPr>
            <w:r>
              <w:rPr>
                <w:rFonts w:ascii="Arial" w:cs="Arial" w:eastAsia="Arial" w:hAnsi="Arial"/>
                <w:sz w:val="14"/>
                <w:szCs w:val="14"/>
                <w:color w:val="auto"/>
              </w:rPr>
              <w:t>10.3</w:t>
            </w:r>
          </w:p>
        </w:tc>
      </w:tr>
      <w:tr>
        <w:trPr>
          <w:trHeight w:val="169"/>
        </w:trPr>
        <w:tc>
          <w:tcPr>
            <w:tcW w:w="5500" w:type="dxa"/>
            <w:vAlign w:val="bottom"/>
          </w:tcPr>
          <w:p>
            <w:pPr>
              <w:spacing w:after="0"/>
              <w:rPr>
                <w:sz w:val="20"/>
                <w:szCs w:val="20"/>
                <w:color w:val="auto"/>
              </w:rPr>
            </w:pPr>
            <w:r>
              <w:rPr>
                <w:rFonts w:ascii="Arial" w:cs="Arial" w:eastAsia="Arial" w:hAnsi="Arial"/>
                <w:sz w:val="14"/>
                <w:szCs w:val="14"/>
                <w:color w:val="auto"/>
              </w:rPr>
              <w:t>Total</w:t>
            </w:r>
          </w:p>
        </w:tc>
        <w:tc>
          <w:tcPr>
            <w:tcW w:w="36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439,113</w:t>
            </w:r>
          </w:p>
        </w:tc>
        <w:tc>
          <w:tcPr>
            <w:tcW w:w="500" w:type="dxa"/>
            <w:vAlign w:val="bottom"/>
          </w:tcPr>
          <w:p>
            <w:pPr>
              <w:spacing w:after="0"/>
              <w:rPr>
                <w:sz w:val="14"/>
                <w:szCs w:val="14"/>
                <w:color w:val="auto"/>
              </w:rPr>
            </w:pPr>
          </w:p>
        </w:tc>
        <w:tc>
          <w:tcPr>
            <w:tcW w:w="1560" w:type="dxa"/>
            <w:vAlign w:val="bottom"/>
          </w:tcPr>
          <w:p>
            <w:pPr>
              <w:jc w:val="right"/>
              <w:ind w:right="628"/>
              <w:spacing w:after="0"/>
              <w:rPr>
                <w:sz w:val="20"/>
                <w:szCs w:val="20"/>
                <w:color w:val="auto"/>
              </w:rPr>
            </w:pPr>
            <w:r>
              <w:rPr>
                <w:rFonts w:ascii="Arial" w:cs="Arial" w:eastAsia="Arial" w:hAnsi="Arial"/>
                <w:sz w:val="14"/>
                <w:szCs w:val="14"/>
                <w:color w:val="auto"/>
              </w:rPr>
              <w:t>11.8%</w:t>
            </w:r>
          </w:p>
        </w:tc>
        <w:tc>
          <w:tcPr>
            <w:tcW w:w="38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489,607</w:t>
            </w:r>
          </w:p>
        </w:tc>
        <w:tc>
          <w:tcPr>
            <w:tcW w:w="520" w:type="dxa"/>
            <w:vAlign w:val="bottom"/>
          </w:tcPr>
          <w:p>
            <w:pPr>
              <w:spacing w:after="0"/>
              <w:rPr>
                <w:sz w:val="14"/>
                <w:szCs w:val="14"/>
                <w:color w:val="auto"/>
              </w:rPr>
            </w:pPr>
          </w:p>
        </w:tc>
        <w:tc>
          <w:tcPr>
            <w:tcW w:w="1240" w:type="dxa"/>
            <w:vAlign w:val="bottom"/>
          </w:tcPr>
          <w:p>
            <w:pPr>
              <w:ind w:left="500"/>
              <w:spacing w:after="0"/>
              <w:rPr>
                <w:sz w:val="20"/>
                <w:szCs w:val="20"/>
                <w:color w:val="auto"/>
              </w:rPr>
            </w:pPr>
            <w:r>
              <w:rPr>
                <w:rFonts w:ascii="Arial" w:cs="Arial" w:eastAsia="Arial" w:hAnsi="Arial"/>
                <w:sz w:val="14"/>
                <w:szCs w:val="14"/>
                <w:color w:val="auto"/>
              </w:rPr>
              <w:t>11.7%</w:t>
            </w:r>
          </w:p>
        </w:tc>
      </w:tr>
      <w:tr>
        <w:trPr>
          <w:trHeight w:val="20"/>
        </w:trPr>
        <w:tc>
          <w:tcPr>
            <w:tcW w:w="5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16"/>
        </w:trPr>
        <w:tc>
          <w:tcPr>
            <w:tcW w:w="55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r>
        <w:trPr>
          <w:trHeight w:val="21"/>
        </w:trPr>
        <w:tc>
          <w:tcPr>
            <w:tcW w:w="550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156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t>CONSOLIDATED INCOME STATEMENTS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Borders>
              <w:top w:val="single" w:sz="8" w:color="auto"/>
              <w:bottom w:val="single" w:sz="8" w:color="auto"/>
            </w:tcBorders>
          </w:tcPr>
          <w:p>
            <w:pPr>
              <w:spacing w:after="0"/>
              <w:rPr>
                <w:sz w:val="14"/>
                <w:szCs w:val="14"/>
                <w:color w:val="auto"/>
              </w:rPr>
            </w:pPr>
          </w:p>
        </w:tc>
        <w:tc>
          <w:tcPr>
            <w:tcW w:w="15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2008</w:t>
            </w:r>
          </w:p>
        </w:tc>
        <w:tc>
          <w:tcPr>
            <w:tcW w:w="14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69"/>
        </w:trPr>
        <w:tc>
          <w:tcPr>
            <w:tcW w:w="55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(amounts in thousands, except per share data)</w:t>
            </w: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880"/>
              <w:spacing w:after="0"/>
              <w:rPr>
                <w:sz w:val="20"/>
                <w:szCs w:val="20"/>
                <w:color w:val="auto"/>
              </w:rPr>
            </w:pPr>
            <w:r>
              <w:rPr>
                <w:rFonts w:ascii="Arial" w:cs="Arial" w:eastAsia="Arial" w:hAnsi="Arial"/>
                <w:sz w:val="14"/>
                <w:szCs w:val="14"/>
                <w:b w:val="1"/>
                <w:bCs w:val="1"/>
                <w:color w:val="auto"/>
              </w:rPr>
              <w:t>Amount</w:t>
            </w:r>
          </w:p>
        </w:tc>
        <w:tc>
          <w:tcPr>
            <w:tcW w:w="14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97"/>
              </w:rPr>
              <w:t>% of Net Sales</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Amount</w:t>
            </w: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 of Net Sales</w:t>
            </w:r>
          </w:p>
        </w:tc>
        <w:tc>
          <w:tcPr>
            <w:tcW w:w="0" w:type="dxa"/>
            <w:vAlign w:val="bottom"/>
          </w:tcPr>
          <w:p>
            <w:pPr>
              <w:spacing w:after="0"/>
              <w:rPr>
                <w:sz w:val="1"/>
                <w:szCs w:val="1"/>
                <w:color w:val="auto"/>
              </w:rPr>
            </w:pPr>
          </w:p>
        </w:tc>
      </w:tr>
      <w:tr>
        <w:trPr>
          <w:trHeight w:val="339"/>
        </w:trPr>
        <w:tc>
          <w:tcPr>
            <w:tcW w:w="5580" w:type="dxa"/>
            <w:vAlign w:val="bottom"/>
          </w:tcPr>
          <w:p>
            <w:pPr>
              <w:spacing w:after="0"/>
              <w:rPr>
                <w:sz w:val="20"/>
                <w:szCs w:val="20"/>
                <w:color w:val="auto"/>
              </w:rPr>
            </w:pPr>
            <w:r>
              <w:rPr>
                <w:rFonts w:ascii="Arial" w:cs="Arial" w:eastAsia="Arial" w:hAnsi="Arial"/>
                <w:sz w:val="14"/>
                <w:szCs w:val="14"/>
                <w:color w:val="auto"/>
              </w:rPr>
              <w:t>Net sales</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439,113</w:t>
            </w:r>
          </w:p>
        </w:tc>
        <w:tc>
          <w:tcPr>
            <w:tcW w:w="420" w:type="dxa"/>
            <w:vAlign w:val="bottom"/>
          </w:tcPr>
          <w:p>
            <w:pPr>
              <w:spacing w:after="0"/>
              <w:rPr>
                <w:sz w:val="24"/>
                <w:szCs w:val="24"/>
                <w:color w:val="auto"/>
              </w:rPr>
            </w:pPr>
          </w:p>
        </w:tc>
        <w:tc>
          <w:tcPr>
            <w:tcW w:w="1440" w:type="dxa"/>
            <w:vAlign w:val="bottom"/>
          </w:tcPr>
          <w:p>
            <w:pPr>
              <w:jc w:val="right"/>
              <w:ind w:right="268"/>
              <w:spacing w:after="0"/>
              <w:rPr>
                <w:sz w:val="20"/>
                <w:szCs w:val="20"/>
                <w:color w:val="auto"/>
              </w:rPr>
            </w:pPr>
            <w:r>
              <w:rPr>
                <w:rFonts w:ascii="Arial" w:cs="Arial" w:eastAsia="Arial" w:hAnsi="Arial"/>
                <w:sz w:val="14"/>
                <w:szCs w:val="14"/>
                <w:color w:val="auto"/>
              </w:rPr>
              <w:t>100.0%</w:t>
            </w:r>
          </w:p>
        </w:tc>
        <w:tc>
          <w:tcPr>
            <w:tcW w:w="3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489,607</w:t>
            </w: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1"/>
        </w:trPr>
        <w:tc>
          <w:tcPr>
            <w:tcW w:w="5580" w:type="dxa"/>
            <w:vAlign w:val="bottom"/>
          </w:tcPr>
          <w:p>
            <w:pPr>
              <w:spacing w:after="0"/>
              <w:rPr>
                <w:sz w:val="20"/>
                <w:szCs w:val="20"/>
                <w:color w:val="auto"/>
              </w:rPr>
            </w:pPr>
            <w:r>
              <w:rPr>
                <w:rFonts w:ascii="Arial" w:cs="Arial" w:eastAsia="Arial" w:hAnsi="Arial"/>
                <w:sz w:val="14"/>
                <w:szCs w:val="14"/>
                <w:color w:val="auto"/>
              </w:rPr>
              <w:t>Cost of sales</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387,176</w:t>
            </w:r>
          </w:p>
        </w:tc>
        <w:tc>
          <w:tcPr>
            <w:tcW w:w="4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88.2</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432,122</w:t>
            </w:r>
          </w:p>
        </w:tc>
        <w:tc>
          <w:tcPr>
            <w:tcW w:w="14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88.3</w:t>
            </w:r>
          </w:p>
        </w:tc>
        <w:tc>
          <w:tcPr>
            <w:tcW w:w="0" w:type="dxa"/>
            <w:vAlign w:val="bottom"/>
          </w:tcPr>
          <w:p>
            <w:pPr>
              <w:spacing w:after="0"/>
              <w:rPr>
                <w:sz w:val="1"/>
                <w:szCs w:val="1"/>
                <w:color w:val="auto"/>
              </w:rPr>
            </w:pPr>
          </w:p>
        </w:tc>
      </w:tr>
      <w:tr>
        <w:trPr>
          <w:trHeight w:val="176"/>
        </w:trPr>
        <w:tc>
          <w:tcPr>
            <w:tcW w:w="5580" w:type="dxa"/>
            <w:vAlign w:val="bottom"/>
          </w:tcPr>
          <w:p>
            <w:pPr>
              <w:ind w:left="420"/>
              <w:spacing w:after="0"/>
              <w:rPr>
                <w:sz w:val="20"/>
                <w:szCs w:val="20"/>
                <w:color w:val="auto"/>
              </w:rPr>
            </w:pPr>
            <w:r>
              <w:rPr>
                <w:rFonts w:ascii="Arial" w:cs="Arial" w:eastAsia="Arial" w:hAnsi="Arial"/>
                <w:sz w:val="14"/>
                <w:szCs w:val="14"/>
                <w:b w:val="1"/>
                <w:bCs w:val="1"/>
                <w:color w:val="auto"/>
              </w:rPr>
              <w:t>Gross Profit</w:t>
            </w:r>
          </w:p>
        </w:tc>
        <w:tc>
          <w:tcPr>
            <w:tcW w:w="30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51,937</w:t>
            </w:r>
          </w:p>
        </w:tc>
        <w:tc>
          <w:tcPr>
            <w:tcW w:w="420" w:type="dxa"/>
            <w:vAlign w:val="bottom"/>
          </w:tcPr>
          <w:p>
            <w:pPr>
              <w:spacing w:after="0"/>
              <w:rPr>
                <w:sz w:val="15"/>
                <w:szCs w:val="15"/>
                <w:color w:val="auto"/>
              </w:rPr>
            </w:pP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57,485</w:t>
            </w:r>
          </w:p>
        </w:tc>
        <w:tc>
          <w:tcPr>
            <w:tcW w:w="1420" w:type="dxa"/>
            <w:vAlign w:val="bottom"/>
            <w:gridSpan w:val="2"/>
          </w:tcPr>
          <w:p>
            <w:pPr>
              <w:jc w:val="right"/>
              <w:ind w:right="300"/>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339"/>
        </w:trPr>
        <w:tc>
          <w:tcPr>
            <w:tcW w:w="5580" w:type="dxa"/>
            <w:vAlign w:val="bottom"/>
          </w:tcPr>
          <w:p>
            <w:pPr>
              <w:spacing w:after="0"/>
              <w:rPr>
                <w:sz w:val="20"/>
                <w:szCs w:val="20"/>
                <w:color w:val="auto"/>
              </w:rPr>
            </w:pPr>
            <w:r>
              <w:rPr>
                <w:rFonts w:ascii="Arial" w:cs="Arial" w:eastAsia="Arial" w:hAnsi="Arial"/>
                <w:sz w:val="14"/>
                <w:szCs w:val="14"/>
                <w:color w:val="auto"/>
              </w:rPr>
              <w:t>Selling, general and administrative expenses</w:t>
            </w:r>
          </w:p>
        </w:tc>
        <w:tc>
          <w:tcPr>
            <w:tcW w:w="30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46,291</w:t>
            </w:r>
          </w:p>
        </w:tc>
        <w:tc>
          <w:tcPr>
            <w:tcW w:w="420" w:type="dxa"/>
            <w:vAlign w:val="bottom"/>
          </w:tcPr>
          <w:p>
            <w:pPr>
              <w:spacing w:after="0"/>
              <w:rPr>
                <w:sz w:val="24"/>
                <w:szCs w:val="24"/>
                <w:color w:val="auto"/>
              </w:rPr>
            </w:pP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46,870</w:t>
            </w:r>
          </w:p>
        </w:tc>
        <w:tc>
          <w:tcPr>
            <w:tcW w:w="1420" w:type="dxa"/>
            <w:vAlign w:val="bottom"/>
            <w:gridSpan w:val="2"/>
          </w:tcPr>
          <w:p>
            <w:pPr>
              <w:jc w:val="right"/>
              <w:ind w:right="300"/>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81"/>
        </w:trPr>
        <w:tc>
          <w:tcPr>
            <w:tcW w:w="5580" w:type="dxa"/>
            <w:vAlign w:val="bottom"/>
          </w:tcPr>
          <w:p>
            <w:pPr>
              <w:spacing w:after="0"/>
              <w:rPr>
                <w:sz w:val="20"/>
                <w:szCs w:val="20"/>
                <w:color w:val="auto"/>
              </w:rPr>
            </w:pPr>
            <w:r>
              <w:rPr>
                <w:rFonts w:ascii="Arial" w:cs="Arial" w:eastAsia="Arial" w:hAnsi="Arial"/>
                <w:sz w:val="14"/>
                <w:szCs w:val="14"/>
                <w:color w:val="auto"/>
              </w:rPr>
              <w:t>Special charges</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1,172</w:t>
            </w:r>
          </w:p>
        </w:tc>
        <w:tc>
          <w:tcPr>
            <w:tcW w:w="4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541</w:t>
            </w:r>
          </w:p>
        </w:tc>
        <w:tc>
          <w:tcPr>
            <w:tcW w:w="14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6"/>
        </w:trPr>
        <w:tc>
          <w:tcPr>
            <w:tcW w:w="5580" w:type="dxa"/>
            <w:vAlign w:val="bottom"/>
          </w:tcPr>
          <w:p>
            <w:pPr>
              <w:ind w:left="420"/>
              <w:spacing w:after="0"/>
              <w:rPr>
                <w:sz w:val="20"/>
                <w:szCs w:val="20"/>
                <w:color w:val="auto"/>
              </w:rPr>
            </w:pPr>
            <w:r>
              <w:rPr>
                <w:rFonts w:ascii="Arial" w:cs="Arial" w:eastAsia="Arial" w:hAnsi="Arial"/>
                <w:sz w:val="14"/>
                <w:szCs w:val="14"/>
                <w:b w:val="1"/>
                <w:bCs w:val="1"/>
                <w:color w:val="auto"/>
              </w:rPr>
              <w:t>Income From Operations</w:t>
            </w:r>
          </w:p>
        </w:tc>
        <w:tc>
          <w:tcPr>
            <w:tcW w:w="30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4,474</w:t>
            </w:r>
          </w:p>
        </w:tc>
        <w:tc>
          <w:tcPr>
            <w:tcW w:w="420" w:type="dxa"/>
            <w:vAlign w:val="bottom"/>
          </w:tcPr>
          <w:p>
            <w:pPr>
              <w:spacing w:after="0"/>
              <w:rPr>
                <w:sz w:val="15"/>
                <w:szCs w:val="15"/>
                <w:color w:val="auto"/>
              </w:rPr>
            </w:pP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10,074</w:t>
            </w:r>
          </w:p>
        </w:tc>
        <w:tc>
          <w:tcPr>
            <w:tcW w:w="1420" w:type="dxa"/>
            <w:vAlign w:val="bottom"/>
            <w:gridSpan w:val="2"/>
          </w:tcPr>
          <w:p>
            <w:pPr>
              <w:jc w:val="right"/>
              <w:ind w:right="30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339"/>
        </w:trPr>
        <w:tc>
          <w:tcPr>
            <w:tcW w:w="5580" w:type="dxa"/>
            <w:vAlign w:val="bottom"/>
          </w:tcPr>
          <w:p>
            <w:pPr>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(133)</w:t>
            </w:r>
          </w:p>
        </w:tc>
        <w:tc>
          <w:tcPr>
            <w:tcW w:w="420" w:type="dxa"/>
            <w:vAlign w:val="bottom"/>
          </w:tcPr>
          <w:p>
            <w:pPr>
              <w:spacing w:after="0"/>
              <w:rPr>
                <w:sz w:val="24"/>
                <w:szCs w:val="24"/>
                <w:color w:val="auto"/>
              </w:rPr>
            </w:pP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(264)</w:t>
            </w:r>
          </w:p>
        </w:tc>
        <w:tc>
          <w:tcPr>
            <w:tcW w:w="14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580" w:type="dxa"/>
            <w:vAlign w:val="bottom"/>
          </w:tcPr>
          <w:p>
            <w:pPr>
              <w:spacing w:after="0"/>
              <w:rPr>
                <w:sz w:val="20"/>
                <w:szCs w:val="20"/>
                <w:color w:val="auto"/>
              </w:rPr>
            </w:pPr>
            <w:r>
              <w:rPr>
                <w:rFonts w:ascii="Arial" w:cs="Arial" w:eastAsia="Arial" w:hAnsi="Arial"/>
                <w:sz w:val="14"/>
                <w:szCs w:val="14"/>
                <w:color w:val="auto"/>
              </w:rPr>
              <w:t>Other, net</w:t>
            </w:r>
          </w:p>
        </w:tc>
        <w:tc>
          <w:tcPr>
            <w:tcW w:w="30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201</w:t>
            </w:r>
          </w:p>
        </w:tc>
        <w:tc>
          <w:tcPr>
            <w:tcW w:w="420" w:type="dxa"/>
            <w:vAlign w:val="bottom"/>
          </w:tcPr>
          <w:p>
            <w:pPr>
              <w:spacing w:after="0"/>
              <w:rPr>
                <w:sz w:val="15"/>
                <w:szCs w:val="15"/>
                <w:color w:val="auto"/>
              </w:rPr>
            </w:pP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111</w:t>
            </w:r>
          </w:p>
        </w:tc>
        <w:tc>
          <w:tcPr>
            <w:tcW w:w="14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580" w:type="dxa"/>
            <w:vAlign w:val="bottom"/>
          </w:tcPr>
          <w:p>
            <w:pPr>
              <w:spacing w:after="0"/>
              <w:rPr>
                <w:sz w:val="20"/>
                <w:szCs w:val="20"/>
                <w:color w:val="auto"/>
              </w:rPr>
            </w:pPr>
            <w:r>
              <w:rPr>
                <w:rFonts w:ascii="Arial" w:cs="Arial" w:eastAsia="Arial" w:hAnsi="Arial"/>
                <w:sz w:val="14"/>
                <w:szCs w:val="14"/>
                <w:color w:val="auto"/>
              </w:rPr>
              <w:t>Income tax provision</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(2,598)</w:t>
            </w:r>
          </w:p>
        </w:tc>
        <w:tc>
          <w:tcPr>
            <w:tcW w:w="4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(3,749)</w:t>
            </w:r>
          </w:p>
        </w:tc>
        <w:tc>
          <w:tcPr>
            <w:tcW w:w="14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69"/>
        </w:trPr>
        <w:tc>
          <w:tcPr>
            <w:tcW w:w="5580" w:type="dxa"/>
            <w:vAlign w:val="bottom"/>
          </w:tcPr>
          <w:p>
            <w:pPr>
              <w:ind w:left="420"/>
              <w:spacing w:after="0"/>
              <w:rPr>
                <w:sz w:val="20"/>
                <w:szCs w:val="20"/>
                <w:color w:val="auto"/>
              </w:rPr>
            </w:pPr>
            <w:r>
              <w:rPr>
                <w:rFonts w:ascii="Arial" w:cs="Arial" w:eastAsia="Arial" w:hAnsi="Arial"/>
                <w:sz w:val="14"/>
                <w:szCs w:val="14"/>
                <w:b w:val="1"/>
                <w:bCs w:val="1"/>
                <w:color w:val="auto"/>
              </w:rPr>
              <w:t>Net Income</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1,944</w:t>
            </w:r>
          </w:p>
        </w:tc>
        <w:tc>
          <w:tcPr>
            <w:tcW w:w="4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6,172</w:t>
            </w:r>
          </w:p>
        </w:tc>
        <w:tc>
          <w:tcPr>
            <w:tcW w:w="14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4"/>
                <w:szCs w:val="14"/>
                <w:color w:val="auto"/>
              </w:rPr>
              <w:t>Weighted average common shares outstanding:</w:t>
            </w: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5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580" w:type="dxa"/>
            <w:vAlign w:val="bottom"/>
          </w:tcPr>
          <w:p>
            <w:pPr>
              <w:ind w:left="420"/>
              <w:spacing w:after="0"/>
              <w:rPr>
                <w:sz w:val="20"/>
                <w:szCs w:val="20"/>
                <w:color w:val="auto"/>
              </w:rPr>
            </w:pPr>
            <w:r>
              <w:rPr>
                <w:rFonts w:ascii="Arial" w:cs="Arial" w:eastAsia="Arial" w:hAnsi="Arial"/>
                <w:sz w:val="14"/>
                <w:szCs w:val="14"/>
                <w:color w:val="auto"/>
              </w:rPr>
              <w:t>Basic</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26,808</w:t>
            </w:r>
          </w:p>
        </w:tc>
        <w:tc>
          <w:tcPr>
            <w:tcW w:w="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26,844</w:t>
            </w:r>
          </w:p>
        </w:tc>
        <w:tc>
          <w:tcPr>
            <w:tcW w:w="20" w:type="dxa"/>
            <w:vAlign w:val="bottom"/>
            <w:tcBorders>
              <w:bottom w:val="single" w:sz="8" w:color="auto"/>
            </w:tcBorders>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ind w:left="420"/>
              <w:spacing w:after="0"/>
              <w:rPr>
                <w:sz w:val="20"/>
                <w:szCs w:val="20"/>
                <w:color w:val="auto"/>
              </w:rPr>
            </w:pPr>
            <w:r>
              <w:rPr>
                <w:rFonts w:ascii="Arial" w:cs="Arial" w:eastAsia="Arial" w:hAnsi="Arial"/>
                <w:sz w:val="14"/>
                <w:szCs w:val="14"/>
                <w:color w:val="auto"/>
              </w:rPr>
              <w:t>Diluted</w:t>
            </w: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80" w:type="dxa"/>
            <w:vAlign w:val="bottom"/>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26,855</w:t>
            </w:r>
          </w:p>
        </w:tc>
        <w:tc>
          <w:tcPr>
            <w:tcW w:w="4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27,052</w:t>
            </w:r>
          </w:p>
        </w:tc>
        <w:tc>
          <w:tcPr>
            <w:tcW w:w="20" w:type="dxa"/>
            <w:vAlign w:val="bottom"/>
            <w:tcBorders>
              <w:bottom w:val="single" w:sz="8" w:color="auto"/>
            </w:tcBorders>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4"/>
                <w:szCs w:val="14"/>
                <w:color w:val="auto"/>
              </w:rPr>
              <w:t>Earnings per common share:</w:t>
            </w: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5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580" w:type="dxa"/>
            <w:vAlign w:val="bottom"/>
          </w:tcPr>
          <w:p>
            <w:pPr>
              <w:ind w:left="420"/>
              <w:spacing w:after="0"/>
              <w:rPr>
                <w:sz w:val="20"/>
                <w:szCs w:val="20"/>
                <w:color w:val="auto"/>
              </w:rPr>
            </w:pPr>
            <w:r>
              <w:rPr>
                <w:rFonts w:ascii="Arial" w:cs="Arial" w:eastAsia="Arial" w:hAnsi="Arial"/>
                <w:sz w:val="14"/>
                <w:szCs w:val="14"/>
                <w:color w:val="auto"/>
              </w:rPr>
              <w:t>Basic</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0.07</w:t>
            </w:r>
          </w:p>
        </w:tc>
        <w:tc>
          <w:tcPr>
            <w:tcW w:w="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0.23</w:t>
            </w:r>
          </w:p>
        </w:tc>
        <w:tc>
          <w:tcPr>
            <w:tcW w:w="20" w:type="dxa"/>
            <w:vAlign w:val="bottom"/>
            <w:tcBorders>
              <w:bottom w:val="single" w:sz="8" w:color="auto"/>
            </w:tcBorders>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ind w:left="420"/>
              <w:spacing w:after="0"/>
              <w:rPr>
                <w:sz w:val="20"/>
                <w:szCs w:val="20"/>
                <w:color w:val="auto"/>
              </w:rPr>
            </w:pPr>
            <w:r>
              <w:rPr>
                <w:rFonts w:ascii="Arial" w:cs="Arial" w:eastAsia="Arial" w:hAnsi="Arial"/>
                <w:sz w:val="14"/>
                <w:szCs w:val="14"/>
                <w:color w:val="auto"/>
              </w:rPr>
              <w:t>Diluted</w:t>
            </w: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80" w:type="dxa"/>
            <w:vAlign w:val="bottom"/>
            <w:vMerge w:val="continue"/>
          </w:tcPr>
          <w:p>
            <w:pPr>
              <w:spacing w:after="0"/>
              <w:rPr>
                <w:sz w:val="13"/>
                <w:szCs w:val="13"/>
                <w:color w:val="auto"/>
              </w:rPr>
            </w:pPr>
          </w:p>
        </w:tc>
        <w:tc>
          <w:tcPr>
            <w:tcW w:w="300" w:type="dxa"/>
            <w:vAlign w:val="bottom"/>
            <w:tcBorders>
              <w:top w:val="single" w:sz="8" w:color="auto"/>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0.07</w:t>
            </w:r>
          </w:p>
        </w:tc>
        <w:tc>
          <w:tcPr>
            <w:tcW w:w="4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0.23</w:t>
            </w:r>
          </w:p>
        </w:tc>
        <w:tc>
          <w:tcPr>
            <w:tcW w:w="20" w:type="dxa"/>
            <w:vAlign w:val="bottom"/>
            <w:tcBorders>
              <w:top w:val="single" w:sz="8" w:color="auto"/>
              <w:bottom w:val="single" w:sz="8" w:color="auto"/>
            </w:tcBorders>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4"/>
                <w:szCs w:val="14"/>
                <w:b w:val="1"/>
                <w:bCs w:val="1"/>
                <w:color w:val="auto"/>
              </w:rPr>
              <w:t>CONSOLIDATED INCOME STATEMENTS</w:t>
            </w: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558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2008</w:t>
            </w:r>
          </w:p>
        </w:tc>
        <w:tc>
          <w:tcPr>
            <w:tcW w:w="1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69"/>
        </w:trPr>
        <w:tc>
          <w:tcPr>
            <w:tcW w:w="55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(amounts in thousands, except per share data)</w:t>
            </w: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880"/>
              <w:spacing w:after="0"/>
              <w:rPr>
                <w:sz w:val="20"/>
                <w:szCs w:val="20"/>
                <w:color w:val="auto"/>
              </w:rPr>
            </w:pPr>
            <w:r>
              <w:rPr>
                <w:rFonts w:ascii="Arial" w:cs="Arial" w:eastAsia="Arial" w:hAnsi="Arial"/>
                <w:sz w:val="14"/>
                <w:szCs w:val="14"/>
                <w:b w:val="1"/>
                <w:bCs w:val="1"/>
                <w:color w:val="auto"/>
              </w:rPr>
              <w:t>Amount</w:t>
            </w:r>
          </w:p>
        </w:tc>
        <w:tc>
          <w:tcPr>
            <w:tcW w:w="14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97"/>
              </w:rPr>
              <w:t>% of Net Sales</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Amount</w:t>
            </w: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 of Net Sales</w:t>
            </w:r>
          </w:p>
        </w:tc>
        <w:tc>
          <w:tcPr>
            <w:tcW w:w="0" w:type="dxa"/>
            <w:vAlign w:val="bottom"/>
          </w:tcPr>
          <w:p>
            <w:pPr>
              <w:spacing w:after="0"/>
              <w:rPr>
                <w:sz w:val="1"/>
                <w:szCs w:val="1"/>
                <w:color w:val="auto"/>
              </w:rPr>
            </w:pPr>
          </w:p>
        </w:tc>
      </w:tr>
      <w:tr>
        <w:trPr>
          <w:trHeight w:val="339"/>
        </w:trPr>
        <w:tc>
          <w:tcPr>
            <w:tcW w:w="5580" w:type="dxa"/>
            <w:vAlign w:val="bottom"/>
          </w:tcPr>
          <w:p>
            <w:pPr>
              <w:spacing w:after="0"/>
              <w:rPr>
                <w:sz w:val="20"/>
                <w:szCs w:val="20"/>
                <w:color w:val="auto"/>
              </w:rPr>
            </w:pPr>
            <w:r>
              <w:rPr>
                <w:rFonts w:ascii="Arial" w:cs="Arial" w:eastAsia="Arial" w:hAnsi="Arial"/>
                <w:sz w:val="14"/>
                <w:szCs w:val="14"/>
                <w:color w:val="auto"/>
              </w:rPr>
              <w:t>Net sales</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1,753,680</w:t>
            </w:r>
          </w:p>
        </w:tc>
        <w:tc>
          <w:tcPr>
            <w:tcW w:w="420" w:type="dxa"/>
            <w:vAlign w:val="bottom"/>
          </w:tcPr>
          <w:p>
            <w:pPr>
              <w:spacing w:after="0"/>
              <w:rPr>
                <w:sz w:val="24"/>
                <w:szCs w:val="24"/>
                <w:color w:val="auto"/>
              </w:rPr>
            </w:pPr>
          </w:p>
        </w:tc>
        <w:tc>
          <w:tcPr>
            <w:tcW w:w="1440" w:type="dxa"/>
            <w:vAlign w:val="bottom"/>
          </w:tcPr>
          <w:p>
            <w:pPr>
              <w:jc w:val="right"/>
              <w:ind w:right="268"/>
              <w:spacing w:after="0"/>
              <w:rPr>
                <w:sz w:val="20"/>
                <w:szCs w:val="20"/>
                <w:color w:val="auto"/>
              </w:rPr>
            </w:pPr>
            <w:r>
              <w:rPr>
                <w:rFonts w:ascii="Arial" w:cs="Arial" w:eastAsia="Arial" w:hAnsi="Arial"/>
                <w:sz w:val="14"/>
                <w:szCs w:val="14"/>
                <w:color w:val="auto"/>
              </w:rPr>
              <w:t>100.0%</w:t>
            </w:r>
          </w:p>
        </w:tc>
        <w:tc>
          <w:tcPr>
            <w:tcW w:w="3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1,785,379</w:t>
            </w: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1"/>
        </w:trPr>
        <w:tc>
          <w:tcPr>
            <w:tcW w:w="5580" w:type="dxa"/>
            <w:vAlign w:val="bottom"/>
          </w:tcPr>
          <w:p>
            <w:pPr>
              <w:spacing w:after="0"/>
              <w:rPr>
                <w:sz w:val="20"/>
                <w:szCs w:val="20"/>
                <w:color w:val="auto"/>
              </w:rPr>
            </w:pPr>
            <w:r>
              <w:rPr>
                <w:rFonts w:ascii="Arial" w:cs="Arial" w:eastAsia="Arial" w:hAnsi="Arial"/>
                <w:sz w:val="14"/>
                <w:szCs w:val="14"/>
                <w:color w:val="auto"/>
              </w:rPr>
              <w:t>Cost of sales</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1,538,836</w:t>
            </w:r>
          </w:p>
        </w:tc>
        <w:tc>
          <w:tcPr>
            <w:tcW w:w="4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87.7</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1,566,409</w:t>
            </w:r>
          </w:p>
        </w:tc>
        <w:tc>
          <w:tcPr>
            <w:tcW w:w="14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87.7</w:t>
            </w:r>
          </w:p>
        </w:tc>
        <w:tc>
          <w:tcPr>
            <w:tcW w:w="0" w:type="dxa"/>
            <w:vAlign w:val="bottom"/>
          </w:tcPr>
          <w:p>
            <w:pPr>
              <w:spacing w:after="0"/>
              <w:rPr>
                <w:sz w:val="1"/>
                <w:szCs w:val="1"/>
                <w:color w:val="auto"/>
              </w:rPr>
            </w:pPr>
          </w:p>
        </w:tc>
      </w:tr>
      <w:tr>
        <w:trPr>
          <w:trHeight w:val="176"/>
        </w:trPr>
        <w:tc>
          <w:tcPr>
            <w:tcW w:w="5580" w:type="dxa"/>
            <w:vAlign w:val="bottom"/>
          </w:tcPr>
          <w:p>
            <w:pPr>
              <w:ind w:left="420"/>
              <w:spacing w:after="0"/>
              <w:rPr>
                <w:sz w:val="20"/>
                <w:szCs w:val="20"/>
                <w:color w:val="auto"/>
              </w:rPr>
            </w:pPr>
            <w:r>
              <w:rPr>
                <w:rFonts w:ascii="Arial" w:cs="Arial" w:eastAsia="Arial" w:hAnsi="Arial"/>
                <w:sz w:val="14"/>
                <w:szCs w:val="14"/>
                <w:b w:val="1"/>
                <w:bCs w:val="1"/>
                <w:color w:val="auto"/>
              </w:rPr>
              <w:t>Gross Profit</w:t>
            </w:r>
          </w:p>
        </w:tc>
        <w:tc>
          <w:tcPr>
            <w:tcW w:w="30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214,844</w:t>
            </w:r>
          </w:p>
        </w:tc>
        <w:tc>
          <w:tcPr>
            <w:tcW w:w="420" w:type="dxa"/>
            <w:vAlign w:val="bottom"/>
          </w:tcPr>
          <w:p>
            <w:pPr>
              <w:spacing w:after="0"/>
              <w:rPr>
                <w:sz w:val="15"/>
                <w:szCs w:val="15"/>
                <w:color w:val="auto"/>
              </w:rPr>
            </w:pP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218,970</w:t>
            </w:r>
          </w:p>
        </w:tc>
        <w:tc>
          <w:tcPr>
            <w:tcW w:w="1420" w:type="dxa"/>
            <w:vAlign w:val="bottom"/>
            <w:gridSpan w:val="2"/>
          </w:tcPr>
          <w:p>
            <w:pPr>
              <w:jc w:val="right"/>
              <w:ind w:right="300"/>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339"/>
        </w:trPr>
        <w:tc>
          <w:tcPr>
            <w:tcW w:w="5580" w:type="dxa"/>
            <w:vAlign w:val="bottom"/>
          </w:tcPr>
          <w:p>
            <w:pPr>
              <w:spacing w:after="0"/>
              <w:rPr>
                <w:sz w:val="20"/>
                <w:szCs w:val="20"/>
                <w:color w:val="auto"/>
              </w:rPr>
            </w:pPr>
            <w:r>
              <w:rPr>
                <w:rFonts w:ascii="Arial" w:cs="Arial" w:eastAsia="Arial" w:hAnsi="Arial"/>
                <w:sz w:val="14"/>
                <w:szCs w:val="14"/>
                <w:color w:val="auto"/>
              </w:rPr>
              <w:t>Selling, general and administrative expenses</w:t>
            </w:r>
          </w:p>
        </w:tc>
        <w:tc>
          <w:tcPr>
            <w:tcW w:w="300" w:type="dxa"/>
            <w:vAlign w:val="bottom"/>
          </w:tcPr>
          <w:p>
            <w:pPr>
              <w:spacing w:after="0"/>
              <w:rPr>
                <w:sz w:val="24"/>
                <w:szCs w:val="2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186,729</w:t>
            </w:r>
          </w:p>
        </w:tc>
        <w:tc>
          <w:tcPr>
            <w:tcW w:w="420" w:type="dxa"/>
            <w:vAlign w:val="bottom"/>
          </w:tcPr>
          <w:p>
            <w:pPr>
              <w:spacing w:after="0"/>
              <w:rPr>
                <w:sz w:val="24"/>
                <w:szCs w:val="24"/>
                <w:color w:val="auto"/>
              </w:rPr>
            </w:pP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181,640</w:t>
            </w:r>
          </w:p>
        </w:tc>
        <w:tc>
          <w:tcPr>
            <w:tcW w:w="1420" w:type="dxa"/>
            <w:vAlign w:val="bottom"/>
            <w:gridSpan w:val="2"/>
          </w:tcPr>
          <w:p>
            <w:pPr>
              <w:jc w:val="right"/>
              <w:ind w:right="300"/>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81"/>
        </w:trPr>
        <w:tc>
          <w:tcPr>
            <w:tcW w:w="5580" w:type="dxa"/>
            <w:vAlign w:val="bottom"/>
          </w:tcPr>
          <w:p>
            <w:pPr>
              <w:spacing w:after="0"/>
              <w:rPr>
                <w:sz w:val="20"/>
                <w:szCs w:val="20"/>
                <w:color w:val="auto"/>
              </w:rPr>
            </w:pPr>
            <w:r>
              <w:rPr>
                <w:rFonts w:ascii="Arial" w:cs="Arial" w:eastAsia="Arial" w:hAnsi="Arial"/>
                <w:sz w:val="14"/>
                <w:szCs w:val="14"/>
                <w:color w:val="auto"/>
              </w:rPr>
              <w:t>Special charges</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2,603</w:t>
            </w:r>
          </w:p>
        </w:tc>
        <w:tc>
          <w:tcPr>
            <w:tcW w:w="4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541</w:t>
            </w:r>
          </w:p>
        </w:tc>
        <w:tc>
          <w:tcPr>
            <w:tcW w:w="14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580" w:type="dxa"/>
            <w:vAlign w:val="bottom"/>
          </w:tcPr>
          <w:p>
            <w:pPr>
              <w:ind w:left="420"/>
              <w:spacing w:after="0"/>
              <w:rPr>
                <w:sz w:val="20"/>
                <w:szCs w:val="20"/>
                <w:color w:val="auto"/>
              </w:rPr>
            </w:pPr>
            <w:r>
              <w:rPr>
                <w:rFonts w:ascii="Arial" w:cs="Arial" w:eastAsia="Arial" w:hAnsi="Arial"/>
                <w:sz w:val="14"/>
                <w:szCs w:val="14"/>
                <w:b w:val="1"/>
                <w:bCs w:val="1"/>
                <w:color w:val="auto"/>
              </w:rPr>
              <w:t>Income From Operations</w:t>
            </w:r>
          </w:p>
        </w:tc>
        <w:tc>
          <w:tcPr>
            <w:tcW w:w="30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25,512</w:t>
            </w:r>
          </w:p>
        </w:tc>
        <w:tc>
          <w:tcPr>
            <w:tcW w:w="420" w:type="dxa"/>
            <w:vAlign w:val="bottom"/>
          </w:tcPr>
          <w:p>
            <w:pPr>
              <w:spacing w:after="0"/>
              <w:rPr>
                <w:sz w:val="15"/>
                <w:szCs w:val="15"/>
                <w:color w:val="auto"/>
              </w:rPr>
            </w:pP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36,789</w:t>
            </w:r>
          </w:p>
        </w:tc>
        <w:tc>
          <w:tcPr>
            <w:tcW w:w="1420" w:type="dxa"/>
            <w:vAlign w:val="bottom"/>
            <w:gridSpan w:val="2"/>
          </w:tcPr>
          <w:p>
            <w:pPr>
              <w:jc w:val="right"/>
              <w:ind w:right="30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339"/>
        </w:trPr>
        <w:tc>
          <w:tcPr>
            <w:tcW w:w="5580" w:type="dxa"/>
            <w:vAlign w:val="bottom"/>
          </w:tcPr>
          <w:p>
            <w:pPr>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(681)</w:t>
            </w:r>
          </w:p>
        </w:tc>
        <w:tc>
          <w:tcPr>
            <w:tcW w:w="420" w:type="dxa"/>
            <w:vAlign w:val="bottom"/>
          </w:tcPr>
          <w:p>
            <w:pPr>
              <w:spacing w:after="0"/>
              <w:rPr>
                <w:sz w:val="24"/>
                <w:szCs w:val="24"/>
                <w:color w:val="auto"/>
              </w:rPr>
            </w:pP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(932)</w:t>
            </w:r>
          </w:p>
        </w:tc>
        <w:tc>
          <w:tcPr>
            <w:tcW w:w="14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580" w:type="dxa"/>
            <w:vAlign w:val="bottom"/>
          </w:tcPr>
          <w:p>
            <w:pPr>
              <w:spacing w:after="0"/>
              <w:rPr>
                <w:sz w:val="20"/>
                <w:szCs w:val="20"/>
                <w:color w:val="auto"/>
              </w:rPr>
            </w:pPr>
            <w:r>
              <w:rPr>
                <w:rFonts w:ascii="Arial" w:cs="Arial" w:eastAsia="Arial" w:hAnsi="Arial"/>
                <w:sz w:val="14"/>
                <w:szCs w:val="14"/>
                <w:color w:val="auto"/>
              </w:rPr>
              <w:t>Other, net</w:t>
            </w:r>
          </w:p>
        </w:tc>
        <w:tc>
          <w:tcPr>
            <w:tcW w:w="30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811</w:t>
            </w:r>
          </w:p>
        </w:tc>
        <w:tc>
          <w:tcPr>
            <w:tcW w:w="420" w:type="dxa"/>
            <w:vAlign w:val="bottom"/>
          </w:tcPr>
          <w:p>
            <w:pPr>
              <w:spacing w:after="0"/>
              <w:rPr>
                <w:sz w:val="15"/>
                <w:szCs w:val="15"/>
                <w:color w:val="auto"/>
              </w:rPr>
            </w:pP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764</w:t>
            </w:r>
          </w:p>
        </w:tc>
        <w:tc>
          <w:tcPr>
            <w:tcW w:w="14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580" w:type="dxa"/>
            <w:vAlign w:val="bottom"/>
          </w:tcPr>
          <w:p>
            <w:pPr>
              <w:spacing w:after="0"/>
              <w:rPr>
                <w:sz w:val="20"/>
                <w:szCs w:val="20"/>
                <w:color w:val="auto"/>
              </w:rPr>
            </w:pPr>
            <w:r>
              <w:rPr>
                <w:rFonts w:ascii="Arial" w:cs="Arial" w:eastAsia="Arial" w:hAnsi="Arial"/>
                <w:sz w:val="14"/>
                <w:szCs w:val="14"/>
                <w:color w:val="auto"/>
              </w:rPr>
              <w:t>Income tax provision</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(10,623)</w:t>
            </w:r>
          </w:p>
        </w:tc>
        <w:tc>
          <w:tcPr>
            <w:tcW w:w="4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(13,626)</w:t>
            </w:r>
          </w:p>
        </w:tc>
        <w:tc>
          <w:tcPr>
            <w:tcW w:w="14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69"/>
        </w:trPr>
        <w:tc>
          <w:tcPr>
            <w:tcW w:w="5580" w:type="dxa"/>
            <w:vAlign w:val="bottom"/>
          </w:tcPr>
          <w:p>
            <w:pPr>
              <w:ind w:left="420"/>
              <w:spacing w:after="0"/>
              <w:rPr>
                <w:sz w:val="20"/>
                <w:szCs w:val="20"/>
                <w:color w:val="auto"/>
              </w:rPr>
            </w:pPr>
            <w:r>
              <w:rPr>
                <w:rFonts w:ascii="Arial" w:cs="Arial" w:eastAsia="Arial" w:hAnsi="Arial"/>
                <w:sz w:val="14"/>
                <w:szCs w:val="14"/>
                <w:b w:val="1"/>
                <w:bCs w:val="1"/>
                <w:color w:val="auto"/>
              </w:rPr>
              <w:t>Net Income</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15,019</w:t>
            </w:r>
          </w:p>
        </w:tc>
        <w:tc>
          <w:tcPr>
            <w:tcW w:w="4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22,995</w:t>
            </w:r>
          </w:p>
        </w:tc>
        <w:tc>
          <w:tcPr>
            <w:tcW w:w="14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4"/>
                <w:szCs w:val="14"/>
                <w:color w:val="auto"/>
              </w:rPr>
              <w:t>Weighted average common shares outstanding:</w:t>
            </w: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5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580" w:type="dxa"/>
            <w:vAlign w:val="bottom"/>
          </w:tcPr>
          <w:p>
            <w:pPr>
              <w:ind w:left="420"/>
              <w:spacing w:after="0"/>
              <w:rPr>
                <w:sz w:val="20"/>
                <w:szCs w:val="20"/>
                <w:color w:val="auto"/>
              </w:rPr>
            </w:pPr>
            <w:r>
              <w:rPr>
                <w:rFonts w:ascii="Arial" w:cs="Arial" w:eastAsia="Arial" w:hAnsi="Arial"/>
                <w:sz w:val="14"/>
                <w:szCs w:val="14"/>
                <w:color w:val="auto"/>
              </w:rPr>
              <w:t>Basic</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26,828</w:t>
            </w:r>
          </w:p>
        </w:tc>
        <w:tc>
          <w:tcPr>
            <w:tcW w:w="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26,785</w:t>
            </w:r>
          </w:p>
        </w:tc>
        <w:tc>
          <w:tcPr>
            <w:tcW w:w="20" w:type="dxa"/>
            <w:vAlign w:val="bottom"/>
            <w:tcBorders>
              <w:bottom w:val="single" w:sz="8" w:color="auto"/>
            </w:tcBorders>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ind w:left="420"/>
              <w:spacing w:after="0"/>
              <w:rPr>
                <w:sz w:val="20"/>
                <w:szCs w:val="20"/>
                <w:color w:val="auto"/>
              </w:rPr>
            </w:pPr>
            <w:r>
              <w:rPr>
                <w:rFonts w:ascii="Arial" w:cs="Arial" w:eastAsia="Arial" w:hAnsi="Arial"/>
                <w:sz w:val="14"/>
                <w:szCs w:val="14"/>
                <w:color w:val="auto"/>
              </w:rPr>
              <w:t>Diluted</w:t>
            </w: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80" w:type="dxa"/>
            <w:vAlign w:val="bottom"/>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26,896</w:t>
            </w:r>
          </w:p>
        </w:tc>
        <w:tc>
          <w:tcPr>
            <w:tcW w:w="4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27,024</w:t>
            </w:r>
          </w:p>
        </w:tc>
        <w:tc>
          <w:tcPr>
            <w:tcW w:w="20" w:type="dxa"/>
            <w:vAlign w:val="bottom"/>
            <w:tcBorders>
              <w:bottom w:val="single" w:sz="8" w:color="auto"/>
            </w:tcBorders>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4"/>
                <w:szCs w:val="14"/>
                <w:color w:val="auto"/>
              </w:rPr>
              <w:t>Earnings per common share:</w:t>
            </w: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5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580" w:type="dxa"/>
            <w:vAlign w:val="bottom"/>
          </w:tcPr>
          <w:p>
            <w:pPr>
              <w:ind w:left="420"/>
              <w:spacing w:after="0"/>
              <w:rPr>
                <w:sz w:val="20"/>
                <w:szCs w:val="20"/>
                <w:color w:val="auto"/>
              </w:rPr>
            </w:pPr>
            <w:r>
              <w:rPr>
                <w:rFonts w:ascii="Arial" w:cs="Arial" w:eastAsia="Arial" w:hAnsi="Arial"/>
                <w:sz w:val="14"/>
                <w:szCs w:val="14"/>
                <w:color w:val="auto"/>
              </w:rPr>
              <w:t>Basic</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0.56</w:t>
            </w:r>
          </w:p>
        </w:tc>
        <w:tc>
          <w:tcPr>
            <w:tcW w:w="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0.86</w:t>
            </w:r>
          </w:p>
        </w:tc>
        <w:tc>
          <w:tcPr>
            <w:tcW w:w="20" w:type="dxa"/>
            <w:vAlign w:val="bottom"/>
            <w:tcBorders>
              <w:bottom w:val="single" w:sz="8" w:color="auto"/>
            </w:tcBorders>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ind w:left="420"/>
              <w:spacing w:after="0"/>
              <w:rPr>
                <w:sz w:val="20"/>
                <w:szCs w:val="20"/>
                <w:color w:val="auto"/>
              </w:rPr>
            </w:pPr>
            <w:r>
              <w:rPr>
                <w:rFonts w:ascii="Arial" w:cs="Arial" w:eastAsia="Arial" w:hAnsi="Arial"/>
                <w:sz w:val="14"/>
                <w:szCs w:val="14"/>
                <w:color w:val="auto"/>
              </w:rPr>
              <w:t>Diluted</w:t>
            </w: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80" w:type="dxa"/>
            <w:vAlign w:val="bottom"/>
            <w:vMerge w:val="continue"/>
          </w:tcPr>
          <w:p>
            <w:pPr>
              <w:spacing w:after="0"/>
              <w:rPr>
                <w:sz w:val="13"/>
                <w:szCs w:val="13"/>
                <w:color w:val="auto"/>
              </w:rPr>
            </w:pPr>
          </w:p>
        </w:tc>
        <w:tc>
          <w:tcPr>
            <w:tcW w:w="300" w:type="dxa"/>
            <w:vAlign w:val="bottom"/>
            <w:tcBorders>
              <w:top w:val="single" w:sz="8" w:color="auto"/>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0.56</w:t>
            </w:r>
          </w:p>
        </w:tc>
        <w:tc>
          <w:tcPr>
            <w:tcW w:w="4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0.85</w:t>
            </w:r>
          </w:p>
        </w:tc>
        <w:tc>
          <w:tcPr>
            <w:tcW w:w="20" w:type="dxa"/>
            <w:vAlign w:val="bottom"/>
            <w:tcBorders>
              <w:top w:val="single" w:sz="8" w:color="auto"/>
              <w:bottom w:val="single" w:sz="8" w:color="auto"/>
            </w:tcBorders>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RECONCILIATION BETWEEN PRELIMINARY GAAP AND PRO FORMA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5608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0832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This information is being provided so as to allow</w:t>
      </w:r>
    </w:p>
    <w:p>
      <w:pPr>
        <w:spacing w:after="0"/>
        <w:rPr>
          <w:sz w:val="20"/>
          <w:szCs w:val="20"/>
          <w:color w:val="auto"/>
        </w:rPr>
      </w:pPr>
      <w:r>
        <w:rPr>
          <w:rFonts w:ascii="Arial" w:cs="Arial" w:eastAsia="Arial" w:hAnsi="Arial"/>
          <w:sz w:val="14"/>
          <w:szCs w:val="14"/>
          <w:i w:val="1"/>
          <w:iCs w:val="1"/>
          <w:color w:val="auto"/>
        </w:rPr>
        <w:t>for a comparison of our operating results without special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5608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08320" cy="8890"/>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top w:val="single" w:sz="8" w:color="auto"/>
              <w:bottom w:val="single" w:sz="8" w:color="auto"/>
            </w:tcBorders>
          </w:tcPr>
          <w:p>
            <w:pPr>
              <w:spacing w:after="0"/>
              <w:rPr>
                <w:sz w:val="16"/>
                <w:szCs w:val="16"/>
                <w:color w:val="auto"/>
              </w:rPr>
            </w:pPr>
          </w:p>
        </w:tc>
        <w:tc>
          <w:tcPr>
            <w:tcW w:w="1500" w:type="dxa"/>
            <w:vAlign w:val="bottom"/>
            <w:tcBorders>
              <w:top w:val="single" w:sz="8" w:color="auto"/>
              <w:bottom w:val="single" w:sz="8" w:color="auto"/>
            </w:tcBorders>
            <w:gridSpan w:val="2"/>
          </w:tcPr>
          <w:p>
            <w:pPr>
              <w:jc w:val="center"/>
              <w:ind w:right="8"/>
              <w:spacing w:after="0"/>
              <w:rPr>
                <w:sz w:val="20"/>
                <w:szCs w:val="20"/>
                <w:color w:val="auto"/>
              </w:rPr>
            </w:pPr>
            <w:r>
              <w:rPr>
                <w:rFonts w:ascii="Arial" w:cs="Arial" w:eastAsia="Arial" w:hAnsi="Arial"/>
                <w:sz w:val="14"/>
                <w:szCs w:val="14"/>
                <w:b w:val="1"/>
                <w:bCs w:val="1"/>
                <w:color w:val="auto"/>
                <w:w w:val="93"/>
              </w:rPr>
              <w:t>Three Months Ended</w:t>
            </w:r>
          </w:p>
        </w:tc>
        <w:tc>
          <w:tcPr>
            <w:tcW w:w="8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2220" w:type="dxa"/>
            <w:vAlign w:val="bottom"/>
            <w:tcBorders>
              <w:top w:val="single" w:sz="8" w:color="auto"/>
              <w:bottom w:val="single" w:sz="8" w:color="auto"/>
            </w:tcBorders>
            <w:gridSpan w:val="3"/>
          </w:tcPr>
          <w:p>
            <w:pPr>
              <w:jc w:val="center"/>
              <w:ind w:right="208"/>
              <w:spacing w:after="0"/>
              <w:rPr>
                <w:sz w:val="20"/>
                <w:szCs w:val="20"/>
                <w:color w:val="auto"/>
              </w:rPr>
            </w:pPr>
            <w:r>
              <w:rPr>
                <w:rFonts w:ascii="Arial" w:cs="Arial" w:eastAsia="Arial" w:hAnsi="Arial"/>
                <w:sz w:val="14"/>
                <w:szCs w:val="14"/>
                <w:b w:val="1"/>
                <w:bCs w:val="1"/>
                <w:color w:val="auto"/>
                <w:w w:val="91"/>
              </w:rPr>
              <w:t>Years Ended</w:t>
            </w:r>
          </w:p>
        </w:tc>
      </w:tr>
      <w:tr>
        <w:trPr>
          <w:trHeight w:val="169"/>
        </w:trPr>
        <w:tc>
          <w:tcPr>
            <w:tcW w:w="55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(Amounts in thousands)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5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2008</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2007</w:t>
            </w:r>
          </w:p>
        </w:tc>
      </w:tr>
      <w:tr>
        <w:trPr>
          <w:trHeight w:val="339"/>
        </w:trPr>
        <w:tc>
          <w:tcPr>
            <w:tcW w:w="5580" w:type="dxa"/>
            <w:vAlign w:val="bottom"/>
          </w:tcPr>
          <w:p>
            <w:pPr>
              <w:spacing w:after="0"/>
              <w:rPr>
                <w:sz w:val="20"/>
                <w:szCs w:val="20"/>
                <w:color w:val="auto"/>
              </w:rPr>
            </w:pPr>
            <w:r>
              <w:rPr>
                <w:rFonts w:ascii="Arial" w:cs="Arial" w:eastAsia="Arial" w:hAnsi="Arial"/>
                <w:sz w:val="14"/>
                <w:szCs w:val="14"/>
                <w:color w:val="auto"/>
              </w:rPr>
              <w:t>GAAP net income</w:t>
            </w:r>
          </w:p>
        </w:tc>
        <w:tc>
          <w:tcPr>
            <w:tcW w:w="92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8"/>
              <w:spacing w:after="0"/>
              <w:rPr>
                <w:sz w:val="20"/>
                <w:szCs w:val="20"/>
                <w:color w:val="auto"/>
              </w:rPr>
            </w:pPr>
            <w:r>
              <w:rPr>
                <w:rFonts w:ascii="Arial" w:cs="Arial" w:eastAsia="Arial" w:hAnsi="Arial"/>
                <w:sz w:val="14"/>
                <w:szCs w:val="14"/>
                <w:color w:val="auto"/>
                <w:w w:val="96"/>
              </w:rPr>
              <w:t>1,944</w:t>
            </w:r>
          </w:p>
        </w:tc>
        <w:tc>
          <w:tcPr>
            <w:tcW w:w="980" w:type="dxa"/>
            <w:vAlign w:val="bottom"/>
          </w:tcPr>
          <w:p>
            <w:pPr>
              <w:jc w:val="center"/>
              <w:ind w:right="5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88"/>
              <w:spacing w:after="0"/>
              <w:rPr>
                <w:sz w:val="20"/>
                <w:szCs w:val="20"/>
                <w:color w:val="auto"/>
              </w:rPr>
            </w:pPr>
            <w:r>
              <w:rPr>
                <w:rFonts w:ascii="Arial" w:cs="Arial" w:eastAsia="Arial" w:hAnsi="Arial"/>
                <w:sz w:val="14"/>
                <w:szCs w:val="14"/>
                <w:color w:val="auto"/>
              </w:rPr>
              <w:t>6,172</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15,019</w:t>
            </w:r>
          </w:p>
        </w:tc>
        <w:tc>
          <w:tcPr>
            <w:tcW w:w="34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28"/>
              <w:spacing w:after="0"/>
              <w:rPr>
                <w:sz w:val="20"/>
                <w:szCs w:val="20"/>
                <w:color w:val="auto"/>
              </w:rPr>
            </w:pPr>
            <w:r>
              <w:rPr>
                <w:rFonts w:ascii="Arial" w:cs="Arial" w:eastAsia="Arial" w:hAnsi="Arial"/>
                <w:sz w:val="14"/>
                <w:szCs w:val="14"/>
                <w:color w:val="auto"/>
              </w:rPr>
              <w:t>22,995</w:t>
            </w:r>
          </w:p>
        </w:tc>
      </w:tr>
      <w:tr>
        <w:trPr>
          <w:trHeight w:val="176"/>
        </w:trPr>
        <w:tc>
          <w:tcPr>
            <w:tcW w:w="5580" w:type="dxa"/>
            <w:vAlign w:val="bottom"/>
          </w:tcPr>
          <w:p>
            <w:pPr>
              <w:spacing w:after="0"/>
              <w:rPr>
                <w:sz w:val="20"/>
                <w:szCs w:val="20"/>
                <w:color w:val="auto"/>
              </w:rPr>
            </w:pPr>
            <w:r>
              <w:rPr>
                <w:rFonts w:ascii="Arial" w:cs="Arial" w:eastAsia="Arial" w:hAnsi="Arial"/>
                <w:sz w:val="14"/>
                <w:szCs w:val="14"/>
                <w:color w:val="auto"/>
              </w:rPr>
              <w:t>Special charges (after tax):</w:t>
            </w: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5580" w:type="dxa"/>
            <w:vAlign w:val="bottom"/>
          </w:tcPr>
          <w:p>
            <w:pPr>
              <w:ind w:left="420"/>
              <w:spacing w:after="0"/>
              <w:rPr>
                <w:sz w:val="20"/>
                <w:szCs w:val="20"/>
                <w:color w:val="auto"/>
              </w:rPr>
            </w:pPr>
            <w:r>
              <w:rPr>
                <w:rFonts w:ascii="Arial" w:cs="Arial" w:eastAsia="Arial" w:hAnsi="Arial"/>
                <w:sz w:val="14"/>
                <w:szCs w:val="14"/>
                <w:color w:val="auto"/>
              </w:rPr>
              <w:t>Goodwill impairment</w:t>
            </w:r>
          </w:p>
        </w:tc>
        <w:tc>
          <w:tcPr>
            <w:tcW w:w="920" w:type="dxa"/>
            <w:vAlign w:val="bottom"/>
          </w:tcPr>
          <w:p>
            <w:pPr>
              <w:spacing w:after="0"/>
              <w:rPr>
                <w:sz w:val="15"/>
                <w:szCs w:val="15"/>
                <w:color w:val="auto"/>
              </w:rPr>
            </w:pPr>
          </w:p>
        </w:tc>
        <w:tc>
          <w:tcPr>
            <w:tcW w:w="520" w:type="dxa"/>
            <w:vAlign w:val="bottom"/>
          </w:tcPr>
          <w:p>
            <w:pPr>
              <w:jc w:val="right"/>
              <w:ind w:right="88"/>
              <w:spacing w:after="0"/>
              <w:rPr>
                <w:sz w:val="20"/>
                <w:szCs w:val="20"/>
                <w:color w:val="auto"/>
              </w:rPr>
            </w:pPr>
            <w:r>
              <w:rPr>
                <w:rFonts w:ascii="Arial" w:cs="Arial" w:eastAsia="Arial" w:hAnsi="Arial"/>
                <w:sz w:val="14"/>
                <w:szCs w:val="14"/>
                <w:color w:val="auto"/>
              </w:rPr>
              <w:t>729</w:t>
            </w:r>
          </w:p>
        </w:tc>
        <w:tc>
          <w:tcPr>
            <w:tcW w:w="980" w:type="dxa"/>
            <w:vAlign w:val="bottom"/>
          </w:tcPr>
          <w:p>
            <w:pPr>
              <w:spacing w:after="0"/>
              <w:rPr>
                <w:sz w:val="15"/>
                <w:szCs w:val="15"/>
                <w:color w:val="auto"/>
              </w:rPr>
            </w:pPr>
          </w:p>
        </w:tc>
        <w:tc>
          <w:tcPr>
            <w:tcW w:w="8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729</w:t>
            </w:r>
          </w:p>
        </w:tc>
        <w:tc>
          <w:tcPr>
            <w:tcW w:w="340" w:type="dxa"/>
            <w:vAlign w:val="bottom"/>
          </w:tcPr>
          <w:p>
            <w:pPr>
              <w:spacing w:after="0"/>
              <w:rPr>
                <w:sz w:val="15"/>
                <w:szCs w:val="15"/>
                <w:color w:val="auto"/>
              </w:rPr>
            </w:pPr>
          </w:p>
        </w:tc>
        <w:tc>
          <w:tcPr>
            <w:tcW w:w="1060" w:type="dxa"/>
            <w:vAlign w:val="bottom"/>
          </w:tcPr>
          <w:p>
            <w:pPr>
              <w:jc w:val="right"/>
              <w:ind w:right="228"/>
              <w:spacing w:after="0"/>
              <w:rPr>
                <w:sz w:val="20"/>
                <w:szCs w:val="20"/>
                <w:color w:val="auto"/>
              </w:rPr>
            </w:pPr>
            <w:r>
              <w:rPr>
                <w:rFonts w:ascii="Arial" w:cs="Arial" w:eastAsia="Arial" w:hAnsi="Arial"/>
                <w:sz w:val="14"/>
                <w:szCs w:val="14"/>
                <w:color w:val="auto"/>
              </w:rPr>
              <w:t>-</w:t>
            </w:r>
          </w:p>
        </w:tc>
      </w:tr>
      <w:tr>
        <w:trPr>
          <w:trHeight w:val="181"/>
        </w:trPr>
        <w:tc>
          <w:tcPr>
            <w:tcW w:w="5580" w:type="dxa"/>
            <w:vAlign w:val="bottom"/>
          </w:tcPr>
          <w:p>
            <w:pPr>
              <w:ind w:left="420"/>
              <w:spacing w:after="0"/>
              <w:rPr>
                <w:sz w:val="20"/>
                <w:szCs w:val="20"/>
                <w:color w:val="auto"/>
              </w:rPr>
            </w:pPr>
            <w:r>
              <w:rPr>
                <w:rFonts w:ascii="Arial" w:cs="Arial" w:eastAsia="Arial" w:hAnsi="Arial"/>
                <w:sz w:val="14"/>
                <w:szCs w:val="14"/>
                <w:color w:val="auto"/>
              </w:rPr>
              <w:t>Management restructuring</w:t>
            </w: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906</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336</w:t>
            </w:r>
          </w:p>
        </w:tc>
      </w:tr>
      <w:tr>
        <w:trPr>
          <w:trHeight w:val="169"/>
        </w:trPr>
        <w:tc>
          <w:tcPr>
            <w:tcW w:w="5580" w:type="dxa"/>
            <w:vAlign w:val="bottom"/>
          </w:tcPr>
          <w:p>
            <w:pPr>
              <w:spacing w:after="0"/>
              <w:rPr>
                <w:sz w:val="20"/>
                <w:szCs w:val="20"/>
                <w:color w:val="auto"/>
              </w:rPr>
            </w:pPr>
            <w:r>
              <w:rPr>
                <w:rFonts w:ascii="Arial" w:cs="Arial" w:eastAsia="Arial" w:hAnsi="Arial"/>
                <w:sz w:val="14"/>
                <w:szCs w:val="14"/>
                <w:color w:val="auto"/>
              </w:rPr>
              <w:t>Total special charges (after tax)</w:t>
            </w:r>
          </w:p>
        </w:tc>
        <w:tc>
          <w:tcPr>
            <w:tcW w:w="9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729</w:t>
            </w:r>
          </w:p>
        </w:tc>
        <w:tc>
          <w:tcPr>
            <w:tcW w:w="9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1,635</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336</w:t>
            </w:r>
          </w:p>
        </w:tc>
      </w:tr>
      <w:tr>
        <w:trPr>
          <w:trHeight w:val="345"/>
        </w:trPr>
        <w:tc>
          <w:tcPr>
            <w:tcW w:w="5580" w:type="dxa"/>
            <w:vAlign w:val="bottom"/>
          </w:tcPr>
          <w:p>
            <w:pPr>
              <w:spacing w:after="0"/>
              <w:rPr>
                <w:sz w:val="20"/>
                <w:szCs w:val="20"/>
                <w:color w:val="auto"/>
              </w:rPr>
            </w:pPr>
            <w:r>
              <w:rPr>
                <w:rFonts w:ascii="Arial" w:cs="Arial" w:eastAsia="Arial" w:hAnsi="Arial"/>
                <w:sz w:val="14"/>
                <w:szCs w:val="14"/>
                <w:color w:val="auto"/>
              </w:rPr>
              <w:t>Pro forma net income</w:t>
            </w:r>
          </w:p>
        </w:tc>
        <w:tc>
          <w:tcPr>
            <w:tcW w:w="92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8"/>
              <w:spacing w:after="0"/>
              <w:rPr>
                <w:sz w:val="20"/>
                <w:szCs w:val="20"/>
                <w:color w:val="auto"/>
              </w:rPr>
            </w:pPr>
            <w:r>
              <w:rPr>
                <w:rFonts w:ascii="Arial" w:cs="Arial" w:eastAsia="Arial" w:hAnsi="Arial"/>
                <w:sz w:val="14"/>
                <w:szCs w:val="14"/>
                <w:color w:val="auto"/>
                <w:w w:val="96"/>
              </w:rPr>
              <w:t>2,673</w:t>
            </w:r>
          </w:p>
        </w:tc>
        <w:tc>
          <w:tcPr>
            <w:tcW w:w="980" w:type="dxa"/>
            <w:vAlign w:val="bottom"/>
          </w:tcPr>
          <w:p>
            <w:pPr>
              <w:jc w:val="center"/>
              <w:ind w:right="5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88"/>
              <w:spacing w:after="0"/>
              <w:rPr>
                <w:sz w:val="20"/>
                <w:szCs w:val="20"/>
                <w:color w:val="auto"/>
              </w:rPr>
            </w:pPr>
            <w:r>
              <w:rPr>
                <w:rFonts w:ascii="Arial" w:cs="Arial" w:eastAsia="Arial" w:hAnsi="Arial"/>
                <w:sz w:val="14"/>
                <w:szCs w:val="14"/>
                <w:color w:val="auto"/>
              </w:rPr>
              <w:t>6,508</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16,654</w:t>
            </w:r>
          </w:p>
        </w:tc>
        <w:tc>
          <w:tcPr>
            <w:tcW w:w="34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28"/>
              <w:spacing w:after="0"/>
              <w:rPr>
                <w:sz w:val="20"/>
                <w:szCs w:val="20"/>
                <w:color w:val="auto"/>
              </w:rPr>
            </w:pPr>
            <w:r>
              <w:rPr>
                <w:rFonts w:ascii="Arial" w:cs="Arial" w:eastAsia="Arial" w:hAnsi="Arial"/>
                <w:sz w:val="14"/>
                <w:szCs w:val="14"/>
                <w:color w:val="auto"/>
              </w:rPr>
              <w:t>23,331</w:t>
            </w:r>
          </w:p>
        </w:tc>
      </w:tr>
      <w:tr>
        <w:trPr>
          <w:trHeight w:val="20"/>
        </w:trPr>
        <w:tc>
          <w:tcPr>
            <w:tcW w:w="5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55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r>
        <w:trPr>
          <w:trHeight w:val="21"/>
        </w:trPr>
        <w:tc>
          <w:tcPr>
            <w:tcW w:w="558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5"/>
        </w:trPr>
        <w:tc>
          <w:tcPr>
            <w:tcW w:w="7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CONSOLIDATED BALANCE SHEETS</w:t>
            </w:r>
          </w:p>
        </w:tc>
        <w:tc>
          <w:tcPr>
            <w:tcW w:w="3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7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(amounts in thousands)</w:t>
            </w:r>
          </w:p>
        </w:tc>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2008</w:t>
            </w: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339"/>
        </w:trPr>
        <w:tc>
          <w:tcPr>
            <w:tcW w:w="74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440" w:type="dxa"/>
            <w:vAlign w:val="bottom"/>
          </w:tcPr>
          <w:p>
            <w:pPr>
              <w:spacing w:after="0"/>
              <w:rPr>
                <w:sz w:val="20"/>
                <w:szCs w:val="20"/>
                <w:color w:val="auto"/>
              </w:rPr>
            </w:pPr>
            <w:r>
              <w:rPr>
                <w:rFonts w:ascii="Arial" w:cs="Arial" w:eastAsia="Arial" w:hAnsi="Arial"/>
                <w:sz w:val="14"/>
                <w:szCs w:val="14"/>
                <w:color w:val="auto"/>
              </w:rPr>
              <w:t>Current Assets:</w:t>
            </w:r>
          </w:p>
        </w:tc>
        <w:tc>
          <w:tcPr>
            <w:tcW w:w="3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4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47,003</w:t>
            </w:r>
          </w:p>
        </w:tc>
        <w:tc>
          <w:tcPr>
            <w:tcW w:w="5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148"/>
              <w:spacing w:after="0"/>
              <w:rPr>
                <w:sz w:val="20"/>
                <w:szCs w:val="20"/>
                <w:color w:val="auto"/>
              </w:rPr>
            </w:pPr>
            <w:r>
              <w:rPr>
                <w:rFonts w:ascii="Arial" w:cs="Arial" w:eastAsia="Arial" w:hAnsi="Arial"/>
                <w:sz w:val="14"/>
                <w:szCs w:val="14"/>
                <w:color w:val="auto"/>
              </w:rPr>
              <w:t>13,741</w:t>
            </w:r>
          </w:p>
        </w:tc>
        <w:tc>
          <w:tcPr>
            <w:tcW w:w="0" w:type="dxa"/>
            <w:vAlign w:val="bottom"/>
          </w:tcPr>
          <w:p>
            <w:pPr>
              <w:spacing w:after="0"/>
              <w:rPr>
                <w:sz w:val="1"/>
                <w:szCs w:val="1"/>
                <w:color w:val="auto"/>
              </w:rPr>
            </w:pPr>
          </w:p>
        </w:tc>
      </w:tr>
      <w:tr>
        <w:trPr>
          <w:trHeight w:val="176"/>
        </w:trPr>
        <w:tc>
          <w:tcPr>
            <w:tcW w:w="7440" w:type="dxa"/>
            <w:vAlign w:val="bottom"/>
          </w:tcPr>
          <w:p>
            <w:pPr>
              <w:spacing w:after="0"/>
              <w:rPr>
                <w:sz w:val="20"/>
                <w:szCs w:val="20"/>
                <w:color w:val="auto"/>
              </w:rPr>
            </w:pPr>
            <w:r>
              <w:rPr>
                <w:rFonts w:ascii="Arial" w:cs="Arial" w:eastAsia="Arial" w:hAnsi="Arial"/>
                <w:sz w:val="14"/>
                <w:szCs w:val="14"/>
                <w:color w:val="auto"/>
              </w:rPr>
              <w:t>Accounts receivable, net</w:t>
            </w:r>
          </w:p>
        </w:tc>
        <w:tc>
          <w:tcPr>
            <w:tcW w:w="380" w:type="dxa"/>
            <w:vAlign w:val="bottom"/>
          </w:tcPr>
          <w:p>
            <w:pPr>
              <w:spacing w:after="0"/>
              <w:rPr>
                <w:sz w:val="15"/>
                <w:szCs w:val="15"/>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185,885</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jc w:val="right"/>
              <w:ind w:right="148"/>
              <w:spacing w:after="0"/>
              <w:rPr>
                <w:sz w:val="20"/>
                <w:szCs w:val="20"/>
                <w:color w:val="auto"/>
              </w:rPr>
            </w:pPr>
            <w:r>
              <w:rPr>
                <w:rFonts w:ascii="Arial" w:cs="Arial" w:eastAsia="Arial" w:hAnsi="Arial"/>
                <w:sz w:val="14"/>
                <w:szCs w:val="14"/>
                <w:color w:val="auto"/>
              </w:rPr>
              <w:t>202,216</w:t>
            </w:r>
          </w:p>
        </w:tc>
        <w:tc>
          <w:tcPr>
            <w:tcW w:w="0" w:type="dxa"/>
            <w:vAlign w:val="bottom"/>
          </w:tcPr>
          <w:p>
            <w:pPr>
              <w:spacing w:after="0"/>
              <w:rPr>
                <w:sz w:val="1"/>
                <w:szCs w:val="1"/>
                <w:color w:val="auto"/>
              </w:rPr>
            </w:pPr>
          </w:p>
        </w:tc>
      </w:tr>
      <w:tr>
        <w:trPr>
          <w:trHeight w:val="176"/>
        </w:trPr>
        <w:tc>
          <w:tcPr>
            <w:tcW w:w="7440" w:type="dxa"/>
            <w:vAlign w:val="bottom"/>
          </w:tcPr>
          <w:p>
            <w:pPr>
              <w:spacing w:after="0"/>
              <w:rPr>
                <w:sz w:val="20"/>
                <w:szCs w:val="20"/>
                <w:color w:val="auto"/>
              </w:rPr>
            </w:pPr>
            <w:r>
              <w:rPr>
                <w:rFonts w:ascii="Arial" w:cs="Arial" w:eastAsia="Arial" w:hAnsi="Arial"/>
                <w:sz w:val="14"/>
                <w:szCs w:val="14"/>
                <w:color w:val="auto"/>
              </w:rPr>
              <w:t>Inventories–merchandise</w:t>
            </w:r>
          </w:p>
        </w:tc>
        <w:tc>
          <w:tcPr>
            <w:tcW w:w="380" w:type="dxa"/>
            <w:vAlign w:val="bottom"/>
          </w:tcPr>
          <w:p>
            <w:pPr>
              <w:spacing w:after="0"/>
              <w:rPr>
                <w:sz w:val="15"/>
                <w:szCs w:val="15"/>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60,813</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jc w:val="right"/>
              <w:ind w:right="148"/>
              <w:spacing w:after="0"/>
              <w:rPr>
                <w:sz w:val="20"/>
                <w:szCs w:val="20"/>
                <w:color w:val="auto"/>
              </w:rPr>
            </w:pPr>
            <w:r>
              <w:rPr>
                <w:rFonts w:ascii="Arial" w:cs="Arial" w:eastAsia="Arial" w:hAnsi="Arial"/>
                <w:sz w:val="14"/>
                <w:szCs w:val="14"/>
                <w:color w:val="auto"/>
              </w:rPr>
              <w:t>76,090</w:t>
            </w:r>
          </w:p>
        </w:tc>
        <w:tc>
          <w:tcPr>
            <w:tcW w:w="0" w:type="dxa"/>
            <w:vAlign w:val="bottom"/>
          </w:tcPr>
          <w:p>
            <w:pPr>
              <w:spacing w:after="0"/>
              <w:rPr>
                <w:sz w:val="1"/>
                <w:szCs w:val="1"/>
                <w:color w:val="auto"/>
              </w:rPr>
            </w:pPr>
          </w:p>
        </w:tc>
      </w:tr>
      <w:tr>
        <w:trPr>
          <w:trHeight w:val="176"/>
        </w:trPr>
        <w:tc>
          <w:tcPr>
            <w:tcW w:w="7440" w:type="dxa"/>
            <w:vAlign w:val="bottom"/>
          </w:tcPr>
          <w:p>
            <w:pPr>
              <w:spacing w:after="0"/>
              <w:rPr>
                <w:sz w:val="20"/>
                <w:szCs w:val="20"/>
                <w:color w:val="auto"/>
              </w:rPr>
            </w:pPr>
            <w:r>
              <w:rPr>
                <w:rFonts w:ascii="Arial" w:cs="Arial" w:eastAsia="Arial" w:hAnsi="Arial"/>
                <w:sz w:val="14"/>
                <w:szCs w:val="14"/>
                <w:color w:val="auto"/>
              </w:rPr>
              <w:t>Deferred income taxes</w:t>
            </w:r>
          </w:p>
        </w:tc>
        <w:tc>
          <w:tcPr>
            <w:tcW w:w="380" w:type="dxa"/>
            <w:vAlign w:val="bottom"/>
          </w:tcPr>
          <w:p>
            <w:pPr>
              <w:spacing w:after="0"/>
              <w:rPr>
                <w:sz w:val="15"/>
                <w:szCs w:val="15"/>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2,807</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jc w:val="right"/>
              <w:ind w:right="148"/>
              <w:spacing w:after="0"/>
              <w:rPr>
                <w:sz w:val="20"/>
                <w:szCs w:val="20"/>
                <w:color w:val="auto"/>
              </w:rPr>
            </w:pPr>
            <w:r>
              <w:rPr>
                <w:rFonts w:ascii="Arial" w:cs="Arial" w:eastAsia="Arial" w:hAnsi="Arial"/>
                <w:sz w:val="14"/>
                <w:szCs w:val="14"/>
                <w:color w:val="auto"/>
              </w:rPr>
              <w:t>2,858</w:t>
            </w:r>
          </w:p>
        </w:tc>
        <w:tc>
          <w:tcPr>
            <w:tcW w:w="0" w:type="dxa"/>
            <w:vAlign w:val="bottom"/>
          </w:tcPr>
          <w:p>
            <w:pPr>
              <w:spacing w:after="0"/>
              <w:rPr>
                <w:sz w:val="1"/>
                <w:szCs w:val="1"/>
                <w:color w:val="auto"/>
              </w:rPr>
            </w:pPr>
          </w:p>
        </w:tc>
      </w:tr>
      <w:tr>
        <w:trPr>
          <w:trHeight w:val="176"/>
        </w:trPr>
        <w:tc>
          <w:tcPr>
            <w:tcW w:w="7440" w:type="dxa"/>
            <w:vAlign w:val="bottom"/>
          </w:tcPr>
          <w:p>
            <w:pPr>
              <w:spacing w:after="0"/>
              <w:rPr>
                <w:sz w:val="20"/>
                <w:szCs w:val="20"/>
                <w:color w:val="auto"/>
              </w:rPr>
            </w:pPr>
            <w:r>
              <w:rPr>
                <w:rFonts w:ascii="Arial" w:cs="Arial" w:eastAsia="Arial" w:hAnsi="Arial"/>
                <w:sz w:val="14"/>
                <w:szCs w:val="14"/>
                <w:color w:val="auto"/>
              </w:rPr>
              <w:t>Income taxes receivable</w:t>
            </w:r>
          </w:p>
        </w:tc>
        <w:tc>
          <w:tcPr>
            <w:tcW w:w="380" w:type="dxa"/>
            <w:vAlign w:val="bottom"/>
          </w:tcPr>
          <w:p>
            <w:pPr>
              <w:spacing w:after="0"/>
              <w:rPr>
                <w:sz w:val="15"/>
                <w:szCs w:val="15"/>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1,448</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jc w:val="right"/>
              <w:ind w:right="148"/>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181"/>
        </w:trPr>
        <w:tc>
          <w:tcPr>
            <w:tcW w:w="7440" w:type="dxa"/>
            <w:vAlign w:val="bottom"/>
          </w:tcPr>
          <w:p>
            <w:pPr>
              <w:spacing w:after="0"/>
              <w:rPr>
                <w:sz w:val="20"/>
                <w:szCs w:val="20"/>
                <w:color w:val="auto"/>
              </w:rPr>
            </w:pPr>
            <w:r>
              <w:rPr>
                <w:rFonts w:ascii="Arial" w:cs="Arial" w:eastAsia="Arial" w:hAnsi="Arial"/>
                <w:sz w:val="14"/>
                <w:szCs w:val="14"/>
                <w:color w:val="auto"/>
              </w:rPr>
              <w:t>Prepaid expenses and other current assets</w:t>
            </w:r>
          </w:p>
        </w:tc>
        <w:tc>
          <w:tcPr>
            <w:tcW w:w="3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3,626</w:t>
            </w: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4,322</w:t>
            </w:r>
          </w:p>
        </w:tc>
        <w:tc>
          <w:tcPr>
            <w:tcW w:w="0" w:type="dxa"/>
            <w:vAlign w:val="bottom"/>
          </w:tcPr>
          <w:p>
            <w:pPr>
              <w:spacing w:after="0"/>
              <w:rPr>
                <w:sz w:val="1"/>
                <w:szCs w:val="1"/>
                <w:color w:val="auto"/>
              </w:rPr>
            </w:pPr>
          </w:p>
        </w:tc>
      </w:tr>
      <w:tr>
        <w:trPr>
          <w:trHeight w:val="164"/>
        </w:trPr>
        <w:tc>
          <w:tcPr>
            <w:tcW w:w="7440" w:type="dxa"/>
            <w:vAlign w:val="bottom"/>
          </w:tcPr>
          <w:p>
            <w:pPr>
              <w:ind w:left="540"/>
              <w:spacing w:after="0"/>
              <w:rPr>
                <w:sz w:val="20"/>
                <w:szCs w:val="20"/>
                <w:color w:val="auto"/>
              </w:rPr>
            </w:pPr>
            <w:r>
              <w:rPr>
                <w:rFonts w:ascii="Arial" w:cs="Arial" w:eastAsia="Arial" w:hAnsi="Arial"/>
                <w:sz w:val="14"/>
                <w:szCs w:val="14"/>
                <w:b w:val="1"/>
                <w:bCs w:val="1"/>
                <w:color w:val="auto"/>
              </w:rPr>
              <w:t>Total current assets</w:t>
            </w:r>
          </w:p>
        </w:tc>
        <w:tc>
          <w:tcPr>
            <w:tcW w:w="380" w:type="dxa"/>
            <w:vAlign w:val="bottom"/>
          </w:tcPr>
          <w:p>
            <w:pPr>
              <w:spacing w:after="0"/>
              <w:rPr>
                <w:sz w:val="14"/>
                <w:szCs w:val="14"/>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301,582</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jc w:val="right"/>
              <w:ind w:right="148"/>
              <w:spacing w:after="0"/>
              <w:rPr>
                <w:sz w:val="20"/>
                <w:szCs w:val="20"/>
                <w:color w:val="auto"/>
              </w:rPr>
            </w:pPr>
            <w:r>
              <w:rPr>
                <w:rFonts w:ascii="Arial" w:cs="Arial" w:eastAsia="Arial" w:hAnsi="Arial"/>
                <w:sz w:val="14"/>
                <w:szCs w:val="14"/>
                <w:color w:val="auto"/>
              </w:rPr>
              <w:t>299,572</w:t>
            </w:r>
          </w:p>
        </w:tc>
        <w:tc>
          <w:tcPr>
            <w:tcW w:w="0" w:type="dxa"/>
            <w:vAlign w:val="bottom"/>
          </w:tcPr>
          <w:p>
            <w:pPr>
              <w:spacing w:after="0"/>
              <w:rPr>
                <w:sz w:val="1"/>
                <w:szCs w:val="1"/>
                <w:color w:val="auto"/>
              </w:rPr>
            </w:pPr>
          </w:p>
        </w:tc>
      </w:tr>
      <w:tr>
        <w:trPr>
          <w:trHeight w:val="176"/>
        </w:trPr>
        <w:tc>
          <w:tcPr>
            <w:tcW w:w="74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380" w:type="dxa"/>
            <w:vAlign w:val="bottom"/>
          </w:tcPr>
          <w:p>
            <w:pPr>
              <w:spacing w:after="0"/>
              <w:rPr>
                <w:sz w:val="15"/>
                <w:szCs w:val="15"/>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24,483</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jc w:val="right"/>
              <w:ind w:right="148"/>
              <w:spacing w:after="0"/>
              <w:rPr>
                <w:sz w:val="20"/>
                <w:szCs w:val="20"/>
                <w:color w:val="auto"/>
              </w:rPr>
            </w:pPr>
            <w:r>
              <w:rPr>
                <w:rFonts w:ascii="Arial" w:cs="Arial" w:eastAsia="Arial" w:hAnsi="Arial"/>
                <w:sz w:val="14"/>
                <w:szCs w:val="14"/>
                <w:color w:val="auto"/>
              </w:rPr>
              <w:t>20,831</w:t>
            </w:r>
          </w:p>
        </w:tc>
        <w:tc>
          <w:tcPr>
            <w:tcW w:w="0" w:type="dxa"/>
            <w:vAlign w:val="bottom"/>
          </w:tcPr>
          <w:p>
            <w:pPr>
              <w:spacing w:after="0"/>
              <w:rPr>
                <w:sz w:val="1"/>
                <w:szCs w:val="1"/>
                <w:color w:val="auto"/>
              </w:rPr>
            </w:pPr>
          </w:p>
        </w:tc>
      </w:tr>
      <w:tr>
        <w:trPr>
          <w:trHeight w:val="176"/>
        </w:trPr>
        <w:tc>
          <w:tcPr>
            <w:tcW w:w="7440" w:type="dxa"/>
            <w:vAlign w:val="bottom"/>
          </w:tcPr>
          <w:p>
            <w:pPr>
              <w:spacing w:after="0"/>
              <w:rPr>
                <w:sz w:val="20"/>
                <w:szCs w:val="20"/>
                <w:color w:val="auto"/>
              </w:rPr>
            </w:pPr>
            <w:r>
              <w:rPr>
                <w:rFonts w:ascii="Arial" w:cs="Arial" w:eastAsia="Arial" w:hAnsi="Arial"/>
                <w:sz w:val="14"/>
                <w:szCs w:val="14"/>
                <w:color w:val="auto"/>
              </w:rPr>
              <w:t>Goodwill</w:t>
            </w:r>
          </w:p>
        </w:tc>
        <w:tc>
          <w:tcPr>
            <w:tcW w:w="380" w:type="dxa"/>
            <w:vAlign w:val="bottom"/>
          </w:tcPr>
          <w:p>
            <w:pPr>
              <w:spacing w:after="0"/>
              <w:rPr>
                <w:sz w:val="15"/>
                <w:szCs w:val="15"/>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55,695</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jc w:val="right"/>
              <w:ind w:right="148"/>
              <w:spacing w:after="0"/>
              <w:rPr>
                <w:sz w:val="20"/>
                <w:szCs w:val="20"/>
                <w:color w:val="auto"/>
              </w:rPr>
            </w:pPr>
            <w:r>
              <w:rPr>
                <w:rFonts w:ascii="Arial" w:cs="Arial" w:eastAsia="Arial" w:hAnsi="Arial"/>
                <w:sz w:val="14"/>
                <w:szCs w:val="14"/>
                <w:color w:val="auto"/>
              </w:rPr>
              <w:t>56,867</w:t>
            </w:r>
          </w:p>
        </w:tc>
        <w:tc>
          <w:tcPr>
            <w:tcW w:w="0" w:type="dxa"/>
            <w:vAlign w:val="bottom"/>
          </w:tcPr>
          <w:p>
            <w:pPr>
              <w:spacing w:after="0"/>
              <w:rPr>
                <w:sz w:val="1"/>
                <w:szCs w:val="1"/>
                <w:color w:val="auto"/>
              </w:rPr>
            </w:pPr>
          </w:p>
        </w:tc>
      </w:tr>
      <w:tr>
        <w:trPr>
          <w:trHeight w:val="176"/>
        </w:trPr>
        <w:tc>
          <w:tcPr>
            <w:tcW w:w="7440" w:type="dxa"/>
            <w:vAlign w:val="bottom"/>
          </w:tcPr>
          <w:p>
            <w:pPr>
              <w:spacing w:after="0"/>
              <w:rPr>
                <w:sz w:val="20"/>
                <w:szCs w:val="20"/>
                <w:color w:val="auto"/>
              </w:rPr>
            </w:pPr>
            <w:r>
              <w:rPr>
                <w:rFonts w:ascii="Arial" w:cs="Arial" w:eastAsia="Arial" w:hAnsi="Arial"/>
                <w:sz w:val="14"/>
                <w:szCs w:val="14"/>
                <w:color w:val="auto"/>
              </w:rPr>
              <w:t>Other intangibles, net</w:t>
            </w:r>
          </w:p>
        </w:tc>
        <w:tc>
          <w:tcPr>
            <w:tcW w:w="380" w:type="dxa"/>
            <w:vAlign w:val="bottom"/>
          </w:tcPr>
          <w:p>
            <w:pPr>
              <w:spacing w:after="0"/>
              <w:rPr>
                <w:sz w:val="15"/>
                <w:szCs w:val="15"/>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2,220</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jc w:val="right"/>
              <w:ind w:right="148"/>
              <w:spacing w:after="0"/>
              <w:rPr>
                <w:sz w:val="20"/>
                <w:szCs w:val="20"/>
                <w:color w:val="auto"/>
              </w:rPr>
            </w:pPr>
            <w:r>
              <w:rPr>
                <w:rFonts w:ascii="Arial" w:cs="Arial" w:eastAsia="Arial" w:hAnsi="Arial"/>
                <w:sz w:val="14"/>
                <w:szCs w:val="14"/>
                <w:color w:val="auto"/>
              </w:rPr>
              <w:t>3,291</w:t>
            </w:r>
          </w:p>
        </w:tc>
        <w:tc>
          <w:tcPr>
            <w:tcW w:w="0" w:type="dxa"/>
            <w:vAlign w:val="bottom"/>
          </w:tcPr>
          <w:p>
            <w:pPr>
              <w:spacing w:after="0"/>
              <w:rPr>
                <w:sz w:val="1"/>
                <w:szCs w:val="1"/>
                <w:color w:val="auto"/>
              </w:rPr>
            </w:pPr>
          </w:p>
        </w:tc>
      </w:tr>
      <w:tr>
        <w:trPr>
          <w:trHeight w:val="181"/>
        </w:trPr>
        <w:tc>
          <w:tcPr>
            <w:tcW w:w="7440" w:type="dxa"/>
            <w:vAlign w:val="bottom"/>
          </w:tcPr>
          <w:p>
            <w:pPr>
              <w:spacing w:after="0"/>
              <w:rPr>
                <w:sz w:val="20"/>
                <w:szCs w:val="20"/>
                <w:color w:val="auto"/>
              </w:rPr>
            </w:pPr>
            <w:r>
              <w:rPr>
                <w:rFonts w:ascii="Arial" w:cs="Arial" w:eastAsia="Arial" w:hAnsi="Arial"/>
                <w:sz w:val="14"/>
                <w:szCs w:val="14"/>
                <w:color w:val="auto"/>
              </w:rPr>
              <w:t>Other assets</w:t>
            </w:r>
          </w:p>
        </w:tc>
        <w:tc>
          <w:tcPr>
            <w:tcW w:w="3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385</w:t>
            </w: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169"/>
        </w:trPr>
        <w:tc>
          <w:tcPr>
            <w:tcW w:w="7440" w:type="dxa"/>
            <w:vAlign w:val="bottom"/>
          </w:tcPr>
          <w:p>
            <w:pPr>
              <w:ind w:left="540"/>
              <w:spacing w:after="0"/>
              <w:rPr>
                <w:sz w:val="20"/>
                <w:szCs w:val="20"/>
                <w:color w:val="auto"/>
              </w:rPr>
            </w:pPr>
            <w:r>
              <w:rPr>
                <w:rFonts w:ascii="Arial" w:cs="Arial" w:eastAsia="Arial" w:hAnsi="Arial"/>
                <w:sz w:val="14"/>
                <w:szCs w:val="14"/>
                <w:b w:val="1"/>
                <w:bCs w:val="1"/>
                <w:color w:val="auto"/>
              </w:rPr>
              <w:t>Total Assets</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384,365</w:t>
            </w:r>
          </w:p>
        </w:tc>
        <w:tc>
          <w:tcPr>
            <w:tcW w:w="160" w:type="dxa"/>
            <w:vAlign w:val="bottom"/>
          </w:tcPr>
          <w:p>
            <w:pPr>
              <w:spacing w:after="0"/>
              <w:rPr>
                <w:sz w:val="14"/>
                <w:szCs w:val="14"/>
                <w:color w:val="auto"/>
              </w:rPr>
            </w:pP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380,879</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74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7440" w:type="dxa"/>
            <w:vAlign w:val="bottom"/>
          </w:tcPr>
          <w:p>
            <w:pPr>
              <w:spacing w:after="0"/>
              <w:rPr>
                <w:sz w:val="20"/>
                <w:szCs w:val="20"/>
                <w:color w:val="auto"/>
              </w:rPr>
            </w:pPr>
            <w:r>
              <w:rPr>
                <w:rFonts w:ascii="Arial" w:cs="Arial" w:eastAsia="Arial" w:hAnsi="Arial"/>
                <w:sz w:val="14"/>
                <w:szCs w:val="14"/>
                <w:color w:val="auto"/>
              </w:rPr>
              <w:t>Current Liabilities:</w:t>
            </w: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440" w:type="dxa"/>
            <w:vAlign w:val="bottom"/>
          </w:tcPr>
          <w:p>
            <w:pPr>
              <w:spacing w:after="0"/>
              <w:rPr>
                <w:sz w:val="20"/>
                <w:szCs w:val="20"/>
                <w:color w:val="auto"/>
              </w:rPr>
            </w:pPr>
            <w:r>
              <w:rPr>
                <w:rFonts w:ascii="Arial" w:cs="Arial" w:eastAsia="Arial" w:hAnsi="Arial"/>
                <w:sz w:val="14"/>
                <w:szCs w:val="14"/>
                <w:color w:val="auto"/>
              </w:rPr>
              <w:t>Current maturities of capital lease obligation to affiliate</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699</w:t>
            </w:r>
          </w:p>
        </w:tc>
        <w:tc>
          <w:tcPr>
            <w:tcW w:w="5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148"/>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176"/>
        </w:trPr>
        <w:tc>
          <w:tcPr>
            <w:tcW w:w="7440" w:type="dxa"/>
            <w:vAlign w:val="bottom"/>
          </w:tcPr>
          <w:p>
            <w:pPr>
              <w:spacing w:after="0"/>
              <w:rPr>
                <w:sz w:val="20"/>
                <w:szCs w:val="20"/>
                <w:color w:val="auto"/>
              </w:rPr>
            </w:pPr>
            <w:r>
              <w:rPr>
                <w:rFonts w:ascii="Arial" w:cs="Arial" w:eastAsia="Arial" w:hAnsi="Arial"/>
                <w:sz w:val="14"/>
                <w:szCs w:val="14"/>
                <w:color w:val="auto"/>
              </w:rPr>
              <w:t>Accounts payable</w:t>
            </w:r>
          </w:p>
        </w:tc>
        <w:tc>
          <w:tcPr>
            <w:tcW w:w="380" w:type="dxa"/>
            <w:vAlign w:val="bottom"/>
          </w:tcPr>
          <w:p>
            <w:pPr>
              <w:spacing w:after="0"/>
              <w:rPr>
                <w:sz w:val="15"/>
                <w:szCs w:val="15"/>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101,783</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jc w:val="right"/>
              <w:ind w:right="148"/>
              <w:spacing w:after="0"/>
              <w:rPr>
                <w:sz w:val="20"/>
                <w:szCs w:val="20"/>
                <w:color w:val="auto"/>
              </w:rPr>
            </w:pPr>
            <w:r>
              <w:rPr>
                <w:rFonts w:ascii="Arial" w:cs="Arial" w:eastAsia="Arial" w:hAnsi="Arial"/>
                <w:sz w:val="14"/>
                <w:szCs w:val="14"/>
                <w:color w:val="auto"/>
              </w:rPr>
              <w:t>111,140</w:t>
            </w:r>
          </w:p>
        </w:tc>
        <w:tc>
          <w:tcPr>
            <w:tcW w:w="0" w:type="dxa"/>
            <w:vAlign w:val="bottom"/>
          </w:tcPr>
          <w:p>
            <w:pPr>
              <w:spacing w:after="0"/>
              <w:rPr>
                <w:sz w:val="1"/>
                <w:szCs w:val="1"/>
                <w:color w:val="auto"/>
              </w:rPr>
            </w:pPr>
          </w:p>
        </w:tc>
      </w:tr>
      <w:tr>
        <w:trPr>
          <w:trHeight w:val="176"/>
        </w:trPr>
        <w:tc>
          <w:tcPr>
            <w:tcW w:w="7440" w:type="dxa"/>
            <w:vAlign w:val="bottom"/>
          </w:tcPr>
          <w:p>
            <w:pPr>
              <w:spacing w:after="0"/>
              <w:rPr>
                <w:sz w:val="20"/>
                <w:szCs w:val="20"/>
                <w:color w:val="auto"/>
              </w:rPr>
            </w:pPr>
            <w:r>
              <w:rPr>
                <w:rFonts w:ascii="Arial" w:cs="Arial" w:eastAsia="Arial" w:hAnsi="Arial"/>
                <w:sz w:val="14"/>
                <w:szCs w:val="14"/>
                <w:color w:val="auto"/>
              </w:rPr>
              <w:t>Accrued expenses and other liabilities</w:t>
            </w:r>
          </w:p>
        </w:tc>
        <w:tc>
          <w:tcPr>
            <w:tcW w:w="380" w:type="dxa"/>
            <w:vAlign w:val="bottom"/>
          </w:tcPr>
          <w:p>
            <w:pPr>
              <w:spacing w:after="0"/>
              <w:rPr>
                <w:sz w:val="15"/>
                <w:szCs w:val="15"/>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19,993</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jc w:val="right"/>
              <w:ind w:right="148"/>
              <w:spacing w:after="0"/>
              <w:rPr>
                <w:sz w:val="20"/>
                <w:szCs w:val="20"/>
                <w:color w:val="auto"/>
              </w:rPr>
            </w:pPr>
            <w:r>
              <w:rPr>
                <w:rFonts w:ascii="Arial" w:cs="Arial" w:eastAsia="Arial" w:hAnsi="Arial"/>
                <w:sz w:val="14"/>
                <w:szCs w:val="14"/>
                <w:color w:val="auto"/>
              </w:rPr>
              <w:t>20,557</w:t>
            </w:r>
          </w:p>
        </w:tc>
        <w:tc>
          <w:tcPr>
            <w:tcW w:w="0" w:type="dxa"/>
            <w:vAlign w:val="bottom"/>
          </w:tcPr>
          <w:p>
            <w:pPr>
              <w:spacing w:after="0"/>
              <w:rPr>
                <w:sz w:val="1"/>
                <w:szCs w:val="1"/>
                <w:color w:val="auto"/>
              </w:rPr>
            </w:pPr>
          </w:p>
        </w:tc>
      </w:tr>
      <w:tr>
        <w:trPr>
          <w:trHeight w:val="181"/>
        </w:trPr>
        <w:tc>
          <w:tcPr>
            <w:tcW w:w="7440" w:type="dxa"/>
            <w:vAlign w:val="bottom"/>
          </w:tcPr>
          <w:p>
            <w:pPr>
              <w:spacing w:after="0"/>
              <w:rPr>
                <w:sz w:val="20"/>
                <w:szCs w:val="20"/>
                <w:color w:val="auto"/>
              </w:rPr>
            </w:pPr>
            <w:r>
              <w:rPr>
                <w:rFonts w:ascii="Arial" w:cs="Arial" w:eastAsia="Arial" w:hAnsi="Arial"/>
                <w:sz w:val="14"/>
                <w:szCs w:val="14"/>
                <w:color w:val="auto"/>
              </w:rPr>
              <w:t>Accrued payroll</w:t>
            </w:r>
          </w:p>
        </w:tc>
        <w:tc>
          <w:tcPr>
            <w:tcW w:w="3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6,337</w:t>
            </w: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10,816</w:t>
            </w:r>
          </w:p>
        </w:tc>
        <w:tc>
          <w:tcPr>
            <w:tcW w:w="0" w:type="dxa"/>
            <w:vAlign w:val="bottom"/>
          </w:tcPr>
          <w:p>
            <w:pPr>
              <w:spacing w:after="0"/>
              <w:rPr>
                <w:sz w:val="1"/>
                <w:szCs w:val="1"/>
                <w:color w:val="auto"/>
              </w:rPr>
            </w:pPr>
          </w:p>
        </w:tc>
      </w:tr>
      <w:tr>
        <w:trPr>
          <w:trHeight w:val="164"/>
        </w:trPr>
        <w:tc>
          <w:tcPr>
            <w:tcW w:w="7440" w:type="dxa"/>
            <w:vAlign w:val="bottom"/>
          </w:tcPr>
          <w:p>
            <w:pPr>
              <w:ind w:left="540"/>
              <w:spacing w:after="0"/>
              <w:rPr>
                <w:sz w:val="20"/>
                <w:szCs w:val="20"/>
                <w:color w:val="auto"/>
              </w:rPr>
            </w:pPr>
            <w:r>
              <w:rPr>
                <w:rFonts w:ascii="Arial" w:cs="Arial" w:eastAsia="Arial" w:hAnsi="Arial"/>
                <w:sz w:val="14"/>
                <w:szCs w:val="14"/>
                <w:b w:val="1"/>
                <w:bCs w:val="1"/>
                <w:color w:val="auto"/>
              </w:rPr>
              <w:t>Total current liabilities</w:t>
            </w:r>
          </w:p>
        </w:tc>
        <w:tc>
          <w:tcPr>
            <w:tcW w:w="380" w:type="dxa"/>
            <w:vAlign w:val="bottom"/>
          </w:tcPr>
          <w:p>
            <w:pPr>
              <w:spacing w:after="0"/>
              <w:rPr>
                <w:sz w:val="14"/>
                <w:szCs w:val="14"/>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128,812</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jc w:val="right"/>
              <w:ind w:right="148"/>
              <w:spacing w:after="0"/>
              <w:rPr>
                <w:sz w:val="20"/>
                <w:szCs w:val="20"/>
                <w:color w:val="auto"/>
              </w:rPr>
            </w:pPr>
            <w:r>
              <w:rPr>
                <w:rFonts w:ascii="Arial" w:cs="Arial" w:eastAsia="Arial" w:hAnsi="Arial"/>
                <w:sz w:val="14"/>
                <w:szCs w:val="14"/>
                <w:color w:val="auto"/>
              </w:rPr>
              <w:t>143,040</w:t>
            </w:r>
          </w:p>
        </w:tc>
        <w:tc>
          <w:tcPr>
            <w:tcW w:w="0" w:type="dxa"/>
            <w:vAlign w:val="bottom"/>
          </w:tcPr>
          <w:p>
            <w:pPr>
              <w:spacing w:after="0"/>
              <w:rPr>
                <w:sz w:val="1"/>
                <w:szCs w:val="1"/>
                <w:color w:val="auto"/>
              </w:rPr>
            </w:pPr>
          </w:p>
        </w:tc>
      </w:tr>
      <w:tr>
        <w:trPr>
          <w:trHeight w:val="176"/>
        </w:trPr>
        <w:tc>
          <w:tcPr>
            <w:tcW w:w="7440" w:type="dxa"/>
            <w:vAlign w:val="bottom"/>
          </w:tcPr>
          <w:p>
            <w:pPr>
              <w:spacing w:after="0"/>
              <w:rPr>
                <w:sz w:val="20"/>
                <w:szCs w:val="20"/>
                <w:color w:val="auto"/>
              </w:rPr>
            </w:pPr>
            <w:r>
              <w:rPr>
                <w:rFonts w:ascii="Arial" w:cs="Arial" w:eastAsia="Arial" w:hAnsi="Arial"/>
                <w:sz w:val="14"/>
                <w:szCs w:val="14"/>
                <w:color w:val="auto"/>
              </w:rPr>
              <w:t>Capital lease obligation to affiliate, less current maturities</w:t>
            </w:r>
          </w:p>
        </w:tc>
        <w:tc>
          <w:tcPr>
            <w:tcW w:w="380" w:type="dxa"/>
            <w:vAlign w:val="bottom"/>
          </w:tcPr>
          <w:p>
            <w:pPr>
              <w:spacing w:after="0"/>
              <w:rPr>
                <w:sz w:val="15"/>
                <w:szCs w:val="15"/>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3,610</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jc w:val="right"/>
              <w:ind w:right="148"/>
              <w:spacing w:after="0"/>
              <w:rPr>
                <w:sz w:val="20"/>
                <w:szCs w:val="20"/>
                <w:color w:val="auto"/>
              </w:rPr>
            </w:pPr>
            <w:r>
              <w:rPr>
                <w:rFonts w:ascii="Arial" w:cs="Arial" w:eastAsia="Arial" w:hAnsi="Arial"/>
                <w:sz w:val="14"/>
                <w:szCs w:val="14"/>
                <w:color w:val="auto"/>
              </w:rPr>
              <w:t>4,309</w:t>
            </w:r>
          </w:p>
        </w:tc>
        <w:tc>
          <w:tcPr>
            <w:tcW w:w="0" w:type="dxa"/>
            <w:vAlign w:val="bottom"/>
          </w:tcPr>
          <w:p>
            <w:pPr>
              <w:spacing w:after="0"/>
              <w:rPr>
                <w:sz w:val="1"/>
                <w:szCs w:val="1"/>
                <w:color w:val="auto"/>
              </w:rPr>
            </w:pPr>
          </w:p>
        </w:tc>
      </w:tr>
      <w:tr>
        <w:trPr>
          <w:trHeight w:val="176"/>
        </w:trPr>
        <w:tc>
          <w:tcPr>
            <w:tcW w:w="7440" w:type="dxa"/>
            <w:vAlign w:val="bottom"/>
          </w:tcPr>
          <w:p>
            <w:pPr>
              <w:spacing w:after="0"/>
              <w:rPr>
                <w:sz w:val="20"/>
                <w:szCs w:val="20"/>
                <w:color w:val="auto"/>
              </w:rPr>
            </w:pPr>
            <w:r>
              <w:rPr>
                <w:rFonts w:ascii="Arial" w:cs="Arial" w:eastAsia="Arial" w:hAnsi="Arial"/>
                <w:sz w:val="14"/>
                <w:szCs w:val="14"/>
                <w:color w:val="auto"/>
              </w:rPr>
              <w:t>Deferred income taxes</w:t>
            </w:r>
          </w:p>
        </w:tc>
        <w:tc>
          <w:tcPr>
            <w:tcW w:w="380" w:type="dxa"/>
            <w:vAlign w:val="bottom"/>
          </w:tcPr>
          <w:p>
            <w:pPr>
              <w:spacing w:after="0"/>
              <w:rPr>
                <w:sz w:val="15"/>
                <w:szCs w:val="15"/>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7,727</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jc w:val="right"/>
              <w:ind w:right="148"/>
              <w:spacing w:after="0"/>
              <w:rPr>
                <w:sz w:val="20"/>
                <w:szCs w:val="20"/>
                <w:color w:val="auto"/>
              </w:rPr>
            </w:pPr>
            <w:r>
              <w:rPr>
                <w:rFonts w:ascii="Arial" w:cs="Arial" w:eastAsia="Arial" w:hAnsi="Arial"/>
                <w:sz w:val="14"/>
                <w:szCs w:val="14"/>
                <w:color w:val="auto"/>
              </w:rPr>
              <w:t>5,436</w:t>
            </w:r>
          </w:p>
        </w:tc>
        <w:tc>
          <w:tcPr>
            <w:tcW w:w="0" w:type="dxa"/>
            <w:vAlign w:val="bottom"/>
          </w:tcPr>
          <w:p>
            <w:pPr>
              <w:spacing w:after="0"/>
              <w:rPr>
                <w:sz w:val="1"/>
                <w:szCs w:val="1"/>
                <w:color w:val="auto"/>
              </w:rPr>
            </w:pPr>
          </w:p>
        </w:tc>
      </w:tr>
      <w:tr>
        <w:trPr>
          <w:trHeight w:val="181"/>
        </w:trPr>
        <w:tc>
          <w:tcPr>
            <w:tcW w:w="7440" w:type="dxa"/>
            <w:vAlign w:val="bottom"/>
          </w:tcPr>
          <w:p>
            <w:pPr>
              <w:spacing w:after="0"/>
              <w:rPr>
                <w:sz w:val="20"/>
                <w:szCs w:val="20"/>
                <w:color w:val="auto"/>
              </w:rPr>
            </w:pPr>
            <w:r>
              <w:rPr>
                <w:rFonts w:ascii="Arial" w:cs="Arial" w:eastAsia="Arial" w:hAnsi="Arial"/>
                <w:sz w:val="14"/>
                <w:szCs w:val="14"/>
                <w:color w:val="auto"/>
              </w:rPr>
              <w:t>Other liabilities</w:t>
            </w:r>
          </w:p>
        </w:tc>
        <w:tc>
          <w:tcPr>
            <w:tcW w:w="3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4,238</w:t>
            </w: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3,784</w:t>
            </w:r>
          </w:p>
        </w:tc>
        <w:tc>
          <w:tcPr>
            <w:tcW w:w="0" w:type="dxa"/>
            <w:vAlign w:val="bottom"/>
          </w:tcPr>
          <w:p>
            <w:pPr>
              <w:spacing w:after="0"/>
              <w:rPr>
                <w:sz w:val="1"/>
                <w:szCs w:val="1"/>
                <w:color w:val="auto"/>
              </w:rPr>
            </w:pPr>
          </w:p>
        </w:tc>
      </w:tr>
      <w:tr>
        <w:trPr>
          <w:trHeight w:val="169"/>
        </w:trPr>
        <w:tc>
          <w:tcPr>
            <w:tcW w:w="7440" w:type="dxa"/>
            <w:vAlign w:val="bottom"/>
          </w:tcPr>
          <w:p>
            <w:pPr>
              <w:ind w:left="540"/>
              <w:spacing w:after="0"/>
              <w:rPr>
                <w:sz w:val="20"/>
                <w:szCs w:val="20"/>
                <w:color w:val="auto"/>
              </w:rPr>
            </w:pPr>
            <w:r>
              <w:rPr>
                <w:rFonts w:ascii="Arial" w:cs="Arial" w:eastAsia="Arial" w:hAnsi="Arial"/>
                <w:sz w:val="14"/>
                <w:szCs w:val="14"/>
                <w:b w:val="1"/>
                <w:bCs w:val="1"/>
                <w:color w:val="auto"/>
              </w:rPr>
              <w:t>Total Liabilities</w:t>
            </w:r>
          </w:p>
        </w:tc>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144,387</w:t>
            </w: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156,569</w:t>
            </w:r>
          </w:p>
        </w:tc>
        <w:tc>
          <w:tcPr>
            <w:tcW w:w="0" w:type="dxa"/>
            <w:vAlign w:val="bottom"/>
          </w:tcPr>
          <w:p>
            <w:pPr>
              <w:spacing w:after="0"/>
              <w:rPr>
                <w:sz w:val="1"/>
                <w:szCs w:val="1"/>
                <w:color w:val="auto"/>
              </w:rPr>
            </w:pPr>
          </w:p>
        </w:tc>
      </w:tr>
      <w:tr>
        <w:trPr>
          <w:trHeight w:val="164"/>
        </w:trPr>
        <w:tc>
          <w:tcPr>
            <w:tcW w:w="7440" w:type="dxa"/>
            <w:vAlign w:val="bottom"/>
          </w:tcPr>
          <w:p>
            <w:pPr>
              <w:spacing w:after="0"/>
              <w:rPr>
                <w:sz w:val="20"/>
                <w:szCs w:val="20"/>
                <w:color w:val="auto"/>
              </w:rPr>
            </w:pPr>
            <w:r>
              <w:rPr>
                <w:rFonts w:ascii="Arial" w:cs="Arial" w:eastAsia="Arial" w:hAnsi="Arial"/>
                <w:sz w:val="14"/>
                <w:szCs w:val="14"/>
                <w:color w:val="auto"/>
              </w:rPr>
              <w:t>Stockholders’ Equity:</w:t>
            </w:r>
          </w:p>
        </w:tc>
        <w:tc>
          <w:tcPr>
            <w:tcW w:w="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440" w:type="dxa"/>
            <w:vAlign w:val="bottom"/>
          </w:tcPr>
          <w:p>
            <w:pPr>
              <w:ind w:left="280"/>
              <w:spacing w:after="0"/>
              <w:rPr>
                <w:sz w:val="20"/>
                <w:szCs w:val="20"/>
                <w:color w:val="auto"/>
              </w:rPr>
            </w:pPr>
            <w:r>
              <w:rPr>
                <w:rFonts w:ascii="Arial" w:cs="Arial" w:eastAsia="Arial" w:hAnsi="Arial"/>
                <w:sz w:val="14"/>
                <w:szCs w:val="14"/>
                <w:color w:val="auto"/>
              </w:rPr>
              <w:t>Common stock</w:t>
            </w:r>
          </w:p>
        </w:tc>
        <w:tc>
          <w:tcPr>
            <w:tcW w:w="380" w:type="dxa"/>
            <w:vAlign w:val="bottom"/>
          </w:tcPr>
          <w:p>
            <w:pPr>
              <w:spacing w:after="0"/>
              <w:rPr>
                <w:sz w:val="15"/>
                <w:szCs w:val="15"/>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273</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jc w:val="right"/>
              <w:ind w:right="148"/>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76"/>
        </w:trPr>
        <w:tc>
          <w:tcPr>
            <w:tcW w:w="7440" w:type="dxa"/>
            <w:vAlign w:val="bottom"/>
          </w:tcPr>
          <w:p>
            <w:pPr>
              <w:ind w:left="280"/>
              <w:spacing w:after="0"/>
              <w:rPr>
                <w:sz w:val="20"/>
                <w:szCs w:val="20"/>
                <w:color w:val="auto"/>
              </w:rPr>
            </w:pPr>
            <w:r>
              <w:rPr>
                <w:rFonts w:ascii="Arial" w:cs="Arial" w:eastAsia="Arial" w:hAnsi="Arial"/>
                <w:sz w:val="14"/>
                <w:szCs w:val="14"/>
                <w:color w:val="auto"/>
              </w:rPr>
              <w:t>Additional paid-in capital</w:t>
            </w:r>
          </w:p>
        </w:tc>
        <w:tc>
          <w:tcPr>
            <w:tcW w:w="380" w:type="dxa"/>
            <w:vAlign w:val="bottom"/>
          </w:tcPr>
          <w:p>
            <w:pPr>
              <w:spacing w:after="0"/>
              <w:rPr>
                <w:sz w:val="15"/>
                <w:szCs w:val="15"/>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95,998</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jc w:val="right"/>
              <w:ind w:right="148"/>
              <w:spacing w:after="0"/>
              <w:rPr>
                <w:sz w:val="20"/>
                <w:szCs w:val="20"/>
                <w:color w:val="auto"/>
              </w:rPr>
            </w:pPr>
            <w:r>
              <w:rPr>
                <w:rFonts w:ascii="Arial" w:cs="Arial" w:eastAsia="Arial" w:hAnsi="Arial"/>
                <w:sz w:val="14"/>
                <w:szCs w:val="14"/>
                <w:color w:val="auto"/>
              </w:rPr>
              <w:t>94,132</w:t>
            </w:r>
          </w:p>
        </w:tc>
        <w:tc>
          <w:tcPr>
            <w:tcW w:w="0" w:type="dxa"/>
            <w:vAlign w:val="bottom"/>
          </w:tcPr>
          <w:p>
            <w:pPr>
              <w:spacing w:after="0"/>
              <w:rPr>
                <w:sz w:val="1"/>
                <w:szCs w:val="1"/>
                <w:color w:val="auto"/>
              </w:rPr>
            </w:pPr>
          </w:p>
        </w:tc>
      </w:tr>
      <w:tr>
        <w:trPr>
          <w:trHeight w:val="176"/>
        </w:trPr>
        <w:tc>
          <w:tcPr>
            <w:tcW w:w="7440" w:type="dxa"/>
            <w:vAlign w:val="bottom"/>
          </w:tcPr>
          <w:p>
            <w:pPr>
              <w:ind w:left="280"/>
              <w:spacing w:after="0"/>
              <w:rPr>
                <w:sz w:val="20"/>
                <w:szCs w:val="20"/>
                <w:color w:val="auto"/>
              </w:rPr>
            </w:pPr>
            <w:r>
              <w:rPr>
                <w:rFonts w:ascii="Arial" w:cs="Arial" w:eastAsia="Arial" w:hAnsi="Arial"/>
                <w:sz w:val="14"/>
                <w:szCs w:val="14"/>
                <w:color w:val="auto"/>
              </w:rPr>
              <w:t>Retained earnings</w:t>
            </w:r>
          </w:p>
        </w:tc>
        <w:tc>
          <w:tcPr>
            <w:tcW w:w="380" w:type="dxa"/>
            <w:vAlign w:val="bottom"/>
          </w:tcPr>
          <w:p>
            <w:pPr>
              <w:spacing w:after="0"/>
              <w:rPr>
                <w:sz w:val="15"/>
                <w:szCs w:val="15"/>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146,989</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jc w:val="right"/>
              <w:ind w:right="148"/>
              <w:spacing w:after="0"/>
              <w:rPr>
                <w:sz w:val="20"/>
                <w:szCs w:val="20"/>
                <w:color w:val="auto"/>
              </w:rPr>
            </w:pPr>
            <w:r>
              <w:rPr>
                <w:rFonts w:ascii="Arial" w:cs="Arial" w:eastAsia="Arial" w:hAnsi="Arial"/>
                <w:sz w:val="14"/>
                <w:szCs w:val="14"/>
                <w:color w:val="auto"/>
              </w:rPr>
              <w:t>131,970</w:t>
            </w:r>
          </w:p>
        </w:tc>
        <w:tc>
          <w:tcPr>
            <w:tcW w:w="0" w:type="dxa"/>
            <w:vAlign w:val="bottom"/>
          </w:tcPr>
          <w:p>
            <w:pPr>
              <w:spacing w:after="0"/>
              <w:rPr>
                <w:sz w:val="1"/>
                <w:szCs w:val="1"/>
                <w:color w:val="auto"/>
              </w:rPr>
            </w:pPr>
          </w:p>
        </w:tc>
      </w:tr>
      <w:tr>
        <w:trPr>
          <w:trHeight w:val="181"/>
        </w:trPr>
        <w:tc>
          <w:tcPr>
            <w:tcW w:w="7440" w:type="dxa"/>
            <w:vAlign w:val="bottom"/>
          </w:tcPr>
          <w:p>
            <w:pPr>
              <w:ind w:left="280"/>
              <w:spacing w:after="0"/>
              <w:rPr>
                <w:sz w:val="20"/>
                <w:szCs w:val="20"/>
                <w:color w:val="auto"/>
              </w:rPr>
            </w:pPr>
            <w:r>
              <w:rPr>
                <w:rFonts w:ascii="Arial" w:cs="Arial" w:eastAsia="Arial" w:hAnsi="Arial"/>
                <w:sz w:val="14"/>
                <w:szCs w:val="14"/>
                <w:color w:val="auto"/>
              </w:rPr>
              <w:t>Treasury stock at cost</w:t>
            </w:r>
          </w:p>
        </w:tc>
        <w:tc>
          <w:tcPr>
            <w:tcW w:w="3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(3,282)</w:t>
            </w: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(2,065)</w:t>
            </w:r>
          </w:p>
        </w:tc>
        <w:tc>
          <w:tcPr>
            <w:tcW w:w="0" w:type="dxa"/>
            <w:vAlign w:val="bottom"/>
          </w:tcPr>
          <w:p>
            <w:pPr>
              <w:spacing w:after="0"/>
              <w:rPr>
                <w:sz w:val="1"/>
                <w:szCs w:val="1"/>
                <w:color w:val="auto"/>
              </w:rPr>
            </w:pPr>
          </w:p>
        </w:tc>
      </w:tr>
      <w:tr>
        <w:trPr>
          <w:trHeight w:val="169"/>
        </w:trPr>
        <w:tc>
          <w:tcPr>
            <w:tcW w:w="7440" w:type="dxa"/>
            <w:vAlign w:val="bottom"/>
          </w:tcPr>
          <w:p>
            <w:pPr>
              <w:ind w:left="540"/>
              <w:spacing w:after="0"/>
              <w:rPr>
                <w:sz w:val="20"/>
                <w:szCs w:val="20"/>
                <w:color w:val="auto"/>
              </w:rPr>
            </w:pPr>
            <w:r>
              <w:rPr>
                <w:rFonts w:ascii="Arial" w:cs="Arial" w:eastAsia="Arial" w:hAnsi="Arial"/>
                <w:sz w:val="14"/>
                <w:szCs w:val="14"/>
                <w:b w:val="1"/>
                <w:bCs w:val="1"/>
                <w:color w:val="auto"/>
              </w:rPr>
              <w:t>Total Stockholders’ Equity</w:t>
            </w:r>
          </w:p>
        </w:tc>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239,978</w:t>
            </w: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224,310</w:t>
            </w:r>
          </w:p>
        </w:tc>
        <w:tc>
          <w:tcPr>
            <w:tcW w:w="0" w:type="dxa"/>
            <w:vAlign w:val="bottom"/>
          </w:tcPr>
          <w:p>
            <w:pPr>
              <w:spacing w:after="0"/>
              <w:rPr>
                <w:sz w:val="1"/>
                <w:szCs w:val="1"/>
                <w:color w:val="auto"/>
              </w:rPr>
            </w:pPr>
          </w:p>
        </w:tc>
      </w:tr>
      <w:tr>
        <w:trPr>
          <w:trHeight w:val="169"/>
        </w:trPr>
        <w:tc>
          <w:tcPr>
            <w:tcW w:w="7440" w:type="dxa"/>
            <w:vAlign w:val="bottom"/>
          </w:tcPr>
          <w:p>
            <w:pPr>
              <w:ind w:left="540"/>
              <w:spacing w:after="0"/>
              <w:rPr>
                <w:sz w:val="20"/>
                <w:szCs w:val="20"/>
                <w:color w:val="auto"/>
              </w:rPr>
            </w:pPr>
            <w:r>
              <w:rPr>
                <w:rFonts w:ascii="Arial" w:cs="Arial" w:eastAsia="Arial" w:hAnsi="Arial"/>
                <w:sz w:val="14"/>
                <w:szCs w:val="14"/>
                <w:b w:val="1"/>
                <w:bCs w:val="1"/>
                <w:color w:val="auto"/>
              </w:rPr>
              <w:t>Total Liabilities and Stockholders’ Equity</w:t>
            </w:r>
          </w:p>
        </w:tc>
        <w:tc>
          <w:tcPr>
            <w:tcW w:w="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384,365</w:t>
            </w:r>
          </w:p>
        </w:tc>
        <w:tc>
          <w:tcPr>
            <w:tcW w:w="160" w:type="dxa"/>
            <w:vAlign w:val="bottom"/>
          </w:tcPr>
          <w:p>
            <w:pPr>
              <w:spacing w:after="0"/>
              <w:rPr>
                <w:sz w:val="14"/>
                <w:szCs w:val="14"/>
                <w:color w:val="auto"/>
              </w:rPr>
            </w:pP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380,879</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4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744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5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5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auto"/>
        </w:rPr>
        <w:t>CONSOLIDATED STATEMENT OF CHANGES IN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 ended December 31, 2008 (amounts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6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4"/>
              </w:rPr>
              <w:t>Retained</w:t>
            </w:r>
          </w:p>
        </w:tc>
        <w:tc>
          <w:tcPr>
            <w:tcW w:w="1280" w:type="dxa"/>
            <w:vAlign w:val="bottom"/>
            <w:tcBorders>
              <w:top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Treasury Shares</w:t>
            </w: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00" w:type="dxa"/>
            <w:vAlign w:val="bottom"/>
            <w:tcBorders>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Paid-In Capital</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3"/>
              </w:rPr>
              <w:t>Earnings</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46"/>
        </w:trPr>
        <w:tc>
          <w:tcPr>
            <w:tcW w:w="5600" w:type="dxa"/>
            <w:vAlign w:val="bottom"/>
          </w:tcPr>
          <w:p>
            <w:pPr>
              <w:spacing w:after="0"/>
              <w:rPr>
                <w:sz w:val="20"/>
                <w:szCs w:val="20"/>
                <w:color w:val="auto"/>
              </w:rPr>
            </w:pPr>
            <w:r>
              <w:rPr>
                <w:rFonts w:ascii="Arial" w:cs="Arial" w:eastAsia="Arial" w:hAnsi="Arial"/>
                <w:sz w:val="14"/>
                <w:szCs w:val="14"/>
                <w:b w:val="1"/>
                <w:bCs w:val="1"/>
                <w:color w:val="auto"/>
              </w:rPr>
              <w:t>Balance – January 1, 2008</w:t>
            </w:r>
          </w:p>
        </w:tc>
        <w:tc>
          <w:tcPr>
            <w:tcW w:w="480" w:type="dxa"/>
            <w:vAlign w:val="bottom"/>
          </w:tcPr>
          <w:p>
            <w:pPr>
              <w:jc w:val="right"/>
              <w:spacing w:after="0"/>
              <w:rPr>
                <w:sz w:val="20"/>
                <w:szCs w:val="20"/>
                <w:color w:val="auto"/>
              </w:rPr>
            </w:pPr>
            <w:r>
              <w:rPr>
                <w:rFonts w:ascii="Arial" w:cs="Arial" w:eastAsia="Arial" w:hAnsi="Arial"/>
                <w:sz w:val="14"/>
                <w:szCs w:val="14"/>
                <w:color w:val="auto"/>
              </w:rPr>
              <w:t>27,252</w:t>
            </w:r>
          </w:p>
        </w:tc>
        <w:tc>
          <w:tcPr>
            <w:tcW w:w="4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273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94,132</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w w:val="94"/>
              </w:rPr>
              <w:t>131,970</w:t>
            </w:r>
          </w:p>
        </w:tc>
        <w:tc>
          <w:tcPr>
            <w:tcW w:w="480" w:type="dxa"/>
            <w:vAlign w:val="bottom"/>
          </w:tcPr>
          <w:p>
            <w:pPr>
              <w:jc w:val="right"/>
              <w:spacing w:after="0"/>
              <w:rPr>
                <w:sz w:val="20"/>
                <w:szCs w:val="20"/>
                <w:color w:val="auto"/>
              </w:rPr>
            </w:pPr>
            <w:r>
              <w:rPr>
                <w:rFonts w:ascii="Arial" w:cs="Arial" w:eastAsia="Arial" w:hAnsi="Arial"/>
                <w:sz w:val="14"/>
                <w:szCs w:val="14"/>
                <w:color w:val="auto"/>
              </w:rPr>
              <w:t>(327)</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($2,065)</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w w:val="98"/>
              </w:rPr>
              <w:t>224,310</w:t>
            </w:r>
          </w:p>
        </w:tc>
        <w:tc>
          <w:tcPr>
            <w:tcW w:w="0" w:type="dxa"/>
            <w:vAlign w:val="bottom"/>
          </w:tcPr>
          <w:p>
            <w:pPr>
              <w:spacing w:after="0"/>
              <w:rPr>
                <w:sz w:val="1"/>
                <w:szCs w:val="1"/>
                <w:color w:val="auto"/>
              </w:rPr>
            </w:pPr>
          </w:p>
        </w:tc>
      </w:tr>
      <w:tr>
        <w:trPr>
          <w:trHeight w:val="351"/>
        </w:trPr>
        <w:tc>
          <w:tcPr>
            <w:tcW w:w="5600" w:type="dxa"/>
            <w:vAlign w:val="bottom"/>
          </w:tcPr>
          <w:p>
            <w:pPr>
              <w:spacing w:after="0"/>
              <w:rPr>
                <w:sz w:val="20"/>
                <w:szCs w:val="20"/>
                <w:color w:val="auto"/>
              </w:rPr>
            </w:pPr>
            <w:r>
              <w:rPr>
                <w:rFonts w:ascii="Arial" w:cs="Arial" w:eastAsia="Arial" w:hAnsi="Arial"/>
                <w:sz w:val="14"/>
                <w:szCs w:val="14"/>
                <w:color w:val="auto"/>
              </w:rPr>
              <w:t>Stock compensation expense</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1,823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1,823</w:t>
            </w:r>
          </w:p>
        </w:tc>
        <w:tc>
          <w:tcPr>
            <w:tcW w:w="0" w:type="dxa"/>
            <w:vAlign w:val="bottom"/>
          </w:tcPr>
          <w:p>
            <w:pPr>
              <w:spacing w:after="0"/>
              <w:rPr>
                <w:sz w:val="1"/>
                <w:szCs w:val="1"/>
                <w:color w:val="auto"/>
              </w:rPr>
            </w:pPr>
          </w:p>
        </w:tc>
      </w:tr>
      <w:tr>
        <w:trPr>
          <w:trHeight w:val="351"/>
        </w:trPr>
        <w:tc>
          <w:tcPr>
            <w:tcW w:w="5600" w:type="dxa"/>
            <w:vAlign w:val="bottom"/>
          </w:tcPr>
          <w:p>
            <w:pPr>
              <w:spacing w:after="0"/>
              <w:rPr>
                <w:sz w:val="20"/>
                <w:szCs w:val="20"/>
                <w:color w:val="auto"/>
              </w:rPr>
            </w:pPr>
            <w:r>
              <w:rPr>
                <w:rFonts w:ascii="Arial" w:cs="Arial" w:eastAsia="Arial" w:hAnsi="Arial"/>
                <w:sz w:val="14"/>
                <w:szCs w:val="14"/>
                <w:color w:val="auto"/>
              </w:rPr>
              <w:t>Issuance of common stock under stock incentive plans, including income tax benefits</w:t>
            </w:r>
          </w:p>
        </w:tc>
        <w:tc>
          <w:tcPr>
            <w:tcW w:w="480" w:type="dxa"/>
            <w:vAlign w:val="bottom"/>
          </w:tcPr>
          <w:p>
            <w:pPr>
              <w:jc w:val="right"/>
              <w:spacing w:after="0"/>
              <w:rPr>
                <w:sz w:val="20"/>
                <w:szCs w:val="20"/>
                <w:color w:val="auto"/>
              </w:rPr>
            </w:pPr>
            <w:r>
              <w:rPr>
                <w:rFonts w:ascii="Arial" w:cs="Arial" w:eastAsia="Arial" w:hAnsi="Arial"/>
                <w:sz w:val="14"/>
                <w:szCs w:val="14"/>
                <w:color w:val="auto"/>
              </w:rPr>
              <w:t>33</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106</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351"/>
        </w:trPr>
        <w:tc>
          <w:tcPr>
            <w:tcW w:w="5600" w:type="dxa"/>
            <w:vAlign w:val="bottom"/>
          </w:tcPr>
          <w:p>
            <w:pPr>
              <w:spacing w:after="0"/>
              <w:rPr>
                <w:sz w:val="20"/>
                <w:szCs w:val="20"/>
                <w:color w:val="auto"/>
              </w:rPr>
            </w:pPr>
            <w:r>
              <w:rPr>
                <w:rFonts w:ascii="Arial" w:cs="Arial" w:eastAsia="Arial" w:hAnsi="Arial"/>
                <w:sz w:val="14"/>
                <w:szCs w:val="14"/>
                <w:color w:val="auto"/>
              </w:rPr>
              <w:t>Issuance of common stock under Employee Stock Purchase Plan</w:t>
            </w:r>
          </w:p>
        </w:tc>
        <w:tc>
          <w:tcPr>
            <w:tcW w:w="480" w:type="dxa"/>
            <w:vAlign w:val="bottom"/>
          </w:tcPr>
          <w:p>
            <w:pPr>
              <w:jc w:val="right"/>
              <w:spacing w:after="0"/>
              <w:rPr>
                <w:sz w:val="20"/>
                <w:szCs w:val="20"/>
                <w:color w:val="auto"/>
              </w:rPr>
            </w:pPr>
            <w:r>
              <w:rPr>
                <w:rFonts w:ascii="Arial" w:cs="Arial" w:eastAsia="Arial" w:hAnsi="Arial"/>
                <w:sz w:val="14"/>
                <w:szCs w:val="14"/>
                <w:color w:val="auto"/>
              </w:rPr>
              <w:t>41</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257</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351"/>
        </w:trPr>
        <w:tc>
          <w:tcPr>
            <w:tcW w:w="5600" w:type="dxa"/>
            <w:vAlign w:val="bottom"/>
          </w:tcPr>
          <w:p>
            <w:pPr>
              <w:spacing w:after="0"/>
              <w:rPr>
                <w:sz w:val="20"/>
                <w:szCs w:val="20"/>
                <w:color w:val="auto"/>
              </w:rPr>
            </w:pPr>
            <w:r>
              <w:rPr>
                <w:rFonts w:ascii="Arial" w:cs="Arial" w:eastAsia="Arial" w:hAnsi="Arial"/>
                <w:sz w:val="14"/>
                <w:szCs w:val="14"/>
                <w:color w:val="auto"/>
              </w:rPr>
              <w:t>Repurchase of common stock for Treasury</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(211)</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(1,537)</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(1,537)</w:t>
            </w:r>
          </w:p>
        </w:tc>
        <w:tc>
          <w:tcPr>
            <w:tcW w:w="0" w:type="dxa"/>
            <w:vAlign w:val="bottom"/>
          </w:tcPr>
          <w:p>
            <w:pPr>
              <w:spacing w:after="0"/>
              <w:rPr>
                <w:sz w:val="1"/>
                <w:szCs w:val="1"/>
                <w:color w:val="auto"/>
              </w:rPr>
            </w:pPr>
          </w:p>
        </w:tc>
      </w:tr>
      <w:tr>
        <w:trPr>
          <w:trHeight w:val="351"/>
        </w:trPr>
        <w:tc>
          <w:tcPr>
            <w:tcW w:w="5600" w:type="dxa"/>
            <w:vAlign w:val="bottom"/>
          </w:tcPr>
          <w:p>
            <w:pPr>
              <w:spacing w:after="0"/>
              <w:rPr>
                <w:sz w:val="20"/>
                <w:szCs w:val="20"/>
                <w:color w:val="auto"/>
              </w:rPr>
            </w:pPr>
            <w:r>
              <w:rPr>
                <w:rFonts w:ascii="Arial" w:cs="Arial" w:eastAsia="Arial" w:hAnsi="Arial"/>
                <w:sz w:val="14"/>
                <w:szCs w:val="14"/>
                <w:color w:val="auto"/>
              </w:rPr>
              <w:t>Nonvested stock awards</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(320)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800" w:type="dxa"/>
            <w:vAlign w:val="bottom"/>
            <w:gridSpan w:val="2"/>
          </w:tcPr>
          <w:p>
            <w:pPr>
              <w:jc w:val="right"/>
              <w:ind w:right="8"/>
              <w:spacing w:after="0"/>
              <w:rPr>
                <w:sz w:val="20"/>
                <w:szCs w:val="20"/>
                <w:color w:val="auto"/>
              </w:rPr>
            </w:pPr>
            <w:r>
              <w:rPr>
                <w:rFonts w:ascii="Arial" w:cs="Arial" w:eastAsia="Arial" w:hAnsi="Arial"/>
                <w:sz w:val="14"/>
                <w:szCs w:val="14"/>
                <w:color w:val="auto"/>
              </w:rPr>
              <w:t>320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0"/>
        </w:trPr>
        <w:tc>
          <w:tcPr>
            <w:tcW w:w="5600" w:type="dxa"/>
            <w:vAlign w:val="bottom"/>
          </w:tcPr>
          <w:p>
            <w:pPr>
              <w:spacing w:after="0"/>
              <w:rPr>
                <w:sz w:val="20"/>
                <w:szCs w:val="20"/>
                <w:color w:val="auto"/>
              </w:rPr>
            </w:pPr>
            <w:r>
              <w:rPr>
                <w:rFonts w:ascii="Arial" w:cs="Arial" w:eastAsia="Arial" w:hAnsi="Arial"/>
                <w:sz w:val="14"/>
                <w:szCs w:val="14"/>
                <w:color w:val="auto"/>
              </w:rPr>
              <w:t>Net income</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15,019</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15,019</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Balance – December 31, 2008</w:t>
            </w: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600" w:type="dxa"/>
            <w:vAlign w:val="bottom"/>
            <w:vMerge w:val="continue"/>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27,326</w:t>
            </w:r>
          </w:p>
        </w:tc>
        <w:tc>
          <w:tcPr>
            <w:tcW w:w="200" w:type="dxa"/>
            <w:vAlign w:val="bottom"/>
          </w:tcPr>
          <w:p>
            <w:pPr>
              <w:spacing w:after="0"/>
              <w:rPr>
                <w:sz w:val="24"/>
                <w:szCs w:val="24"/>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273</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95,998</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w w:val="94"/>
              </w:rPr>
              <w:t>146,989</w:t>
            </w:r>
          </w:p>
        </w:tc>
        <w:tc>
          <w:tcPr>
            <w:tcW w:w="480" w:type="dxa"/>
            <w:vAlign w:val="bottom"/>
          </w:tcPr>
          <w:p>
            <w:pPr>
              <w:jc w:val="right"/>
              <w:spacing w:after="0"/>
              <w:rPr>
                <w:sz w:val="20"/>
                <w:szCs w:val="20"/>
                <w:color w:val="auto"/>
              </w:rPr>
            </w:pPr>
            <w:r>
              <w:rPr>
                <w:rFonts w:ascii="Arial" w:cs="Arial" w:eastAsia="Arial" w:hAnsi="Arial"/>
                <w:sz w:val="14"/>
                <w:szCs w:val="14"/>
                <w:color w:val="auto"/>
              </w:rPr>
              <w:t>(492)</w:t>
            </w:r>
          </w:p>
        </w:tc>
        <w:tc>
          <w:tcPr>
            <w:tcW w:w="80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3,282)</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w w:val="98"/>
              </w:rPr>
              <w:t>239,978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6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560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0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Years Ended December 31, (amounts in thousands)</w:t>
            </w:r>
          </w:p>
        </w:tc>
        <w:tc>
          <w:tcPr>
            <w:tcW w:w="3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346"/>
        </w:trPr>
        <w:tc>
          <w:tcPr>
            <w:tcW w:w="9000" w:type="dxa"/>
            <w:vAlign w:val="bottom"/>
            <w:gridSpan w:val="2"/>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900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15,019</w:t>
            </w:r>
          </w:p>
        </w:tc>
        <w:tc>
          <w:tcPr>
            <w:tcW w:w="5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22,995</w:t>
            </w:r>
          </w:p>
        </w:tc>
        <w:tc>
          <w:tcPr>
            <w:tcW w:w="0" w:type="dxa"/>
            <w:vAlign w:val="bottom"/>
          </w:tcPr>
          <w:p>
            <w:pPr>
              <w:spacing w:after="0"/>
              <w:rPr>
                <w:sz w:val="1"/>
                <w:szCs w:val="1"/>
                <w:color w:val="auto"/>
              </w:rPr>
            </w:pPr>
          </w:p>
        </w:tc>
      </w:tr>
      <w:tr>
        <w:trPr>
          <w:trHeight w:val="176"/>
        </w:trPr>
        <w:tc>
          <w:tcPr>
            <w:tcW w:w="9000" w:type="dxa"/>
            <w:vAlign w:val="bottom"/>
            <w:gridSpan w:val="2"/>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000" w:type="dxa"/>
            <w:vAlign w:val="bottom"/>
            <w:gridSpan w:val="2"/>
          </w:tcPr>
          <w:p>
            <w:pPr>
              <w:ind w:left="48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6,965</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6,781</w:t>
            </w:r>
          </w:p>
        </w:tc>
        <w:tc>
          <w:tcPr>
            <w:tcW w:w="0" w:type="dxa"/>
            <w:vAlign w:val="bottom"/>
          </w:tcPr>
          <w:p>
            <w:pPr>
              <w:spacing w:after="0"/>
              <w:rPr>
                <w:sz w:val="1"/>
                <w:szCs w:val="1"/>
                <w:color w:val="auto"/>
              </w:rPr>
            </w:pPr>
          </w:p>
        </w:tc>
      </w:tr>
      <w:tr>
        <w:trPr>
          <w:trHeight w:val="176"/>
        </w:trPr>
        <w:tc>
          <w:tcPr>
            <w:tcW w:w="9000" w:type="dxa"/>
            <w:vAlign w:val="bottom"/>
            <w:gridSpan w:val="2"/>
          </w:tcPr>
          <w:p>
            <w:pPr>
              <w:ind w:left="480"/>
              <w:spacing w:after="0"/>
              <w:rPr>
                <w:sz w:val="20"/>
                <w:szCs w:val="20"/>
                <w:color w:val="auto"/>
              </w:rPr>
            </w:pPr>
            <w:r>
              <w:rPr>
                <w:rFonts w:ascii="Arial" w:cs="Arial" w:eastAsia="Arial" w:hAnsi="Arial"/>
                <w:sz w:val="14"/>
                <w:szCs w:val="14"/>
                <w:color w:val="auto"/>
              </w:rPr>
              <w:t>Provision for doubtful accounts</w:t>
            </w:r>
          </w:p>
        </w:tc>
        <w:tc>
          <w:tcPr>
            <w:tcW w:w="36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2,277</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1,587</w:t>
            </w:r>
          </w:p>
        </w:tc>
        <w:tc>
          <w:tcPr>
            <w:tcW w:w="0" w:type="dxa"/>
            <w:vAlign w:val="bottom"/>
          </w:tcPr>
          <w:p>
            <w:pPr>
              <w:spacing w:after="0"/>
              <w:rPr>
                <w:sz w:val="1"/>
                <w:szCs w:val="1"/>
                <w:color w:val="auto"/>
              </w:rPr>
            </w:pPr>
          </w:p>
        </w:tc>
      </w:tr>
      <w:tr>
        <w:trPr>
          <w:trHeight w:val="176"/>
        </w:trPr>
        <w:tc>
          <w:tcPr>
            <w:tcW w:w="9000" w:type="dxa"/>
            <w:vAlign w:val="bottom"/>
            <w:gridSpan w:val="2"/>
          </w:tcPr>
          <w:p>
            <w:pPr>
              <w:ind w:left="480"/>
              <w:spacing w:after="0"/>
              <w:rPr>
                <w:sz w:val="20"/>
                <w:szCs w:val="20"/>
                <w:color w:val="auto"/>
              </w:rPr>
            </w:pPr>
            <w:r>
              <w:rPr>
                <w:rFonts w:ascii="Arial" w:cs="Arial" w:eastAsia="Arial" w:hAnsi="Arial"/>
                <w:sz w:val="14"/>
                <w:szCs w:val="14"/>
                <w:color w:val="auto"/>
              </w:rPr>
              <w:t>Deferred income taxes</w:t>
            </w:r>
          </w:p>
        </w:tc>
        <w:tc>
          <w:tcPr>
            <w:tcW w:w="36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2,342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176"/>
        </w:trPr>
        <w:tc>
          <w:tcPr>
            <w:tcW w:w="9000" w:type="dxa"/>
            <w:vAlign w:val="bottom"/>
            <w:gridSpan w:val="2"/>
          </w:tcPr>
          <w:p>
            <w:pPr>
              <w:ind w:left="480"/>
              <w:spacing w:after="0"/>
              <w:rPr>
                <w:sz w:val="20"/>
                <w:szCs w:val="20"/>
                <w:color w:val="auto"/>
              </w:rPr>
            </w:pPr>
            <w:r>
              <w:rPr>
                <w:rFonts w:ascii="Arial" w:cs="Arial" w:eastAsia="Arial" w:hAnsi="Arial"/>
                <w:sz w:val="14"/>
                <w:szCs w:val="14"/>
                <w:color w:val="auto"/>
              </w:rPr>
              <w:t>Stock compensation expense</w:t>
            </w:r>
          </w:p>
        </w:tc>
        <w:tc>
          <w:tcPr>
            <w:tcW w:w="36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1,823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579</w:t>
            </w:r>
          </w:p>
        </w:tc>
        <w:tc>
          <w:tcPr>
            <w:tcW w:w="0" w:type="dxa"/>
            <w:vAlign w:val="bottom"/>
          </w:tcPr>
          <w:p>
            <w:pPr>
              <w:spacing w:after="0"/>
              <w:rPr>
                <w:sz w:val="1"/>
                <w:szCs w:val="1"/>
                <w:color w:val="auto"/>
              </w:rPr>
            </w:pPr>
          </w:p>
        </w:tc>
      </w:tr>
      <w:tr>
        <w:trPr>
          <w:trHeight w:val="176"/>
        </w:trPr>
        <w:tc>
          <w:tcPr>
            <w:tcW w:w="9000" w:type="dxa"/>
            <w:vAlign w:val="bottom"/>
            <w:gridSpan w:val="2"/>
          </w:tcPr>
          <w:p>
            <w:pPr>
              <w:ind w:left="480"/>
              <w:spacing w:after="0"/>
              <w:rPr>
                <w:sz w:val="20"/>
                <w:szCs w:val="20"/>
                <w:color w:val="auto"/>
              </w:rPr>
            </w:pPr>
            <w:r>
              <w:rPr>
                <w:rFonts w:ascii="Arial" w:cs="Arial" w:eastAsia="Arial" w:hAnsi="Arial"/>
                <w:sz w:val="14"/>
                <w:szCs w:val="14"/>
                <w:color w:val="auto"/>
              </w:rPr>
              <w:t>Goodwill impairment</w:t>
            </w:r>
          </w:p>
        </w:tc>
        <w:tc>
          <w:tcPr>
            <w:tcW w:w="36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1,172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9000" w:type="dxa"/>
            <w:vAlign w:val="bottom"/>
            <w:gridSpan w:val="2"/>
          </w:tcPr>
          <w:p>
            <w:pPr>
              <w:ind w:left="480"/>
              <w:spacing w:after="0"/>
              <w:rPr>
                <w:sz w:val="20"/>
                <w:szCs w:val="20"/>
                <w:color w:val="auto"/>
              </w:rPr>
            </w:pPr>
            <w:r>
              <w:rPr>
                <w:rFonts w:ascii="Arial" w:cs="Arial" w:eastAsia="Arial" w:hAnsi="Arial"/>
                <w:sz w:val="14"/>
                <w:szCs w:val="14"/>
                <w:color w:val="auto"/>
              </w:rPr>
              <w:t>Loss on disposal of fixed assets</w:t>
            </w:r>
          </w:p>
        </w:tc>
        <w:tc>
          <w:tcPr>
            <w:tcW w:w="36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614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76"/>
        </w:trPr>
        <w:tc>
          <w:tcPr>
            <w:tcW w:w="9000" w:type="dxa"/>
            <w:vAlign w:val="bottom"/>
            <w:gridSpan w:val="2"/>
          </w:tcPr>
          <w:p>
            <w:pPr>
              <w:ind w:left="480"/>
              <w:spacing w:after="0"/>
              <w:rPr>
                <w:sz w:val="20"/>
                <w:szCs w:val="20"/>
                <w:color w:val="auto"/>
              </w:rPr>
            </w:pPr>
            <w:r>
              <w:rPr>
                <w:rFonts w:ascii="Arial" w:cs="Arial" w:eastAsia="Arial" w:hAnsi="Arial"/>
                <w:sz w:val="14"/>
                <w:szCs w:val="14"/>
                <w:color w:val="auto"/>
              </w:rPr>
              <w:t>Income tax (deficiency) benefit related to employee equity awards</w:t>
            </w:r>
          </w:p>
        </w:tc>
        <w:tc>
          <w:tcPr>
            <w:tcW w:w="36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974</w:t>
            </w:r>
          </w:p>
        </w:tc>
        <w:tc>
          <w:tcPr>
            <w:tcW w:w="0" w:type="dxa"/>
            <w:vAlign w:val="bottom"/>
          </w:tcPr>
          <w:p>
            <w:pPr>
              <w:spacing w:after="0"/>
              <w:rPr>
                <w:sz w:val="1"/>
                <w:szCs w:val="1"/>
                <w:color w:val="auto"/>
              </w:rPr>
            </w:pPr>
          </w:p>
        </w:tc>
      </w:tr>
      <w:tr>
        <w:trPr>
          <w:trHeight w:val="182"/>
        </w:trPr>
        <w:tc>
          <w:tcPr>
            <w:tcW w:w="9000" w:type="dxa"/>
            <w:vAlign w:val="bottom"/>
            <w:gridSpan w:val="2"/>
          </w:tcPr>
          <w:p>
            <w:pPr>
              <w:ind w:left="480"/>
              <w:spacing w:after="0"/>
              <w:rPr>
                <w:sz w:val="20"/>
                <w:szCs w:val="20"/>
                <w:color w:val="auto"/>
              </w:rPr>
            </w:pPr>
            <w:r>
              <w:rPr>
                <w:rFonts w:ascii="Arial" w:cs="Arial" w:eastAsia="Arial" w:hAnsi="Arial"/>
                <w:sz w:val="14"/>
                <w:szCs w:val="14"/>
                <w:color w:val="auto"/>
              </w:rPr>
              <w:t>Excess tax benefit from exercise of stock options</w:t>
            </w:r>
          </w:p>
        </w:tc>
        <w:tc>
          <w:tcPr>
            <w:tcW w:w="36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344"/>
        </w:trPr>
        <w:tc>
          <w:tcPr>
            <w:tcW w:w="9000" w:type="dxa"/>
            <w:vAlign w:val="bottom"/>
            <w:gridSpan w:val="2"/>
          </w:tcPr>
          <w:p>
            <w:pPr>
              <w:spacing w:after="0"/>
              <w:rPr>
                <w:sz w:val="20"/>
                <w:szCs w:val="20"/>
                <w:color w:val="auto"/>
              </w:rPr>
            </w:pPr>
            <w:r>
              <w:rPr>
                <w:rFonts w:ascii="Arial" w:cs="Arial" w:eastAsia="Arial" w:hAnsi="Arial"/>
                <w:sz w:val="14"/>
                <w:szCs w:val="14"/>
                <w:color w:val="auto"/>
              </w:rPr>
              <w:t>Changes in assets and liabilities: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9000" w:type="dxa"/>
            <w:vAlign w:val="bottom"/>
            <w:gridSpan w:val="2"/>
          </w:tcPr>
          <w:p>
            <w:pPr>
              <w:ind w:left="480"/>
              <w:spacing w:after="0"/>
              <w:rPr>
                <w:sz w:val="20"/>
                <w:szCs w:val="20"/>
                <w:color w:val="auto"/>
              </w:rPr>
            </w:pPr>
            <w:r>
              <w:rPr>
                <w:rFonts w:ascii="Arial" w:cs="Arial" w:eastAsia="Arial" w:hAnsi="Arial"/>
                <w:sz w:val="14"/>
                <w:szCs w:val="14"/>
                <w:color w:val="auto"/>
              </w:rPr>
              <w:t>Accounts receivable</w:t>
            </w:r>
          </w:p>
        </w:tc>
        <w:tc>
          <w:tcPr>
            <w:tcW w:w="36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14,054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(33,581)</w:t>
            </w:r>
          </w:p>
        </w:tc>
        <w:tc>
          <w:tcPr>
            <w:tcW w:w="0" w:type="dxa"/>
            <w:vAlign w:val="bottom"/>
          </w:tcPr>
          <w:p>
            <w:pPr>
              <w:spacing w:after="0"/>
              <w:rPr>
                <w:sz w:val="1"/>
                <w:szCs w:val="1"/>
                <w:color w:val="auto"/>
              </w:rPr>
            </w:pPr>
          </w:p>
        </w:tc>
      </w:tr>
      <w:tr>
        <w:trPr>
          <w:trHeight w:val="176"/>
        </w:trPr>
        <w:tc>
          <w:tcPr>
            <w:tcW w:w="9000" w:type="dxa"/>
            <w:vAlign w:val="bottom"/>
            <w:gridSpan w:val="2"/>
          </w:tcPr>
          <w:p>
            <w:pPr>
              <w:ind w:left="480"/>
              <w:spacing w:after="0"/>
              <w:rPr>
                <w:sz w:val="20"/>
                <w:szCs w:val="20"/>
                <w:color w:val="auto"/>
              </w:rPr>
            </w:pPr>
            <w:r>
              <w:rPr>
                <w:rFonts w:ascii="Arial" w:cs="Arial" w:eastAsia="Arial" w:hAnsi="Arial"/>
                <w:sz w:val="14"/>
                <w:szCs w:val="14"/>
                <w:color w:val="auto"/>
              </w:rPr>
              <w:t>Inventories</w:t>
            </w:r>
          </w:p>
        </w:tc>
        <w:tc>
          <w:tcPr>
            <w:tcW w:w="36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15,277</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(6,683)</w:t>
            </w:r>
          </w:p>
        </w:tc>
        <w:tc>
          <w:tcPr>
            <w:tcW w:w="0" w:type="dxa"/>
            <w:vAlign w:val="bottom"/>
          </w:tcPr>
          <w:p>
            <w:pPr>
              <w:spacing w:after="0"/>
              <w:rPr>
                <w:sz w:val="1"/>
                <w:szCs w:val="1"/>
                <w:color w:val="auto"/>
              </w:rPr>
            </w:pPr>
          </w:p>
        </w:tc>
      </w:tr>
      <w:tr>
        <w:trPr>
          <w:trHeight w:val="176"/>
        </w:trPr>
        <w:tc>
          <w:tcPr>
            <w:tcW w:w="9000" w:type="dxa"/>
            <w:vAlign w:val="bottom"/>
            <w:gridSpan w:val="2"/>
          </w:tcPr>
          <w:p>
            <w:pPr>
              <w:ind w:left="48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(407)</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76"/>
        </w:trPr>
        <w:tc>
          <w:tcPr>
            <w:tcW w:w="9000" w:type="dxa"/>
            <w:vAlign w:val="bottom"/>
            <w:gridSpan w:val="2"/>
          </w:tcPr>
          <w:p>
            <w:pPr>
              <w:ind w:left="480"/>
              <w:spacing w:after="0"/>
              <w:rPr>
                <w:sz w:val="20"/>
                <w:szCs w:val="20"/>
                <w:color w:val="auto"/>
              </w:rPr>
            </w:pPr>
            <w:r>
              <w:rPr>
                <w:rFonts w:ascii="Arial" w:cs="Arial" w:eastAsia="Arial" w:hAnsi="Arial"/>
                <w:sz w:val="14"/>
                <w:szCs w:val="14"/>
                <w:color w:val="auto"/>
              </w:rPr>
              <w:t>Other non-current assets</w:t>
            </w:r>
          </w:p>
        </w:tc>
        <w:tc>
          <w:tcPr>
            <w:tcW w:w="36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76"/>
        </w:trPr>
        <w:tc>
          <w:tcPr>
            <w:tcW w:w="9000" w:type="dxa"/>
            <w:vAlign w:val="bottom"/>
            <w:gridSpan w:val="2"/>
          </w:tcPr>
          <w:p>
            <w:pPr>
              <w:ind w:left="480"/>
              <w:spacing w:after="0"/>
              <w:rPr>
                <w:sz w:val="20"/>
                <w:szCs w:val="20"/>
                <w:color w:val="auto"/>
              </w:rPr>
            </w:pPr>
            <w:r>
              <w:rPr>
                <w:rFonts w:ascii="Arial" w:cs="Arial" w:eastAsia="Arial" w:hAnsi="Arial"/>
                <w:sz w:val="14"/>
                <w:szCs w:val="14"/>
                <w:color w:val="auto"/>
              </w:rPr>
              <w:t>Accounts payable</w:t>
            </w:r>
          </w:p>
        </w:tc>
        <w:tc>
          <w:tcPr>
            <w:tcW w:w="36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(9,191)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81"/>
        </w:trPr>
        <w:tc>
          <w:tcPr>
            <w:tcW w:w="9000" w:type="dxa"/>
            <w:vAlign w:val="bottom"/>
            <w:gridSpan w:val="2"/>
          </w:tcPr>
          <w:p>
            <w:pPr>
              <w:ind w:left="480"/>
              <w:spacing w:after="0"/>
              <w:rPr>
                <w:sz w:val="20"/>
                <w:szCs w:val="20"/>
                <w:color w:val="auto"/>
              </w:rPr>
            </w:pPr>
            <w:r>
              <w:rPr>
                <w:rFonts w:ascii="Arial" w:cs="Arial" w:eastAsia="Arial" w:hAnsi="Arial"/>
                <w:sz w:val="14"/>
                <w:szCs w:val="14"/>
                <w:color w:val="auto"/>
              </w:rPr>
              <w:t>Accrued expenses and other liabilities</w:t>
            </w: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(4,623)</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7,448</w:t>
            </w:r>
          </w:p>
        </w:tc>
        <w:tc>
          <w:tcPr>
            <w:tcW w:w="0" w:type="dxa"/>
            <w:vAlign w:val="bottom"/>
          </w:tcPr>
          <w:p>
            <w:pPr>
              <w:spacing w:after="0"/>
              <w:rPr>
                <w:sz w:val="1"/>
                <w:szCs w:val="1"/>
                <w:color w:val="auto"/>
              </w:rPr>
            </w:pPr>
          </w:p>
        </w:tc>
      </w:tr>
      <w:tr>
        <w:trPr>
          <w:trHeight w:val="169"/>
        </w:trPr>
        <w:tc>
          <w:tcPr>
            <w:tcW w:w="9000" w:type="dxa"/>
            <w:vAlign w:val="bottom"/>
            <w:gridSpan w:val="2"/>
          </w:tcPr>
          <w:p>
            <w:pPr>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45,154</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522"/>
        </w:trPr>
        <w:tc>
          <w:tcPr>
            <w:tcW w:w="9000" w:type="dxa"/>
            <w:vAlign w:val="bottom"/>
            <w:gridSpan w:val="2"/>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9000" w:type="dxa"/>
            <w:vAlign w:val="bottom"/>
            <w:gridSpan w:val="2"/>
          </w:tcPr>
          <w:p>
            <w:pPr>
              <w:spacing w:after="0"/>
              <w:rPr>
                <w:sz w:val="20"/>
                <w:szCs w:val="20"/>
                <w:color w:val="auto"/>
              </w:rPr>
            </w:pPr>
            <w:r>
              <w:rPr>
                <w:rFonts w:ascii="Arial" w:cs="Arial" w:eastAsia="Arial" w:hAnsi="Arial"/>
                <w:sz w:val="14"/>
                <w:szCs w:val="14"/>
                <w:color w:val="auto"/>
              </w:rPr>
              <w:t>Purchases of property and equipment</w:t>
            </w:r>
          </w:p>
        </w:tc>
        <w:tc>
          <w:tcPr>
            <w:tcW w:w="36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(10,370)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(7,066)</w:t>
            </w:r>
          </w:p>
        </w:tc>
        <w:tc>
          <w:tcPr>
            <w:tcW w:w="0" w:type="dxa"/>
            <w:vAlign w:val="bottom"/>
          </w:tcPr>
          <w:p>
            <w:pPr>
              <w:spacing w:after="0"/>
              <w:rPr>
                <w:sz w:val="1"/>
                <w:szCs w:val="1"/>
                <w:color w:val="auto"/>
              </w:rPr>
            </w:pPr>
          </w:p>
        </w:tc>
      </w:tr>
      <w:tr>
        <w:trPr>
          <w:trHeight w:val="181"/>
        </w:trPr>
        <w:tc>
          <w:tcPr>
            <w:tcW w:w="9000" w:type="dxa"/>
            <w:vAlign w:val="bottom"/>
            <w:gridSpan w:val="2"/>
          </w:tcPr>
          <w:p>
            <w:pPr>
              <w:spacing w:after="0"/>
              <w:rPr>
                <w:sz w:val="20"/>
                <w:szCs w:val="20"/>
                <w:color w:val="auto"/>
              </w:rPr>
            </w:pPr>
            <w:r>
              <w:rPr>
                <w:rFonts w:ascii="Arial" w:cs="Arial" w:eastAsia="Arial" w:hAnsi="Arial"/>
                <w:sz w:val="14"/>
                <w:szCs w:val="14"/>
                <w:color w:val="auto"/>
              </w:rPr>
              <w:t>Proceeds from sale of property and equipment</w:t>
            </w: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9000" w:type="dxa"/>
            <w:vAlign w:val="bottom"/>
            <w:gridSpan w:val="2"/>
          </w:tcPr>
          <w:p>
            <w:pPr>
              <w:spacing w:after="0"/>
              <w:rPr>
                <w:sz w:val="20"/>
                <w:szCs w:val="20"/>
                <w:color w:val="auto"/>
              </w:rPr>
            </w:pPr>
            <w:r>
              <w:rPr>
                <w:rFonts w:ascii="Arial" w:cs="Arial" w:eastAsia="Arial" w:hAnsi="Arial"/>
                <w:sz w:val="14"/>
                <w:szCs w:val="14"/>
                <w:color w:val="auto"/>
              </w:rPr>
              <w:t>Net cash used for investing activities</w:t>
            </w: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(10,326)</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(7,066)</w:t>
            </w:r>
          </w:p>
        </w:tc>
        <w:tc>
          <w:tcPr>
            <w:tcW w:w="0" w:type="dxa"/>
            <w:vAlign w:val="bottom"/>
          </w:tcPr>
          <w:p>
            <w:pPr>
              <w:spacing w:after="0"/>
              <w:rPr>
                <w:sz w:val="1"/>
                <w:szCs w:val="1"/>
                <w:color w:val="auto"/>
              </w:rPr>
            </w:pPr>
          </w:p>
        </w:tc>
      </w:tr>
      <w:tr>
        <w:trPr>
          <w:trHeight w:val="522"/>
        </w:trPr>
        <w:tc>
          <w:tcPr>
            <w:tcW w:w="9000" w:type="dxa"/>
            <w:vAlign w:val="bottom"/>
            <w:gridSpan w:val="2"/>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9000" w:type="dxa"/>
            <w:vAlign w:val="bottom"/>
            <w:gridSpan w:val="2"/>
          </w:tcPr>
          <w:p>
            <w:pPr>
              <w:spacing w:after="0"/>
              <w:rPr>
                <w:sz w:val="20"/>
                <w:szCs w:val="20"/>
                <w:color w:val="auto"/>
              </w:rPr>
            </w:pPr>
            <w:r>
              <w:rPr>
                <w:rFonts w:ascii="Arial" w:cs="Arial" w:eastAsia="Arial" w:hAnsi="Arial"/>
                <w:sz w:val="14"/>
                <w:szCs w:val="14"/>
                <w:color w:val="auto"/>
              </w:rPr>
              <w:t>Proceeds from short-term borrowings</w:t>
            </w:r>
          </w:p>
        </w:tc>
        <w:tc>
          <w:tcPr>
            <w:tcW w:w="36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37,343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53,280</w:t>
            </w:r>
          </w:p>
        </w:tc>
        <w:tc>
          <w:tcPr>
            <w:tcW w:w="0" w:type="dxa"/>
            <w:vAlign w:val="bottom"/>
          </w:tcPr>
          <w:p>
            <w:pPr>
              <w:spacing w:after="0"/>
              <w:rPr>
                <w:sz w:val="1"/>
                <w:szCs w:val="1"/>
                <w:color w:val="auto"/>
              </w:rPr>
            </w:pPr>
          </w:p>
        </w:tc>
      </w:tr>
      <w:tr>
        <w:trPr>
          <w:trHeight w:val="176"/>
        </w:trPr>
        <w:tc>
          <w:tcPr>
            <w:tcW w:w="9000" w:type="dxa"/>
            <w:vAlign w:val="bottom"/>
            <w:gridSpan w:val="2"/>
          </w:tcPr>
          <w:p>
            <w:pPr>
              <w:spacing w:after="0"/>
              <w:rPr>
                <w:sz w:val="20"/>
                <w:szCs w:val="20"/>
                <w:color w:val="auto"/>
              </w:rPr>
            </w:pPr>
            <w:r>
              <w:rPr>
                <w:rFonts w:ascii="Arial" w:cs="Arial" w:eastAsia="Arial" w:hAnsi="Arial"/>
                <w:sz w:val="14"/>
                <w:szCs w:val="14"/>
                <w:color w:val="auto"/>
              </w:rPr>
              <w:t>Repayment of short-term borrowings</w:t>
            </w:r>
          </w:p>
        </w:tc>
        <w:tc>
          <w:tcPr>
            <w:tcW w:w="36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(37,343)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(53,280)</w:t>
            </w:r>
          </w:p>
        </w:tc>
        <w:tc>
          <w:tcPr>
            <w:tcW w:w="0" w:type="dxa"/>
            <w:vAlign w:val="bottom"/>
          </w:tcPr>
          <w:p>
            <w:pPr>
              <w:spacing w:after="0"/>
              <w:rPr>
                <w:sz w:val="1"/>
                <w:szCs w:val="1"/>
                <w:color w:val="auto"/>
              </w:rPr>
            </w:pPr>
          </w:p>
        </w:tc>
      </w:tr>
      <w:tr>
        <w:trPr>
          <w:trHeight w:val="176"/>
        </w:trPr>
        <w:tc>
          <w:tcPr>
            <w:tcW w:w="9000" w:type="dxa"/>
            <w:vAlign w:val="bottom"/>
            <w:gridSpan w:val="2"/>
          </w:tcPr>
          <w:p>
            <w:pPr>
              <w:spacing w:after="0"/>
              <w:rPr>
                <w:sz w:val="20"/>
                <w:szCs w:val="20"/>
                <w:color w:val="auto"/>
              </w:rPr>
            </w:pPr>
            <w:r>
              <w:rPr>
                <w:rFonts w:ascii="Arial" w:cs="Arial" w:eastAsia="Arial" w:hAnsi="Arial"/>
                <w:sz w:val="14"/>
                <w:szCs w:val="14"/>
                <w:color w:val="auto"/>
              </w:rPr>
              <w:t>Repayment of capital lease obligation</w:t>
            </w:r>
          </w:p>
        </w:tc>
        <w:tc>
          <w:tcPr>
            <w:tcW w:w="36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(527)</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(859)</w:t>
            </w:r>
          </w:p>
        </w:tc>
        <w:tc>
          <w:tcPr>
            <w:tcW w:w="0" w:type="dxa"/>
            <w:vAlign w:val="bottom"/>
          </w:tcPr>
          <w:p>
            <w:pPr>
              <w:spacing w:after="0"/>
              <w:rPr>
                <w:sz w:val="1"/>
                <w:szCs w:val="1"/>
                <w:color w:val="auto"/>
              </w:rPr>
            </w:pPr>
          </w:p>
        </w:tc>
      </w:tr>
      <w:tr>
        <w:trPr>
          <w:trHeight w:val="176"/>
        </w:trPr>
        <w:tc>
          <w:tcPr>
            <w:tcW w:w="9000" w:type="dxa"/>
            <w:vAlign w:val="bottom"/>
            <w:gridSpan w:val="2"/>
          </w:tcPr>
          <w:p>
            <w:pPr>
              <w:spacing w:after="0"/>
              <w:rPr>
                <w:sz w:val="20"/>
                <w:szCs w:val="20"/>
                <w:color w:val="auto"/>
              </w:rPr>
            </w:pPr>
            <w:r>
              <w:rPr>
                <w:rFonts w:ascii="Arial" w:cs="Arial" w:eastAsia="Arial" w:hAnsi="Arial"/>
                <w:sz w:val="14"/>
                <w:szCs w:val="14"/>
                <w:color w:val="auto"/>
              </w:rPr>
              <w:t>Purchase of treasury shares</w:t>
            </w:r>
          </w:p>
        </w:tc>
        <w:tc>
          <w:tcPr>
            <w:tcW w:w="36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(1,537)</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9000" w:type="dxa"/>
            <w:vAlign w:val="bottom"/>
            <w:gridSpan w:val="2"/>
          </w:tcPr>
          <w:p>
            <w:pPr>
              <w:spacing w:after="0"/>
              <w:rPr>
                <w:sz w:val="20"/>
                <w:szCs w:val="20"/>
                <w:color w:val="auto"/>
              </w:rPr>
            </w:pPr>
            <w:r>
              <w:rPr>
                <w:rFonts w:ascii="Arial" w:cs="Arial" w:eastAsia="Arial" w:hAnsi="Arial"/>
                <w:sz w:val="14"/>
                <w:szCs w:val="14"/>
                <w:color w:val="auto"/>
              </w:rPr>
              <w:t>Exercise of stock options</w:t>
            </w:r>
          </w:p>
        </w:tc>
        <w:tc>
          <w:tcPr>
            <w:tcW w:w="36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2,910</w:t>
            </w:r>
          </w:p>
        </w:tc>
        <w:tc>
          <w:tcPr>
            <w:tcW w:w="0" w:type="dxa"/>
            <w:vAlign w:val="bottom"/>
          </w:tcPr>
          <w:p>
            <w:pPr>
              <w:spacing w:after="0"/>
              <w:rPr>
                <w:sz w:val="1"/>
                <w:szCs w:val="1"/>
                <w:color w:val="auto"/>
              </w:rPr>
            </w:pPr>
          </w:p>
        </w:tc>
      </w:tr>
      <w:tr>
        <w:trPr>
          <w:trHeight w:val="176"/>
        </w:trPr>
        <w:tc>
          <w:tcPr>
            <w:tcW w:w="9000" w:type="dxa"/>
            <w:vAlign w:val="bottom"/>
            <w:gridSpan w:val="2"/>
          </w:tcPr>
          <w:p>
            <w:pPr>
              <w:spacing w:after="0"/>
              <w:rPr>
                <w:sz w:val="20"/>
                <w:szCs w:val="20"/>
                <w:color w:val="auto"/>
              </w:rPr>
            </w:pPr>
            <w:r>
              <w:rPr>
                <w:rFonts w:ascii="Arial" w:cs="Arial" w:eastAsia="Arial" w:hAnsi="Arial"/>
                <w:sz w:val="14"/>
                <w:szCs w:val="14"/>
                <w:color w:val="auto"/>
              </w:rPr>
              <w:t>Issuance of stock under Employee Stock Purchase Plan</w:t>
            </w:r>
          </w:p>
        </w:tc>
        <w:tc>
          <w:tcPr>
            <w:tcW w:w="36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257</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76"/>
        </w:trPr>
        <w:tc>
          <w:tcPr>
            <w:tcW w:w="9000" w:type="dxa"/>
            <w:vAlign w:val="bottom"/>
            <w:gridSpan w:val="2"/>
          </w:tcPr>
          <w:p>
            <w:pPr>
              <w:spacing w:after="0"/>
              <w:rPr>
                <w:sz w:val="20"/>
                <w:szCs w:val="20"/>
                <w:color w:val="auto"/>
              </w:rPr>
            </w:pPr>
            <w:r>
              <w:rPr>
                <w:rFonts w:ascii="Arial" w:cs="Arial" w:eastAsia="Arial" w:hAnsi="Arial"/>
                <w:sz w:val="14"/>
                <w:szCs w:val="14"/>
                <w:color w:val="auto"/>
              </w:rPr>
              <w:t>Net share settlement obligation</w:t>
            </w:r>
          </w:p>
        </w:tc>
        <w:tc>
          <w:tcPr>
            <w:tcW w:w="36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9000" w:type="dxa"/>
            <w:vAlign w:val="bottom"/>
            <w:gridSpan w:val="2"/>
          </w:tcPr>
          <w:p>
            <w:pPr>
              <w:spacing w:after="0"/>
              <w:rPr>
                <w:sz w:val="20"/>
                <w:szCs w:val="20"/>
                <w:color w:val="auto"/>
              </w:rPr>
            </w:pPr>
            <w:r>
              <w:rPr>
                <w:rFonts w:ascii="Arial" w:cs="Arial" w:eastAsia="Arial" w:hAnsi="Arial"/>
                <w:sz w:val="14"/>
                <w:szCs w:val="14"/>
                <w:color w:val="auto"/>
              </w:rPr>
              <w:t>Excess tax benefit from exercise of stock options</w:t>
            </w: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169"/>
        </w:trPr>
        <w:tc>
          <w:tcPr>
            <w:tcW w:w="9000" w:type="dxa"/>
            <w:vAlign w:val="bottom"/>
            <w:gridSpan w:val="2"/>
          </w:tcPr>
          <w:p>
            <w:pPr>
              <w:spacing w:after="0"/>
              <w:rPr>
                <w:sz w:val="20"/>
                <w:szCs w:val="20"/>
                <w:color w:val="auto"/>
              </w:rPr>
            </w:pPr>
            <w:r>
              <w:rPr>
                <w:rFonts w:ascii="Arial" w:cs="Arial" w:eastAsia="Arial" w:hAnsi="Arial"/>
                <w:sz w:val="14"/>
                <w:szCs w:val="14"/>
                <w:color w:val="auto"/>
              </w:rPr>
              <w:t>Net cash (used for) provided by financing activities</w:t>
            </w: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(1,566)</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2,792</w:t>
            </w:r>
          </w:p>
        </w:tc>
        <w:tc>
          <w:tcPr>
            <w:tcW w:w="0" w:type="dxa"/>
            <w:vAlign w:val="bottom"/>
          </w:tcPr>
          <w:p>
            <w:pPr>
              <w:spacing w:after="0"/>
              <w:rPr>
                <w:sz w:val="1"/>
                <w:szCs w:val="1"/>
                <w:color w:val="auto"/>
              </w:rPr>
            </w:pPr>
          </w:p>
        </w:tc>
      </w:tr>
      <w:tr>
        <w:trPr>
          <w:trHeight w:val="164"/>
        </w:trPr>
        <w:tc>
          <w:tcPr>
            <w:tcW w:w="9000" w:type="dxa"/>
            <w:vAlign w:val="bottom"/>
            <w:gridSpan w:val="2"/>
          </w:tcPr>
          <w:p>
            <w:pPr>
              <w:spacing w:after="0"/>
              <w:rPr>
                <w:sz w:val="20"/>
                <w:szCs w:val="20"/>
                <w:color w:val="auto"/>
              </w:rPr>
            </w:pPr>
            <w:r>
              <w:rPr>
                <w:rFonts w:ascii="Arial" w:cs="Arial" w:eastAsia="Arial" w:hAnsi="Arial"/>
                <w:sz w:val="14"/>
                <w:szCs w:val="14"/>
                <w:color w:val="auto"/>
              </w:rPr>
              <w:t>Increase (decrease) in cash and cash equivalents</w:t>
            </w:r>
          </w:p>
        </w:tc>
        <w:tc>
          <w:tcPr>
            <w:tcW w:w="36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33,262</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(3,841)</w:t>
            </w:r>
          </w:p>
        </w:tc>
        <w:tc>
          <w:tcPr>
            <w:tcW w:w="0" w:type="dxa"/>
            <w:vAlign w:val="bottom"/>
          </w:tcPr>
          <w:p>
            <w:pPr>
              <w:spacing w:after="0"/>
              <w:rPr>
                <w:sz w:val="1"/>
                <w:szCs w:val="1"/>
                <w:color w:val="auto"/>
              </w:rPr>
            </w:pPr>
          </w:p>
        </w:tc>
      </w:tr>
      <w:tr>
        <w:trPr>
          <w:trHeight w:val="181"/>
        </w:trPr>
        <w:tc>
          <w:tcPr>
            <w:tcW w:w="9000" w:type="dxa"/>
            <w:vAlign w:val="bottom"/>
            <w:gridSpan w:val="2"/>
          </w:tcPr>
          <w:p>
            <w:pPr>
              <w:spacing w:after="0"/>
              <w:rPr>
                <w:sz w:val="20"/>
                <w:szCs w:val="20"/>
                <w:color w:val="auto"/>
              </w:rPr>
            </w:pPr>
            <w:r>
              <w:rPr>
                <w:rFonts w:ascii="Arial" w:cs="Arial" w:eastAsia="Arial" w:hAnsi="Arial"/>
                <w:sz w:val="14"/>
                <w:szCs w:val="14"/>
                <w:color w:val="auto"/>
              </w:rPr>
              <w:t>Cash and cash equivalents, beginning of period</w:t>
            </w: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13,741</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17,582</w:t>
            </w:r>
          </w:p>
        </w:tc>
        <w:tc>
          <w:tcPr>
            <w:tcW w:w="0" w:type="dxa"/>
            <w:vAlign w:val="bottom"/>
          </w:tcPr>
          <w:p>
            <w:pPr>
              <w:spacing w:after="0"/>
              <w:rPr>
                <w:sz w:val="1"/>
                <w:szCs w:val="1"/>
                <w:color w:val="auto"/>
              </w:rPr>
            </w:pPr>
          </w:p>
        </w:tc>
      </w:tr>
      <w:tr>
        <w:trPr>
          <w:trHeight w:val="169"/>
        </w:trPr>
        <w:tc>
          <w:tcPr>
            <w:tcW w:w="9000" w:type="dxa"/>
            <w:vAlign w:val="bottom"/>
            <w:gridSpan w:val="2"/>
          </w:tcPr>
          <w:p>
            <w:pPr>
              <w:spacing w:after="0"/>
              <w:rPr>
                <w:sz w:val="20"/>
                <w:szCs w:val="20"/>
                <w:color w:val="auto"/>
              </w:rPr>
            </w:pPr>
            <w:r>
              <w:rPr>
                <w:rFonts w:ascii="Arial" w:cs="Arial" w:eastAsia="Arial" w:hAnsi="Arial"/>
                <w:sz w:val="14"/>
                <w:szCs w:val="14"/>
                <w:color w:val="auto"/>
              </w:rPr>
              <w:t>Cash and cash equivalents, end of period</w:t>
            </w: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47,003</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13,741</w:t>
            </w:r>
          </w:p>
        </w:tc>
        <w:tc>
          <w:tcPr>
            <w:tcW w:w="0" w:type="dxa"/>
            <w:vAlign w:val="bottom"/>
          </w:tcPr>
          <w:p>
            <w:pPr>
              <w:spacing w:after="0"/>
              <w:rPr>
                <w:sz w:val="1"/>
                <w:szCs w:val="1"/>
                <w:color w:val="auto"/>
              </w:rPr>
            </w:pPr>
          </w:p>
        </w:tc>
      </w:tr>
      <w:tr>
        <w:trPr>
          <w:trHeight w:val="20"/>
        </w:trPr>
        <w:tc>
          <w:tcPr>
            <w:tcW w:w="1640" w:type="dxa"/>
            <w:vAlign w:val="bottom"/>
            <w:vMerge w:val="restart"/>
          </w:tcPr>
          <w:p>
            <w:pPr>
              <w:spacing w:after="0"/>
              <w:rPr>
                <w:sz w:val="20"/>
                <w:szCs w:val="20"/>
                <w:color w:val="auto"/>
              </w:rPr>
            </w:pPr>
            <w:r>
              <w:rPr>
                <w:rFonts w:ascii="Arial" w:cs="Arial" w:eastAsia="Arial" w:hAnsi="Arial"/>
                <w:sz w:val="14"/>
                <w:szCs w:val="14"/>
                <w:color w:val="auto"/>
                <w:w w:val="96"/>
              </w:rPr>
              <w:t>Noncash Financing Activity</w:t>
            </w:r>
          </w:p>
        </w:tc>
        <w:tc>
          <w:tcPr>
            <w:tcW w:w="736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1640" w:type="dxa"/>
            <w:vAlign w:val="bottom"/>
            <w:tcBorders>
              <w:bottom w:val="single" w:sz="8" w:color="auto"/>
            </w:tcBorders>
            <w:vMerge w:val="continue"/>
          </w:tcPr>
          <w:p>
            <w:pPr>
              <w:spacing w:after="0"/>
              <w:rPr>
                <w:sz w:val="24"/>
                <w:szCs w:val="24"/>
                <w:color w:val="auto"/>
              </w:rPr>
            </w:pPr>
          </w:p>
        </w:tc>
        <w:tc>
          <w:tcPr>
            <w:tcW w:w="7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Issuance of nonvested stock from Treasury</w:t>
            </w:r>
          </w:p>
        </w:tc>
        <w:tc>
          <w:tcPr>
            <w:tcW w:w="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320</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pccc-g</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PC Connection, Inc.</w:t>
      </w:r>
    </w:p>
    <w:p>
      <w:pPr>
        <w:spacing w:after="0" w:line="230" w:lineRule="auto"/>
        <w:rPr>
          <w:sz w:val="20"/>
          <w:szCs w:val="20"/>
          <w:color w:val="auto"/>
        </w:rPr>
      </w:pPr>
      <w:r>
        <w:rPr>
          <w:rFonts w:ascii="Arial" w:cs="Arial" w:eastAsia="Arial" w:hAnsi="Arial"/>
          <w:sz w:val="22"/>
          <w:szCs w:val="22"/>
          <w:color w:val="auto"/>
        </w:rPr>
        <w:t>Stephen Baldridge, 603-683-2322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Sr. Vice President of Finance &amp; Corporate Controller</w:t>
      </w:r>
    </w:p>
    <w:sectPr>
      <w:pgSz w:w="11900" w:h="16838" w:orient="portrait"/>
      <w:cols w:equalWidth="0" w:num="1">
        <w:col w:w="11420"/>
      </w:cols>
      <w:pgMar w:left="240" w:top="4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2019-12-10T15:10:19Z</dcterms:created>
  <dcterms:modified xsi:type="dcterms:W3CDTF">2019-12-10T15:10:19Z</dcterms:modified>
</cp:coreProperties>
</file>