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2051050</wp:posOffset>
            </wp:positionH>
            <wp:positionV relativeFrom="paragraph">
              <wp:posOffset>81280</wp:posOffset>
            </wp:positionV>
            <wp:extent cx="1617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7980" cy="16510"/>
                    </a:xfrm>
                    <a:prstGeom prst="rect">
                      <a:avLst/>
                    </a:prstGeom>
                    <a:noFill/>
                  </pic:spPr>
                </pic:pic>
              </a:graphicData>
            </a:graphic>
          </wp:anchor>
        </w:drawing>
      </w:r>
    </w:p>
    <w:p>
      <w:pPr>
        <w:spacing w:after="0" w:line="20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color w:val="auto"/>
        </w:rPr>
        <w:t>FORM 8-K</w:t>
      </w:r>
    </w:p>
    <w:p>
      <w:pPr>
        <w:spacing w:after="0" w:line="11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PURSUANT TO SECTION 13 OR 15(d) OF</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Date of Report (Date of earliest event reported): October 28, 2026</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19050</wp:posOffset>
            </wp:positionV>
            <wp:extent cx="565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755"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charter)</w:t>
      </w:r>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3780" w:type="dxa"/>
            <w:vAlign w:val="bottom"/>
            <w:tcBorders>
              <w:bottom w:val="single" w:sz="8" w:color="auto"/>
            </w:tcBorders>
          </w:tcPr>
          <w:p>
            <w:pPr>
              <w:jc w:val="center"/>
              <w:ind w:right="714"/>
              <w:spacing w:after="0"/>
              <w:rPr>
                <w:sz w:val="20"/>
                <w:szCs w:val="20"/>
                <w:color w:val="auto"/>
              </w:rPr>
            </w:pPr>
            <w:r>
              <w:rPr>
                <w:rFonts w:ascii="Times New Roman" w:cs="Times New Roman" w:eastAsia="Times New Roman" w:hAnsi="Times New Roman"/>
                <w:sz w:val="17"/>
                <w:szCs w:val="17"/>
                <w:color w:val="auto"/>
              </w:rPr>
              <w:t>Delaware</w:t>
            </w:r>
          </w:p>
        </w:tc>
        <w:tc>
          <w:tcPr>
            <w:tcW w:w="18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rPr>
              <w:t>0-23827</w:t>
            </w:r>
          </w:p>
        </w:tc>
        <w:tc>
          <w:tcPr>
            <w:tcW w:w="33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rPr>
              <w:t>02-0513618</w:t>
            </w:r>
          </w:p>
        </w:tc>
      </w:tr>
      <w:tr>
        <w:trPr>
          <w:trHeight w:val="181"/>
        </w:trPr>
        <w:tc>
          <w:tcPr>
            <w:tcW w:w="3780" w:type="dxa"/>
            <w:vAlign w:val="bottom"/>
          </w:tcPr>
          <w:p>
            <w:pPr>
              <w:jc w:val="center"/>
              <w:ind w:right="714"/>
              <w:spacing w:after="0" w:line="181" w:lineRule="exact"/>
              <w:rPr>
                <w:sz w:val="20"/>
                <w:szCs w:val="20"/>
                <w:color w:val="auto"/>
              </w:rPr>
            </w:pPr>
            <w:r>
              <w:rPr>
                <w:rFonts w:ascii="Times New Roman" w:cs="Times New Roman" w:eastAsia="Times New Roman" w:hAnsi="Times New Roman"/>
                <w:sz w:val="17"/>
                <w:szCs w:val="17"/>
                <w:color w:val="auto"/>
              </w:rPr>
              <w:t>(State or other juris-</w:t>
            </w:r>
          </w:p>
        </w:tc>
        <w:tc>
          <w:tcPr>
            <w:tcW w:w="1840" w:type="dxa"/>
            <w:vAlign w:val="bottom"/>
          </w:tcPr>
          <w:p>
            <w:pPr>
              <w:jc w:val="center"/>
              <w:ind w:right="434"/>
              <w:spacing w:after="0" w:line="181" w:lineRule="exact"/>
              <w:rPr>
                <w:sz w:val="20"/>
                <w:szCs w:val="20"/>
                <w:color w:val="auto"/>
              </w:rPr>
            </w:pPr>
            <w:r>
              <w:rPr>
                <w:rFonts w:ascii="Times New Roman" w:cs="Times New Roman" w:eastAsia="Times New Roman" w:hAnsi="Times New Roman"/>
                <w:sz w:val="17"/>
                <w:szCs w:val="17"/>
                <w:color w:val="auto"/>
              </w:rPr>
              <w:t>(Commission</w:t>
            </w:r>
          </w:p>
        </w:tc>
        <w:tc>
          <w:tcPr>
            <w:tcW w:w="3300" w:type="dxa"/>
            <w:vAlign w:val="bottom"/>
          </w:tcPr>
          <w:p>
            <w:pPr>
              <w:ind w:left="1260"/>
              <w:spacing w:after="0" w:line="181" w:lineRule="exact"/>
              <w:rPr>
                <w:sz w:val="20"/>
                <w:szCs w:val="20"/>
                <w:color w:val="auto"/>
              </w:rPr>
            </w:pPr>
            <w:r>
              <w:rPr>
                <w:rFonts w:ascii="Times New Roman" w:cs="Times New Roman" w:eastAsia="Times New Roman" w:hAnsi="Times New Roman"/>
                <w:sz w:val="17"/>
                <w:szCs w:val="17"/>
                <w:color w:val="auto"/>
              </w:rPr>
              <w:t>(IRS Employer</w:t>
            </w:r>
          </w:p>
        </w:tc>
      </w:tr>
      <w:tr>
        <w:trPr>
          <w:trHeight w:val="226"/>
        </w:trPr>
        <w:tc>
          <w:tcPr>
            <w:tcW w:w="3780" w:type="dxa"/>
            <w:vAlign w:val="bottom"/>
          </w:tcPr>
          <w:p>
            <w:pPr>
              <w:jc w:val="center"/>
              <w:ind w:right="734"/>
              <w:spacing w:after="0"/>
              <w:rPr>
                <w:sz w:val="20"/>
                <w:szCs w:val="20"/>
                <w:color w:val="auto"/>
              </w:rPr>
            </w:pPr>
            <w:r>
              <w:rPr>
                <w:rFonts w:ascii="Times New Roman" w:cs="Times New Roman" w:eastAsia="Times New Roman" w:hAnsi="Times New Roman"/>
                <w:sz w:val="17"/>
                <w:szCs w:val="17"/>
                <w:color w:val="auto"/>
              </w:rPr>
              <w:t>diction of incorporation</w:t>
            </w:r>
          </w:p>
        </w:tc>
        <w:tc>
          <w:tcPr>
            <w:tcW w:w="18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File Number)</w:t>
            </w:r>
          </w:p>
        </w:tc>
        <w:tc>
          <w:tcPr>
            <w:tcW w:w="330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8"/>
        </w:trPr>
        <w:tc>
          <w:tcPr>
            <w:tcW w:w="37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730 Milford Road</w:t>
            </w:r>
          </w:p>
        </w:tc>
        <w:tc>
          <w:tcPr>
            <w:tcW w:w="18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5"/>
        </w:trPr>
        <w:tc>
          <w:tcPr>
            <w:tcW w:w="378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rPr>
              <w:t>Merrimack, NH</w:t>
            </w:r>
          </w:p>
        </w:tc>
        <w:tc>
          <w:tcPr>
            <w:tcW w:w="18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ind w:right="1914"/>
              <w:spacing w:after="0"/>
              <w:rPr>
                <w:sz w:val="20"/>
                <w:szCs w:val="20"/>
                <w:color w:val="auto"/>
              </w:rPr>
            </w:pPr>
            <w:r>
              <w:rPr>
                <w:rFonts w:ascii="Times New Roman" w:cs="Times New Roman" w:eastAsia="Times New Roman" w:hAnsi="Times New Roman"/>
                <w:sz w:val="17"/>
                <w:szCs w:val="17"/>
                <w:color w:val="auto"/>
              </w:rPr>
              <w:t>03054</w:t>
            </w:r>
          </w:p>
        </w:tc>
      </w:tr>
      <w:tr>
        <w:trPr>
          <w:trHeight w:val="219"/>
        </w:trPr>
        <w:tc>
          <w:tcPr>
            <w:tcW w:w="37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840" w:type="dxa"/>
            <w:vAlign w:val="bottom"/>
          </w:tcPr>
          <w:p>
            <w:pPr>
              <w:spacing w:after="0"/>
              <w:rPr>
                <w:sz w:val="19"/>
                <w:szCs w:val="19"/>
                <w:color w:val="auto"/>
              </w:rPr>
            </w:pPr>
          </w:p>
        </w:tc>
        <w:tc>
          <w:tcPr>
            <w:tcW w:w="3300" w:type="dxa"/>
            <w:vAlign w:val="bottom"/>
          </w:tcPr>
          <w:p>
            <w:pPr>
              <w:jc w:val="center"/>
              <w:ind w:right="105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 (603) 683-2000</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565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9755" cy="8255"/>
                    </a:xfrm>
                    <a:prstGeom prst="rect">
                      <a:avLst/>
                    </a:prstGeom>
                    <a:noFill/>
                  </pic:spPr>
                </pic:pic>
              </a:graphicData>
            </a:graphic>
          </wp:anchor>
        </w:drawing>
      </w:r>
    </w:p>
    <w:p>
      <w:pPr>
        <w:spacing w:after="0" w:line="198" w:lineRule="exact"/>
        <w:rPr>
          <w:sz w:val="24"/>
          <w:szCs w:val="24"/>
          <w:color w:val="auto"/>
        </w:rPr>
      </w:pPr>
    </w:p>
    <w:p>
      <w:pPr>
        <w:ind w:left="40" w:right="739"/>
        <w:spacing w:after="0" w:line="29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43" w:lineRule="exact"/>
        <w:rPr>
          <w:sz w:val="24"/>
          <w:szCs w:val="24"/>
          <w:color w:val="auto"/>
        </w:rPr>
      </w:pPr>
    </w:p>
    <w:p>
      <w:pPr>
        <w:ind w:left="680" w:hanging="323"/>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4" w:lineRule="exact"/>
        <w:rPr>
          <w:rFonts w:ascii="MS PGothic" w:cs="MS PGothic" w:eastAsia="MS PGothic" w:hAnsi="MS PGothic"/>
          <w:sz w:val="17"/>
          <w:szCs w:val="17"/>
          <w:color w:val="auto"/>
        </w:rPr>
      </w:pPr>
    </w:p>
    <w:p>
      <w:pPr>
        <w:ind w:left="680" w:hanging="323"/>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4" w:lineRule="exact"/>
        <w:rPr>
          <w:rFonts w:ascii="MS PGothic" w:cs="MS PGothic" w:eastAsia="MS PGothic" w:hAnsi="MS PGothic"/>
          <w:sz w:val="17"/>
          <w:szCs w:val="17"/>
          <w:color w:val="auto"/>
        </w:rPr>
      </w:pPr>
    </w:p>
    <w:p>
      <w:pPr>
        <w:ind w:left="680" w:hanging="323"/>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4" w:lineRule="exact"/>
        <w:rPr>
          <w:rFonts w:ascii="MS PGothic" w:cs="MS PGothic" w:eastAsia="MS PGothic" w:hAnsi="MS PGothic"/>
          <w:sz w:val="17"/>
          <w:szCs w:val="17"/>
          <w:color w:val="auto"/>
        </w:rPr>
      </w:pPr>
    </w:p>
    <w:p>
      <w:pPr>
        <w:ind w:left="40" w:right="639" w:firstLine="317"/>
        <w:spacing w:after="0" w:line="400" w:lineRule="auto"/>
        <w:tabs>
          <w:tab w:leader="none" w:pos="67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11"/>
        </w:trPr>
        <w:tc>
          <w:tcPr>
            <w:tcW w:w="3140" w:type="dxa"/>
            <w:vAlign w:val="bottom"/>
            <w:tcBorders>
              <w:top w:val="single" w:sz="8" w:color="auto"/>
              <w:left w:val="single" w:sz="8" w:color="auto"/>
              <w:right w:val="single" w:sz="8" w:color="auto"/>
            </w:tcBorders>
          </w:tcPr>
          <w:p>
            <w:pPr>
              <w:spacing w:after="0"/>
              <w:rPr>
                <w:sz w:val="9"/>
                <w:szCs w:val="9"/>
                <w:color w:val="auto"/>
              </w:rPr>
            </w:pPr>
          </w:p>
        </w:tc>
        <w:tc>
          <w:tcPr>
            <w:tcW w:w="2880" w:type="dxa"/>
            <w:vAlign w:val="bottom"/>
            <w:tcBorders>
              <w:top w:val="single" w:sz="8" w:color="auto"/>
              <w:right w:val="single" w:sz="8" w:color="auto"/>
            </w:tcBorders>
          </w:tcPr>
          <w:p>
            <w:pPr>
              <w:spacing w:after="0"/>
              <w:rPr>
                <w:sz w:val="9"/>
                <w:szCs w:val="9"/>
                <w:color w:val="auto"/>
              </w:rPr>
            </w:pPr>
          </w:p>
        </w:tc>
        <w:tc>
          <w:tcPr>
            <w:tcW w:w="2920" w:type="dxa"/>
            <w:vAlign w:val="bottom"/>
            <w:tcBorders>
              <w:top w:val="single" w:sz="8" w:color="auto"/>
              <w:right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8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which registered</w:t>
            </w:r>
          </w:p>
        </w:tc>
      </w:tr>
      <w:tr>
        <w:trPr>
          <w:trHeight w:val="179"/>
        </w:trPr>
        <w:tc>
          <w:tcPr>
            <w:tcW w:w="314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Common Stock, $0.01 par</w:t>
            </w:r>
          </w:p>
        </w:tc>
        <w:tc>
          <w:tcPr>
            <w:tcW w:w="28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CNXN</w:t>
            </w:r>
          </w:p>
        </w:tc>
        <w:tc>
          <w:tcPr>
            <w:tcW w:w="29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Nasdaq Global Select Market</w:t>
            </w:r>
          </w:p>
        </w:tc>
      </w:tr>
      <w:tr>
        <w:trPr>
          <w:trHeight w:val="22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288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r>
    </w:tbl>
    <w:p>
      <w:pPr>
        <w:spacing w:after="0" w:line="189" w:lineRule="exact"/>
        <w:rPr>
          <w:sz w:val="24"/>
          <w:szCs w:val="24"/>
          <w:color w:val="auto"/>
        </w:rPr>
      </w:pPr>
    </w:p>
    <w:p>
      <w:pPr>
        <w:ind w:left="40" w:right="319"/>
        <w:spacing w:after="0" w:line="29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6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7" w:lineRule="exact"/>
        <w:rPr>
          <w:sz w:val="24"/>
          <w:szCs w:val="24"/>
          <w:color w:val="auto"/>
        </w:rPr>
      </w:pPr>
    </w:p>
    <w:p>
      <w:pPr>
        <w:ind w:left="40" w:right="119"/>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320675</wp:posOffset>
            </wp:positionV>
            <wp:extent cx="565975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20" w:lineRule="exact"/>
        <w:rPr>
          <w:sz w:val="20"/>
          <w:szCs w:val="20"/>
          <w:color w:val="auto"/>
        </w:rPr>
      </w:pPr>
    </w:p>
    <w:p>
      <w:pPr>
        <w:ind w:left="40" w:right="219" w:firstLine="621"/>
        <w:spacing w:after="0" w:line="272" w:lineRule="auto"/>
        <w:rPr>
          <w:sz w:val="20"/>
          <w:szCs w:val="20"/>
          <w:color w:val="auto"/>
        </w:rPr>
      </w:pPr>
      <w:r>
        <w:rPr>
          <w:rFonts w:ascii="Times New Roman" w:cs="Times New Roman" w:eastAsia="Times New Roman" w:hAnsi="Times New Roman"/>
          <w:sz w:val="17"/>
          <w:szCs w:val="17"/>
          <w:color w:val="auto"/>
        </w:rPr>
        <w:t>On October 28, 2026, PC Connection, Inc. (“Connection”) announced its financial results for the quarter ended September 30, 2026. The full text of the press release issued in connection with the announcement is furnished as Exhibit 99.1 to this Current Report on Form 8-K.</w:t>
      </w:r>
    </w:p>
    <w:p>
      <w:pPr>
        <w:spacing w:after="0" w:line="163" w:lineRule="exact"/>
        <w:rPr>
          <w:sz w:val="20"/>
          <w:szCs w:val="20"/>
          <w:color w:val="auto"/>
        </w:rPr>
      </w:pPr>
    </w:p>
    <w:p>
      <w:pPr>
        <w:ind w:left="40" w:right="59" w:firstLine="621"/>
        <w:spacing w:after="0" w:line="266" w:lineRule="auto"/>
        <w:rPr>
          <w:sz w:val="20"/>
          <w:szCs w:val="20"/>
          <w:color w:val="auto"/>
        </w:rPr>
      </w:pPr>
      <w:r>
        <w:rPr>
          <w:rFonts w:ascii="Times New Roman" w:cs="Times New Roman" w:eastAsia="Times New Roman" w:hAnsi="Times New Roman"/>
          <w:sz w:val="17"/>
          <w:szCs w:val="17"/>
          <w:color w:val="auto"/>
        </w:rPr>
        <w:t>The information in Item 2.02 of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or the Exchange Act, except as expressly set forth by specific reference in such a filing.</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0" w:lineRule="exact"/>
        <w:rPr>
          <w:sz w:val="20"/>
          <w:szCs w:val="20"/>
          <w:color w:val="auto"/>
        </w:rPr>
      </w:pPr>
    </w:p>
    <w:p>
      <w:pPr>
        <w:ind w:left="40" w:right="219" w:firstLine="621"/>
        <w:spacing w:after="0" w:line="291" w:lineRule="auto"/>
        <w:rPr>
          <w:sz w:val="20"/>
          <w:szCs w:val="20"/>
          <w:color w:val="auto"/>
        </w:rPr>
      </w:pPr>
      <w:r>
        <w:rPr>
          <w:rFonts w:ascii="Times New Roman" w:cs="Times New Roman" w:eastAsia="Times New Roman" w:hAnsi="Times New Roman"/>
          <w:sz w:val="17"/>
          <w:szCs w:val="17"/>
          <w:color w:val="auto"/>
        </w:rPr>
        <w:t>On October 28, 2026, Connection also announced in the press release attached as Exhibit 99.1 hereto that its Board of Directors had declared a quarterly cash dividend.</w:t>
      </w:r>
    </w:p>
    <w:p>
      <w:pPr>
        <w:spacing w:after="0" w:line="147" w:lineRule="exact"/>
        <w:rPr>
          <w:sz w:val="20"/>
          <w:szCs w:val="20"/>
          <w:color w:val="auto"/>
        </w:rPr>
      </w:pPr>
    </w:p>
    <w:p>
      <w:pPr>
        <w:ind w:left="40" w:right="119" w:firstLine="621"/>
        <w:spacing w:after="0" w:line="266" w:lineRule="auto"/>
        <w:rPr>
          <w:sz w:val="20"/>
          <w:szCs w:val="20"/>
          <w:color w:val="auto"/>
        </w:rPr>
      </w:pPr>
      <w:r>
        <w:rPr>
          <w:rFonts w:ascii="Times New Roman" w:cs="Times New Roman" w:eastAsia="Times New Roman" w:hAnsi="Times New Roman"/>
          <w:sz w:val="17"/>
          <w:szCs w:val="17"/>
          <w:color w:val="auto"/>
        </w:rPr>
        <w:t>The information in Item 7.01 of this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0" w:lineRule="exact"/>
        <w:rPr>
          <w:sz w:val="20"/>
          <w:szCs w:val="20"/>
          <w:color w:val="auto"/>
        </w:rPr>
      </w:pPr>
    </w:p>
    <w:p>
      <w:pPr>
        <w:jc w:val="right"/>
        <w:ind w:left="40" w:right="7099" w:firstLine="628"/>
        <w:spacing w:after="0" w:line="524" w:lineRule="auto"/>
        <w:tabs>
          <w:tab w:leader="none" w:pos="128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-127000</wp:posOffset>
            </wp:positionV>
            <wp:extent cx="565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75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7"/>
        </w:trPr>
        <w:tc>
          <w:tcPr>
            <w:tcW w:w="6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99.1</w:t>
            </w:r>
          </w:p>
        </w:tc>
        <w:tc>
          <w:tcPr>
            <w:tcW w:w="8280" w:type="dxa"/>
            <w:vAlign w:val="bottom"/>
            <w:gridSpan w:val="3"/>
          </w:tcPr>
          <w:p>
            <w:pPr>
              <w:ind w:left="340"/>
              <w:spacing w:after="0" w:line="187"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0000EE"/>
              </w:rPr>
              <w:t>Press Release issued by PC Connection, Inc. on October 28, 2026.</w:t>
            </w: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3"/>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2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989"/>
        </w:trPr>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18" w:lineRule="exact"/>
        <w:rPr>
          <w:sz w:val="20"/>
          <w:szCs w:val="20"/>
          <w:color w:val="auto"/>
        </w:rPr>
      </w:pPr>
    </w:p>
    <w:p>
      <w:pPr>
        <w:ind w:left="40" w:right="299" w:firstLine="62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17"/>
          <w:szCs w:val="17"/>
          <w:color w:val="auto"/>
        </w:rPr>
        <w:t>Date: October 28, 2026</w:t>
      </w:r>
      <w:r>
        <w:rPr>
          <w:sz w:val="20"/>
          <w:szCs w:val="20"/>
          <w:color w:val="auto"/>
        </w:rPr>
        <w:tab/>
      </w:r>
      <w:r>
        <w:rPr>
          <w:rFonts w:ascii="Times New Roman" w:cs="Times New Roman" w:eastAsia="Times New Roman" w:hAnsi="Times New Roman"/>
          <w:sz w:val="17"/>
          <w:szCs w:val="17"/>
          <w:color w:val="auto"/>
        </w:rPr>
        <w:t>PC CONNECTION, INC.</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/s/ Thomas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19050</wp:posOffset>
            </wp:positionV>
            <wp:extent cx="2644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Thomas C. Baker</w:t>
      </w:r>
    </w:p>
    <w:p>
      <w:pPr>
        <w:spacing w:after="0" w:line="24"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7"/>
          <w:szCs w:val="17"/>
          <w:color w:val="auto"/>
        </w:rPr>
        <w:t>Senior Vice President, 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467360</wp:posOffset>
            </wp:positionV>
            <wp:extent cx="565975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717040" cy="690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7040" cy="690245"/>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Investor Relations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Thomas Baker, 603.683.2505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Senior Vice President, CFO, and Treasurer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tom@connection.com</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CONNECTION (CNXN)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REPORTS THIRD QUARTER 2026 RESULTS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gridSpan w:val="5"/>
          </w:tcPr>
          <w:p>
            <w:pPr>
              <w:spacing w:after="0"/>
              <w:rPr>
                <w:sz w:val="20"/>
                <w:szCs w:val="20"/>
                <w:color w:val="auto"/>
              </w:rPr>
            </w:pPr>
            <w:r>
              <w:rPr>
                <w:rFonts w:ascii="Arial" w:cs="Arial" w:eastAsia="Arial" w:hAnsi="Arial"/>
                <w:sz w:val="19"/>
                <w:szCs w:val="19"/>
                <w:b w:val="1"/>
                <w:bCs w:val="1"/>
                <w:color w:val="auto"/>
              </w:rPr>
              <w:t>THIRD QUARTER SUMMARY:</w:t>
            </w:r>
          </w:p>
        </w:tc>
        <w:tc>
          <w:tcPr>
            <w:tcW w:w="5060" w:type="dxa"/>
            <w:vAlign w:val="bottom"/>
            <w:gridSpan w:val="3"/>
          </w:tcPr>
          <w:p>
            <w:pPr>
              <w:ind w:left="580"/>
              <w:spacing w:after="0"/>
              <w:rPr>
                <w:sz w:val="20"/>
                <w:szCs w:val="20"/>
                <w:color w:val="auto"/>
              </w:rPr>
            </w:pPr>
            <w:r>
              <w:rPr>
                <w:rFonts w:ascii="Arial" w:cs="Arial" w:eastAsia="Arial" w:hAnsi="Arial"/>
                <w:sz w:val="19"/>
                <w:szCs w:val="19"/>
                <w:b w:val="1"/>
                <w:bCs w:val="1"/>
                <w:color w:val="auto"/>
              </w:rPr>
              <w:t>FIRST NINE MONTHS OF 2026 SUMMARY:</w:t>
            </w:r>
          </w:p>
        </w:tc>
        <w:tc>
          <w:tcPr>
            <w:tcW w:w="0" w:type="dxa"/>
            <w:vAlign w:val="bottom"/>
          </w:tcPr>
          <w:p>
            <w:pPr>
              <w:spacing w:after="0"/>
              <w:rPr>
                <w:sz w:val="1"/>
                <w:szCs w:val="1"/>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3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Net sales: $874.3 million, up 23.3% y/y</w:t>
            </w:r>
          </w:p>
        </w:tc>
        <w:tc>
          <w:tcPr>
            <w:tcW w:w="580" w:type="dxa"/>
            <w:vAlign w:val="bottom"/>
          </w:tcPr>
          <w:p>
            <w:pPr>
              <w:spacing w:after="0"/>
              <w:rPr>
                <w:sz w:val="24"/>
                <w:szCs w:val="24"/>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Net sales: $2.5 billion, up 12.9% y/y</w:t>
            </w:r>
          </w:p>
        </w:tc>
        <w:tc>
          <w:tcPr>
            <w:tcW w:w="0" w:type="dxa"/>
            <w:vAlign w:val="bottom"/>
          </w:tcPr>
          <w:p>
            <w:pPr>
              <w:spacing w:after="0"/>
              <w:rPr>
                <w:sz w:val="1"/>
                <w:szCs w:val="1"/>
                <w:color w:val="auto"/>
              </w:rPr>
            </w:pPr>
          </w:p>
        </w:tc>
      </w:tr>
      <w:tr>
        <w:trPr>
          <w:trHeight w:val="164"/>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Gross billings: $1.3 billion, up 19.4% y/y</w:t>
            </w:r>
          </w:p>
        </w:tc>
        <w:tc>
          <w:tcPr>
            <w:tcW w:w="8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4"/>
                <w:szCs w:val="14"/>
                <w:color w:val="0000EE"/>
                <w:w w:val="76"/>
              </w:rPr>
              <w:t>1</w:t>
            </w:r>
          </w:p>
        </w:tc>
        <w:tc>
          <w:tcPr>
            <w:tcW w:w="6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4480" w:type="dxa"/>
            <w:vAlign w:val="bottom"/>
            <w:gridSpan w:val="2"/>
            <w:vMerge w:val="restart"/>
          </w:tcPr>
          <w:p>
            <w:pPr>
              <w:ind w:left="80"/>
              <w:spacing w:after="0" w:line="219"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Gross billings: $3.5 billion, up 12.8% y/y</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6"/>
        </w:trPr>
        <w:tc>
          <w:tcPr>
            <w:tcW w:w="35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43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Gross profit: $161.9 million, up 16.7% y/y</w:t>
            </w:r>
          </w:p>
        </w:tc>
        <w:tc>
          <w:tcPr>
            <w:tcW w:w="580" w:type="dxa"/>
            <w:vAlign w:val="bottom"/>
          </w:tcPr>
          <w:p>
            <w:pPr>
              <w:spacing w:after="0"/>
              <w:rPr>
                <w:sz w:val="19"/>
                <w:szCs w:val="19"/>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Gross profit: $452.1 million, up 12.0% y/y</w:t>
            </w:r>
          </w:p>
        </w:tc>
        <w:tc>
          <w:tcPr>
            <w:tcW w:w="0" w:type="dxa"/>
            <w:vAlign w:val="bottom"/>
          </w:tcPr>
          <w:p>
            <w:pPr>
              <w:spacing w:after="0"/>
              <w:rPr>
                <w:sz w:val="1"/>
                <w:szCs w:val="1"/>
                <w:color w:val="auto"/>
              </w:rPr>
            </w:pPr>
          </w:p>
        </w:tc>
      </w:tr>
      <w:tr>
        <w:trPr>
          <w:trHeight w:val="220"/>
        </w:trPr>
        <w:tc>
          <w:tcPr>
            <w:tcW w:w="43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Gross margin: 18.5%, down 110 basis points y/y</w:t>
            </w:r>
          </w:p>
        </w:tc>
        <w:tc>
          <w:tcPr>
            <w:tcW w:w="580" w:type="dxa"/>
            <w:vAlign w:val="bottom"/>
          </w:tcPr>
          <w:p>
            <w:pPr>
              <w:spacing w:after="0"/>
              <w:rPr>
                <w:sz w:val="19"/>
                <w:szCs w:val="19"/>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Gross margin: 18.5%, down 10 basis points y/y</w:t>
            </w:r>
          </w:p>
        </w:tc>
        <w:tc>
          <w:tcPr>
            <w:tcW w:w="0" w:type="dxa"/>
            <w:vAlign w:val="bottom"/>
          </w:tcPr>
          <w:p>
            <w:pPr>
              <w:spacing w:after="0"/>
              <w:rPr>
                <w:sz w:val="1"/>
                <w:szCs w:val="1"/>
                <w:color w:val="auto"/>
              </w:rPr>
            </w:pPr>
          </w:p>
        </w:tc>
      </w:tr>
      <w:tr>
        <w:trPr>
          <w:trHeight w:val="220"/>
        </w:trPr>
        <w:tc>
          <w:tcPr>
            <w:tcW w:w="43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Net income: $31.5 million, up 27.2% y/y</w:t>
            </w:r>
          </w:p>
        </w:tc>
        <w:tc>
          <w:tcPr>
            <w:tcW w:w="580" w:type="dxa"/>
            <w:vAlign w:val="bottom"/>
          </w:tcPr>
          <w:p>
            <w:pPr>
              <w:spacing w:after="0"/>
              <w:rPr>
                <w:sz w:val="19"/>
                <w:szCs w:val="19"/>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Net income: $81.8 million, up 29.9% y/y</w:t>
            </w:r>
          </w:p>
        </w:tc>
        <w:tc>
          <w:tcPr>
            <w:tcW w:w="0" w:type="dxa"/>
            <w:vAlign w:val="bottom"/>
          </w:tcPr>
          <w:p>
            <w:pPr>
              <w:spacing w:after="0"/>
              <w:rPr>
                <w:sz w:val="1"/>
                <w:szCs w:val="1"/>
                <w:color w:val="auto"/>
              </w:rPr>
            </w:pPr>
          </w:p>
        </w:tc>
      </w:tr>
      <w:tr>
        <w:trPr>
          <w:trHeight w:val="220"/>
        </w:trPr>
        <w:tc>
          <w:tcPr>
            <w:tcW w:w="43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Diluted EPS: $1.24, compared to $0.97 y/y</w:t>
            </w:r>
          </w:p>
        </w:tc>
        <w:tc>
          <w:tcPr>
            <w:tcW w:w="580" w:type="dxa"/>
            <w:vAlign w:val="bottom"/>
          </w:tcPr>
          <w:p>
            <w:pPr>
              <w:spacing w:after="0"/>
              <w:rPr>
                <w:sz w:val="19"/>
                <w:szCs w:val="19"/>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Diluted EPS: $3.23, compared to $2.45 y/y</w:t>
            </w:r>
          </w:p>
        </w:tc>
        <w:tc>
          <w:tcPr>
            <w:tcW w:w="0" w:type="dxa"/>
            <w:vAlign w:val="bottom"/>
          </w:tcPr>
          <w:p>
            <w:pPr>
              <w:spacing w:after="0"/>
              <w:rPr>
                <w:sz w:val="1"/>
                <w:szCs w:val="1"/>
                <w:color w:val="auto"/>
              </w:rPr>
            </w:pPr>
          </w:p>
        </w:tc>
      </w:tr>
      <w:tr>
        <w:trPr>
          <w:trHeight w:val="177"/>
        </w:trPr>
        <w:tc>
          <w:tcPr>
            <w:tcW w:w="432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Adjusted Diluted EPS: $1.24, compared to $0.97</w:t>
            </w:r>
          </w:p>
        </w:tc>
        <w:tc>
          <w:tcPr>
            <w:tcW w:w="6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0000EE"/>
                <w:w w:val="71"/>
              </w:rPr>
              <w:t>2</w:t>
            </w:r>
          </w:p>
        </w:tc>
        <w:tc>
          <w:tcPr>
            <w:tcW w:w="580" w:type="dxa"/>
            <w:vAlign w:val="bottom"/>
          </w:tcPr>
          <w:p>
            <w:pPr>
              <w:spacing w:after="0"/>
              <w:rPr>
                <w:sz w:val="15"/>
                <w:szCs w:val="15"/>
                <w:color w:val="auto"/>
              </w:rPr>
            </w:pPr>
          </w:p>
        </w:tc>
        <w:tc>
          <w:tcPr>
            <w:tcW w:w="4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Adjusted Diluted EPS: $3.31, compared to $2.53</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193"/>
        </w:trPr>
        <w:tc>
          <w:tcPr>
            <w:tcW w:w="432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Merrimack, NH—October 28, 2026—</w:t>
      </w:r>
      <w:r>
        <w:rPr>
          <w:rFonts w:ascii="Arial" w:cs="Arial" w:eastAsia="Arial" w:hAnsi="Arial"/>
          <w:sz w:val="19"/>
          <w:szCs w:val="19"/>
          <w:color w:val="auto"/>
        </w:rPr>
        <w:t>Connection (PC Connection, Inc.; NASDAQ: CNXN), a leading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solutions provider to business, government, healthcare and education markets, today announced results for the third quarter ended September 30, 2026. The Company also announced that its Board of Directors declared a quarterly dividend of $0.20 per share of the Company’s common stock. Payment will be made on November 27, 2026, to shareholders of record on November 10, 2026.</w:t>
      </w:r>
    </w:p>
    <w:p>
      <w:pPr>
        <w:spacing w:after="0" w:line="168"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color w:val="auto"/>
        </w:rPr>
        <w:t>“Connection delivered record net sales, gross billings, and gross profit in the third quarter, translating strong customer demand and disciplined execution into earnings growth,” said Timothy McGrath, Chief Executive Officer. McGrath continued, “AI is expanding the opportunities across the technology lifecycle, and our expertise brings the right solutions together to help customers realize the value. We believe our integrated capabilities position us well to deepen customer relationships, deliver sustained profitable growth and long-term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Third Quarter of 2026 Results</w:t>
      </w:r>
      <w:r>
        <w:rPr>
          <w:rFonts w:ascii="Arial" w:cs="Arial" w:eastAsia="Arial" w:hAnsi="Arial"/>
          <w:sz w:val="19"/>
          <w:szCs w:val="19"/>
          <w:i w:val="1"/>
          <w:iCs w:val="1"/>
          <w:color w:val="auto"/>
        </w:rPr>
        <w:t>:</w:t>
      </w:r>
    </w:p>
    <w:p>
      <w:pPr>
        <w:spacing w:after="0" w:line="195" w:lineRule="exact"/>
        <w:rPr>
          <w:sz w:val="20"/>
          <w:szCs w:val="20"/>
          <w:color w:val="auto"/>
        </w:rPr>
      </w:pPr>
    </w:p>
    <w:p>
      <w:pPr>
        <w:jc w:val="both"/>
        <w:ind w:right="80"/>
        <w:spacing w:after="0" w:line="211" w:lineRule="auto"/>
        <w:rPr>
          <w:sz w:val="20"/>
          <w:szCs w:val="20"/>
          <w:color w:val="auto"/>
        </w:rPr>
      </w:pPr>
      <w:r>
        <w:rPr>
          <w:rFonts w:ascii="Arial" w:cs="Arial" w:eastAsia="Arial" w:hAnsi="Arial"/>
          <w:sz w:val="18"/>
          <w:szCs w:val="18"/>
          <w:color w:val="auto"/>
        </w:rPr>
        <w:t>Net sales for the quarter ended September 30, 2026 increased by 23.3% year over year. Gross billings increased by 19.4% to $1.3 billion, compared to $1.1 billion in the third quarter of 2025</w:t>
      </w:r>
      <w:r>
        <w:rPr>
          <w:rFonts w:ascii="Arial" w:cs="Arial" w:eastAsia="Arial" w:hAnsi="Arial"/>
          <w:sz w:val="27"/>
          <w:szCs w:val="27"/>
          <w:color w:val="auto"/>
          <w:vertAlign w:val="superscript"/>
        </w:rPr>
        <w:t>1</w:t>
      </w:r>
      <w:r>
        <w:rPr>
          <w:rFonts w:ascii="Arial" w:cs="Arial" w:eastAsia="Arial" w:hAnsi="Arial"/>
          <w:sz w:val="18"/>
          <w:szCs w:val="18"/>
          <w:color w:val="auto"/>
        </w:rPr>
        <w:t>. Gross profit increased by 16.7% to $161.9 million, compared to $138.6 million for the third quarter of 2025, and gross margin decreased 110 basis points to</w:t>
      </w:r>
    </w:p>
    <w:p>
      <w:pPr>
        <w:spacing w:after="0" w:line="2" w:lineRule="exact"/>
        <w:rPr>
          <w:sz w:val="20"/>
          <w:szCs w:val="20"/>
          <w:color w:val="auto"/>
        </w:rPr>
      </w:pPr>
    </w:p>
    <w:p>
      <w:pPr>
        <w:ind w:right="240"/>
        <w:spacing w:after="0" w:line="241" w:lineRule="auto"/>
        <w:rPr>
          <w:sz w:val="20"/>
          <w:szCs w:val="20"/>
          <w:color w:val="auto"/>
        </w:rPr>
      </w:pPr>
      <w:r>
        <w:rPr>
          <w:rFonts w:ascii="Arial" w:cs="Arial" w:eastAsia="Arial" w:hAnsi="Arial"/>
          <w:sz w:val="19"/>
          <w:szCs w:val="19"/>
          <w:color w:val="auto"/>
        </w:rPr>
        <w:t>18.5%, compared to the prior year quarter. Net income increased 27.2% to $ 31.5 million, or $1.24 per diluted share, compared to $24.7 million, or $0.97 per diluted share, for the third quarter of 2025.</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 by Segment</w:t>
      </w:r>
      <w:r>
        <w:rPr>
          <w:rFonts w:ascii="Arial" w:cs="Arial" w:eastAsia="Arial" w:hAnsi="Arial"/>
          <w:sz w:val="19"/>
          <w:szCs w:val="19"/>
          <w:i w:val="1"/>
          <w:iCs w:val="1"/>
          <w:color w:val="auto"/>
        </w:rPr>
        <w:t>:</w:t>
      </w:r>
    </w:p>
    <w:p>
      <w:pPr>
        <w:spacing w:after="0" w:line="195" w:lineRule="exact"/>
        <w:rPr>
          <w:sz w:val="20"/>
          <w:szCs w:val="20"/>
          <w:color w:val="auto"/>
        </w:rPr>
      </w:pPr>
    </w:p>
    <w:p>
      <w:pPr>
        <w:ind w:left="620" w:right="40" w:hanging="305"/>
        <w:spacing w:after="0" w:line="216" w:lineRule="auto"/>
        <w:tabs>
          <w:tab w:leader="none" w:pos="6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sales for the Business Solutions segment increased by 27.8% to $328.2 million in the third quarter of 2026, compared to $256.8 million in the prior year quarter. Gross billings increased by 22.1% to $522.7 million, compared to $428.2 million in the prior year quarter</w:t>
      </w:r>
      <w:r>
        <w:rPr>
          <w:rFonts w:ascii="Arial" w:cs="Arial" w:eastAsia="Arial" w:hAnsi="Arial"/>
          <w:sz w:val="28"/>
          <w:szCs w:val="28"/>
          <w:color w:val="auto"/>
          <w:vertAlign w:val="superscript"/>
        </w:rPr>
        <w:t>1</w:t>
      </w:r>
      <w:r>
        <w:rPr>
          <w:rFonts w:ascii="Arial" w:cs="Arial" w:eastAsia="Arial" w:hAnsi="Arial"/>
          <w:sz w:val="19"/>
          <w:szCs w:val="19"/>
          <w:color w:val="auto"/>
        </w:rPr>
        <w:t>. Gross profit increased by 14.9% to $78.2 million, compared to $68.0 million in the prior year quarter. Gross margin decreased by 270 basis points to 23.8% for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9" w:lineRule="exact"/>
        <w:rPr>
          <w:sz w:val="20"/>
          <w:szCs w:val="20"/>
          <w:color w:val="auto"/>
        </w:rPr>
      </w:pPr>
    </w:p>
    <w:p>
      <w:pPr>
        <w:ind w:right="260" w:firstLine="4"/>
        <w:spacing w:after="0" w:line="182" w:lineRule="auto"/>
        <w:tabs>
          <w:tab w:leader="none" w:pos="93"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w:t>
      </w:r>
    </w:p>
    <w:p>
      <w:pPr>
        <w:spacing w:after="0"/>
        <w:rPr>
          <w:rFonts w:ascii="Arial" w:cs="Arial" w:eastAsia="Arial" w:hAnsi="Arial"/>
          <w:sz w:val="21"/>
          <w:szCs w:val="21"/>
          <w:color w:val="auto"/>
          <w:vertAlign w:val="superscript"/>
        </w:rPr>
      </w:pPr>
      <w:r>
        <w:rPr>
          <w:rFonts w:ascii="Arial" w:cs="Arial" w:eastAsia="Arial" w:hAnsi="Arial"/>
          <w:sz w:val="20"/>
          <w:szCs w:val="20"/>
          <w:color w:val="auto"/>
          <w:vertAlign w:val="superscript"/>
        </w:rPr>
        <w:t>2</w:t>
      </w:r>
      <w:r>
        <w:rPr>
          <w:rFonts w:ascii="Arial" w:cs="Arial" w:eastAsia="Arial" w:hAnsi="Arial"/>
          <w:sz w:val="13"/>
          <w:szCs w:val="13"/>
          <w:color w:val="auto"/>
        </w:rPr>
        <w:t xml:space="preserve"> Adjusted Diluted Earnings per Share and Adjusted EBITDA are non-GAAP measures. See page 9 for definitions and reconciliations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63004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 w:name="page5"/>
    <w:bookmarkEnd w:id="4"/>
    <w:p>
      <w:pPr>
        <w:ind w:left="620" w:right="140" w:hanging="305"/>
        <w:spacing w:after="0" w:line="218" w:lineRule="auto"/>
        <w:tabs>
          <w:tab w:leader="none" w:pos="6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Net sales for the Public Sector Solutions segment increased by 4.6% to $138.6 million in the third quarter of 2026, compared to $132.5 million in the prior year quarter. Gross billings increased by 6.8% to $233.3 million, compared to $218.5 million in the prior year quarter</w:t>
      </w:r>
      <w:r>
        <w:rPr>
          <w:rFonts w:ascii="Arial" w:cs="Arial" w:eastAsia="Arial" w:hAnsi="Arial"/>
          <w:sz w:val="28"/>
          <w:szCs w:val="28"/>
          <w:u w:val="single" w:color="auto"/>
          <w:color w:val="0000EE"/>
          <w:vertAlign w:val="superscript"/>
        </w:rPr>
        <w:t>1</w:t>
      </w:r>
      <w:r>
        <w:rPr>
          <w:rFonts w:ascii="Arial" w:cs="Arial" w:eastAsia="Arial" w:hAnsi="Arial"/>
          <w:sz w:val="19"/>
          <w:szCs w:val="19"/>
          <w:color w:val="auto"/>
        </w:rPr>
        <w:t>. Gross profit increased by 2.9% to $23.5 million, compared to $22.8 million in the prior year quarter. Gross margin decreased by 30 basis points to 16.9% for the third quarter of 2026.</w:t>
      </w:r>
    </w:p>
    <w:p>
      <w:pPr>
        <w:spacing w:after="0" w:line="168" w:lineRule="exact"/>
        <w:rPr>
          <w:rFonts w:ascii="Times New Roman" w:cs="Times New Roman" w:eastAsia="Times New Roman" w:hAnsi="Times New Roman"/>
          <w:sz w:val="19"/>
          <w:szCs w:val="19"/>
          <w:color w:val="auto"/>
        </w:rPr>
      </w:pPr>
    </w:p>
    <w:p>
      <w:pPr>
        <w:ind w:left="620" w:right="40" w:hanging="305"/>
        <w:spacing w:after="0" w:line="216" w:lineRule="auto"/>
        <w:tabs>
          <w:tab w:leader="none" w:pos="6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Net sales for the Enterprise Solutions segment increased by 27.4% to $407.5 million in the third quarter of 2026, compared to $319.8 million in the prior year quarter. Gross billings increased by 23.1% to $521.2 million, compared to $423.3 million in the prior year quarter</w:t>
      </w:r>
      <w:r>
        <w:rPr>
          <w:rFonts w:ascii="Arial" w:cs="Arial" w:eastAsia="Arial" w:hAnsi="Arial"/>
          <w:sz w:val="28"/>
          <w:szCs w:val="28"/>
          <w:color w:val="auto"/>
          <w:vertAlign w:val="superscript"/>
        </w:rPr>
        <w:t>1</w:t>
      </w:r>
      <w:r>
        <w:rPr>
          <w:rFonts w:ascii="Arial" w:cs="Arial" w:eastAsia="Arial" w:hAnsi="Arial"/>
          <w:sz w:val="19"/>
          <w:szCs w:val="19"/>
          <w:color w:val="auto"/>
        </w:rPr>
        <w:t>. Gross profit increased by 26.0% to $60.2 million, compared to $47.8 million in the prior year quarter. Gross margin decreased by 10 basis points to 14.8% for the third quarter of 2026.</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 by Product Mix</w:t>
      </w:r>
      <w:r>
        <w:rPr>
          <w:rFonts w:ascii="Arial" w:cs="Arial" w:eastAsia="Arial" w:hAnsi="Arial"/>
          <w:sz w:val="19"/>
          <w:szCs w:val="19"/>
          <w:i w:val="1"/>
          <w:iCs w:val="1"/>
          <w:color w:val="auto"/>
        </w:rPr>
        <w:t>:</w:t>
      </w:r>
    </w:p>
    <w:p>
      <w:pPr>
        <w:spacing w:after="0" w:line="195" w:lineRule="exact"/>
        <w:rPr>
          <w:sz w:val="20"/>
          <w:szCs w:val="20"/>
          <w:color w:val="auto"/>
        </w:rPr>
      </w:pPr>
    </w:p>
    <w:p>
      <w:pPr>
        <w:ind w:left="620" w:right="60" w:hanging="305"/>
        <w:spacing w:after="0" w:line="260" w:lineRule="auto"/>
        <w:tabs>
          <w:tab w:leader="none" w:pos="6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Notebooks/mobility and desktop sales increased by 27% year over year and accounted for 46% of net sales in the third quarter of 2026, compared to 45% of net sales in the third quarter of 2025.</w:t>
      </w:r>
    </w:p>
    <w:p>
      <w:pPr>
        <w:spacing w:after="0" w:line="146" w:lineRule="exact"/>
        <w:rPr>
          <w:rFonts w:ascii="Times New Roman" w:cs="Times New Roman" w:eastAsia="Times New Roman" w:hAnsi="Times New Roman"/>
          <w:sz w:val="19"/>
          <w:szCs w:val="19"/>
          <w:color w:val="auto"/>
        </w:rPr>
      </w:pPr>
    </w:p>
    <w:p>
      <w:pPr>
        <w:ind w:left="620" w:right="400" w:hanging="305"/>
        <w:spacing w:after="0" w:line="260" w:lineRule="auto"/>
        <w:tabs>
          <w:tab w:leader="none" w:pos="6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Software sales increased by 23% year over year and accounted for 13% of net sales in the third quarter of both 2026 and 2025.</w:t>
      </w:r>
    </w:p>
    <w:p>
      <w:pPr>
        <w:spacing w:after="0" w:line="146" w:lineRule="exact"/>
        <w:rPr>
          <w:rFonts w:ascii="Times New Roman" w:cs="Times New Roman" w:eastAsia="Times New Roman" w:hAnsi="Times New Roman"/>
          <w:sz w:val="19"/>
          <w:szCs w:val="19"/>
          <w:color w:val="auto"/>
        </w:rPr>
      </w:pPr>
    </w:p>
    <w:p>
      <w:pPr>
        <w:ind w:left="620" w:right="120" w:hanging="305"/>
        <w:spacing w:after="0" w:line="260" w:lineRule="auto"/>
        <w:tabs>
          <w:tab w:leader="none" w:pos="6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Servers/storage sales increased by 45% year over year and accounted for 9% of net sales in the third quarter of 2026, compared to 7% of net sales in the third quarter of 2025.</w:t>
      </w:r>
    </w:p>
    <w:p>
      <w:pPr>
        <w:spacing w:after="0" w:line="146" w:lineRule="exact"/>
        <w:rPr>
          <w:rFonts w:ascii="Times New Roman" w:cs="Times New Roman" w:eastAsia="Times New Roman" w:hAnsi="Times New Roman"/>
          <w:sz w:val="19"/>
          <w:szCs w:val="19"/>
          <w:color w:val="auto"/>
        </w:rPr>
      </w:pPr>
    </w:p>
    <w:p>
      <w:pPr>
        <w:ind w:left="620" w:right="300" w:hanging="305"/>
        <w:spacing w:after="0" w:line="260" w:lineRule="auto"/>
        <w:tabs>
          <w:tab w:leader="none" w:pos="6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Networking sales increased by 43% year over year and accounted for 8% of net sales in the third quarter of 2026, compared to 7% of net sales in the third quarter of 2025.</w:t>
      </w:r>
    </w:p>
    <w:p>
      <w:pPr>
        <w:spacing w:after="0" w:line="146" w:lineRule="exact"/>
        <w:rPr>
          <w:rFonts w:ascii="Times New Roman" w:cs="Times New Roman" w:eastAsia="Times New Roman" w:hAnsi="Times New Roman"/>
          <w:sz w:val="19"/>
          <w:szCs w:val="19"/>
          <w:color w:val="auto"/>
        </w:rPr>
      </w:pPr>
    </w:p>
    <w:p>
      <w:pPr>
        <w:ind w:left="620" w:right="240" w:hanging="305"/>
        <w:spacing w:after="0" w:line="260" w:lineRule="auto"/>
        <w:tabs>
          <w:tab w:leader="none" w:pos="6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Accessories sales increased by 4% year over year and accounted for 10% of net sales in the third quarter of 2026, compared to 12% of net sales in the third quarter of 2025.</w:t>
      </w:r>
    </w:p>
    <w:p>
      <w:pPr>
        <w:spacing w:after="0" w:line="147" w:lineRule="exact"/>
        <w:rPr>
          <w:sz w:val="20"/>
          <w:szCs w:val="20"/>
          <w:color w:val="auto"/>
        </w:rPr>
      </w:pPr>
    </w:p>
    <w:p>
      <w:pPr>
        <w:ind w:right="500"/>
        <w:spacing w:after="0" w:line="244" w:lineRule="auto"/>
        <w:rPr>
          <w:sz w:val="20"/>
          <w:szCs w:val="20"/>
          <w:color w:val="auto"/>
        </w:rPr>
      </w:pPr>
      <w:r>
        <w:rPr>
          <w:rFonts w:ascii="Arial" w:cs="Arial" w:eastAsia="Arial" w:hAnsi="Arial"/>
          <w:sz w:val="19"/>
          <w:szCs w:val="19"/>
          <w:color w:val="auto"/>
        </w:rPr>
        <w:t>Selling, general and administrative (“SG&amp;A”) expenses increased in the third quarter of 2026 by 11.5% to $120.9 million from $108.4 million in the prior year quarter. SG&amp;A as a percentage of net sales decreased to 13.8%, compared to 15.3% in the prior year quarter.</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Interest income in the third quarter of 2026 was $2.5 million, compared to $3.7 million in the third quarter of 2025.</w:t>
      </w:r>
    </w:p>
    <w:p>
      <w:pPr>
        <w:spacing w:after="0" w:line="195" w:lineRule="exact"/>
        <w:rPr>
          <w:sz w:val="20"/>
          <w:szCs w:val="20"/>
          <w:color w:val="auto"/>
        </w:rPr>
      </w:pPr>
    </w:p>
    <w:p>
      <w:pPr>
        <w:ind w:right="200"/>
        <w:spacing w:after="0" w:line="261" w:lineRule="auto"/>
        <w:rPr>
          <w:sz w:val="20"/>
          <w:szCs w:val="20"/>
          <w:color w:val="auto"/>
        </w:rPr>
      </w:pPr>
      <w:r>
        <w:rPr>
          <w:rFonts w:ascii="Arial" w:cs="Arial" w:eastAsia="Arial" w:hAnsi="Arial"/>
          <w:sz w:val="19"/>
          <w:szCs w:val="19"/>
          <w:color w:val="auto"/>
        </w:rPr>
        <w:t>Cash and cash equivalents and short-term investments were $343.3 million as of September 30, 2026, compared to $406.7 million as of December 31, 2025.</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Nine Months of 2026 Results</w:t>
      </w:r>
      <w:r>
        <w:rPr>
          <w:rFonts w:ascii="Arial" w:cs="Arial" w:eastAsia="Arial" w:hAnsi="Arial"/>
          <w:sz w:val="19"/>
          <w:szCs w:val="19"/>
          <w:i w:val="1"/>
          <w:iCs w:val="1"/>
          <w:color w:val="auto"/>
        </w:rPr>
        <w:t>:</w:t>
      </w:r>
    </w:p>
    <w:p>
      <w:pPr>
        <w:spacing w:after="0" w:line="195" w:lineRule="exact"/>
        <w:rPr>
          <w:sz w:val="20"/>
          <w:szCs w:val="20"/>
          <w:color w:val="auto"/>
        </w:rPr>
      </w:pPr>
    </w:p>
    <w:p>
      <w:pPr>
        <w:spacing w:after="0" w:line="211" w:lineRule="auto"/>
        <w:rPr>
          <w:sz w:val="20"/>
          <w:szCs w:val="20"/>
          <w:color w:val="auto"/>
        </w:rPr>
      </w:pPr>
      <w:r>
        <w:rPr>
          <w:rFonts w:ascii="Arial" w:cs="Arial" w:eastAsia="Arial" w:hAnsi="Arial"/>
          <w:sz w:val="19"/>
          <w:szCs w:val="19"/>
          <w:color w:val="auto"/>
        </w:rPr>
        <w:t>Net sales for the nine months ended September 30, 2026 increased by 12.9%, compared to the nine months ended September 30, 2025. Gross billings increased by 12.8% to $3.5 billion, compared to $3.1 billion for the nine months ended September 30, 2025</w:t>
      </w:r>
      <w:r>
        <w:rPr>
          <w:rFonts w:ascii="Arial" w:cs="Arial" w:eastAsia="Arial" w:hAnsi="Arial"/>
          <w:sz w:val="28"/>
          <w:szCs w:val="28"/>
          <w:color w:val="auto"/>
          <w:vertAlign w:val="superscript"/>
        </w:rPr>
        <w:t>1</w:t>
      </w:r>
      <w:r>
        <w:rPr>
          <w:rFonts w:ascii="Arial" w:cs="Arial" w:eastAsia="Arial" w:hAnsi="Arial"/>
          <w:sz w:val="19"/>
          <w:szCs w:val="19"/>
          <w:color w:val="auto"/>
        </w:rPr>
        <w:t>. Gross profit increased by 12.0% to $452.1 million, compared to $403.7 million for the nine months ended September 30, 2025, and gross margin decreased 10 basis points to 18.5%, compared to the nine months ended September 30, 2025. Net income for the nine months ended September 30, 2026 increased by 29.9% to $81.8 million, or $3.23 per diluted share, compared to net income of $ 63.0 million, or $2.45 per diluted share, for the nine months ended September 30, 2025. Adjusted Diluted Earnings per Share</w:t>
      </w:r>
      <w:r>
        <w:rPr>
          <w:rFonts w:ascii="Arial" w:cs="Arial" w:eastAsia="Arial" w:hAnsi="Arial"/>
          <w:sz w:val="28"/>
          <w:szCs w:val="28"/>
          <w:u w:val="single" w:color="auto"/>
          <w:color w:val="0000EE"/>
          <w:vertAlign w:val="superscript"/>
        </w:rPr>
        <w:t>2</w:t>
      </w:r>
      <w:r>
        <w:rPr>
          <w:rFonts w:ascii="Arial" w:cs="Arial" w:eastAsia="Arial" w:hAnsi="Arial"/>
          <w:sz w:val="19"/>
          <w:szCs w:val="19"/>
          <w:color w:val="auto"/>
        </w:rPr>
        <w:t xml:space="preserve"> increased to $3.31 per share for the nine months ended September 30, 2026, compared to $2.53 per share for the nine months ended September 30, 2025.</w:t>
      </w:r>
    </w:p>
    <w:p>
      <w:pPr>
        <w:spacing w:after="0" w:line="172" w:lineRule="exact"/>
        <w:rPr>
          <w:sz w:val="20"/>
          <w:szCs w:val="20"/>
          <w:color w:val="auto"/>
        </w:rPr>
      </w:pPr>
    </w:p>
    <w:p>
      <w:pPr>
        <w:ind w:right="520"/>
        <w:spacing w:after="0" w:line="282" w:lineRule="auto"/>
        <w:rPr>
          <w:sz w:val="20"/>
          <w:szCs w:val="20"/>
          <w:color w:val="auto"/>
        </w:rPr>
      </w:pPr>
      <w:r>
        <w:rPr>
          <w:rFonts w:ascii="Arial" w:cs="Arial" w:eastAsia="Arial" w:hAnsi="Arial"/>
          <w:sz w:val="19"/>
          <w:szCs w:val="19"/>
          <w:color w:val="auto"/>
        </w:rPr>
        <w:t>Earnings before interest, taxes, depreciation and amortization, adjusted for stock-based compensation expense, restructuring and other charges and non-routine legal settlements (“Adjusted EBITDA”)</w:t>
      </w:r>
      <w:r>
        <w:rPr>
          <w:rFonts w:ascii="Arial" w:cs="Arial" w:eastAsia="Arial" w:hAnsi="Arial"/>
          <w:sz w:val="28"/>
          <w:szCs w:val="28"/>
          <w:color w:val="auto"/>
          <w:vertAlign w:val="superscript"/>
        </w:rPr>
        <w:t>2</w:t>
      </w:r>
      <w:r>
        <w:rPr>
          <w:rFonts w:ascii="Arial" w:cs="Arial" w:eastAsia="Arial" w:hAnsi="Arial"/>
          <w:sz w:val="19"/>
          <w:szCs w:val="19"/>
          <w:color w:val="auto"/>
        </w:rPr>
        <w:t xml:space="preserve">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1577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0" w:lineRule="exact"/>
        <w:rPr>
          <w:sz w:val="20"/>
          <w:szCs w:val="20"/>
          <w:color w:val="auto"/>
        </w:rPr>
      </w:pPr>
    </w:p>
    <w:p>
      <w:pPr>
        <w:ind w:right="280" w:firstLine="4"/>
        <w:spacing w:after="0" w:line="193" w:lineRule="auto"/>
        <w:tabs>
          <w:tab w:leader="none" w:pos="9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3"/>
          <w:szCs w:val="13"/>
          <w:color w:val="auto"/>
        </w:rPr>
        <w:t xml:space="preserve"> Adjusted Diluted Earnings per Share and Adjusted EBITDA are non-GAAP measures. See page 9 for definitions and reconciliations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3004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 w:name="page6"/>
    <w:bookmarkEnd w:id="5"/>
    <w:p>
      <w:pPr>
        <w:ind w:right="300"/>
        <w:spacing w:after="0" w:line="262" w:lineRule="auto"/>
        <w:rPr>
          <w:sz w:val="20"/>
          <w:szCs w:val="20"/>
          <w:color w:val="auto"/>
        </w:rPr>
      </w:pPr>
      <w:r>
        <w:rPr>
          <w:rFonts w:ascii="Arial" w:cs="Arial" w:eastAsia="Arial" w:hAnsi="Arial"/>
          <w:sz w:val="19"/>
          <w:szCs w:val="19"/>
          <w:color w:val="auto"/>
        </w:rPr>
        <w:t>26% to $155.2 million for the twelve months ended September 30, 2026, compared to $122.7 million for the twelve months ended September 30, 2025.</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195"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Connection will host a conference call and live web cast today, October 28, 2026 at 4:30 p.m. EDT to discuss its third quarter financial results. For participants who would like to participate via telephone, please register here to receive the dial-in number along with a unique PIN number that is required to access the call. A web-cast of the conference call, which will be broadcast live via the Internet, and a copy of this press release, can be accessed on Connection’s website at ir.connection.com. For those unable to participate in the live call, a replay of the webcast will be available at ir.connection.com approximately 90 minutes after the completion of the call and will be accessible on the site for approximately one year.</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Information</w:t>
      </w:r>
    </w:p>
    <w:p>
      <w:pPr>
        <w:spacing w:after="0" w:line="195"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EBITDA, Adjusted EBITDA, LTM Adjusted EBITDA, Adjusted Net Income and Adjusted Diluted Earnings per Share are non-GAAP financial measures. These measures are included to provide additional information with respect to the Company’s operating performance and earnings. Non-GAAP measures are not a substitute for GAAP measures and should be considered together with the GAAP financial measures. Our non-GAAP financial measures may not be comparable to similarly titled measures of other companies. Definitions for each Non-GAAP measure and a reconciliation to their most directly comparable GAAP measures are available in the tables at the end of this release.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Connection</w:t>
      </w:r>
    </w:p>
    <w:p>
      <w:pPr>
        <w:spacing w:after="0" w:line="195"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 xml:space="preserve">PC Connection, Inc. and its subsidiaries, dba </w:t>
      </w:r>
      <w:r>
        <w:rPr>
          <w:rFonts w:ascii="Arial" w:cs="Arial" w:eastAsia="Arial" w:hAnsi="Arial"/>
          <w:sz w:val="19"/>
          <w:szCs w:val="19"/>
          <w:b w:val="1"/>
          <w:bCs w:val="1"/>
          <w:color w:val="auto"/>
        </w:rPr>
        <w:t>Connection,</w:t>
      </w:r>
      <w:r>
        <w:rPr>
          <w:rFonts w:ascii="Arial" w:cs="Arial" w:eastAsia="Arial" w:hAnsi="Arial"/>
          <w:sz w:val="19"/>
          <w:szCs w:val="19"/>
          <w:color w:val="auto"/>
        </w:rPr>
        <w:t xml:space="preserve"> (www.connection.com; NASDAQ: CNXN) is a Fortune 1000 company headquartered in Merrimack, NH. With offices throughout the United States, Connection delivers custom-configured IT solutions from its ISO 9001:2015 SOC 2 Type 2 certified Technology Integration and Distribution Center in Wilmington, OH. In addition, the Company has more than 5,000 professional certifications to ensure that it can solve the most complex issues of its customers. Connection also services international customers through its GlobalServe subsidiary, a global IT procurement and service management company. Investors and media can find more information about Connection at http://ir.connection.com.</w:t>
      </w:r>
    </w:p>
    <w:p>
      <w:pPr>
        <w:spacing w:after="0" w:line="165" w:lineRule="exact"/>
        <w:rPr>
          <w:sz w:val="20"/>
          <w:szCs w:val="20"/>
          <w:color w:val="auto"/>
        </w:rPr>
      </w:pPr>
    </w:p>
    <w:p>
      <w:pPr>
        <w:ind w:right="160"/>
        <w:spacing w:after="0" w:line="244" w:lineRule="auto"/>
        <w:rPr>
          <w:sz w:val="20"/>
          <w:szCs w:val="20"/>
          <w:color w:val="auto"/>
        </w:rPr>
      </w:pPr>
      <w:r>
        <w:rPr>
          <w:rFonts w:ascii="Arial" w:cs="Arial" w:eastAsia="Arial" w:hAnsi="Arial"/>
          <w:sz w:val="19"/>
          <w:szCs w:val="19"/>
          <w:color w:val="auto"/>
        </w:rPr>
        <w:t>Connection Business Solutions (800.800.5555) is a rapid-response provider of IT products and services serving primarily the small- and medium-sized business sector. It offers more than 460,000 brand-name products through its staff of technically trained sales account managers, publications, and its website at www.connection.com.</w:t>
      </w:r>
    </w:p>
    <w:p>
      <w:pPr>
        <w:spacing w:after="0" w:line="161" w:lineRule="exact"/>
        <w:rPr>
          <w:sz w:val="20"/>
          <w:szCs w:val="20"/>
          <w:color w:val="auto"/>
        </w:rPr>
      </w:pPr>
    </w:p>
    <w:p>
      <w:pPr>
        <w:ind w:right="280"/>
        <w:spacing w:after="0" w:line="222" w:lineRule="auto"/>
        <w:rPr>
          <w:sz w:val="20"/>
          <w:szCs w:val="20"/>
          <w:color w:val="auto"/>
        </w:rPr>
      </w:pPr>
      <w:r>
        <w:rPr>
          <w:rFonts w:ascii="Arial" w:cs="Arial" w:eastAsia="Arial" w:hAnsi="Arial"/>
          <w:sz w:val="19"/>
          <w:szCs w:val="19"/>
          <w:color w:val="auto"/>
        </w:rPr>
        <w:t xml:space="preserve">Connection–Enterprise Solutions (561.237.3300), www.connection.com/enterprise, </w:t>
      </w:r>
      <w:r>
        <w:rPr>
          <w:rFonts w:ascii="Arial" w:cs="Arial" w:eastAsia="Arial" w:hAnsi="Arial"/>
          <w:sz w:val="18"/>
          <w:szCs w:val="18"/>
          <w:color w:val="auto"/>
        </w:rPr>
        <w:t>provides corporate technology</w:t>
      </w:r>
      <w:r>
        <w:rPr>
          <w:rFonts w:ascii="Arial" w:cs="Arial" w:eastAsia="Arial" w:hAnsi="Arial"/>
          <w:sz w:val="19"/>
          <w:szCs w:val="19"/>
          <w:color w:val="auto"/>
        </w:rPr>
        <w:t xml:space="preserve"> </w:t>
      </w:r>
      <w:r>
        <w:rPr>
          <w:rFonts w:ascii="Arial" w:cs="Arial" w:eastAsia="Arial" w:hAnsi="Arial"/>
          <w:sz w:val="18"/>
          <w:szCs w:val="18"/>
          <w:color w:val="auto"/>
        </w:rPr>
        <w:t>buyers with best-in-class IT solutions, in-depth IT supply-chain expertise, and real-time access to over 460,000 products and 1,600 vendors through MarkITplace</w:t>
      </w:r>
      <w:r>
        <w:rPr>
          <w:rFonts w:ascii="Arial" w:cs="Arial" w:eastAsia="Arial" w:hAnsi="Arial"/>
          <w:sz w:val="27"/>
          <w:szCs w:val="27"/>
          <w:color w:val="auto"/>
          <w:vertAlign w:val="superscript"/>
        </w:rPr>
        <w:t>®</w:t>
      </w:r>
      <w:r>
        <w:rPr>
          <w:rFonts w:ascii="Arial" w:cs="Arial" w:eastAsia="Arial" w:hAnsi="Arial"/>
          <w:sz w:val="18"/>
          <w:szCs w:val="18"/>
          <w:color w:val="auto"/>
        </w:rPr>
        <w:t>, a proprietary next-generation, cloud-based supply chain solution. The team’s engineers, software licensing specialists, and subject matter experts help reduce the cost and complexity of buying hardware, software, and services throughout the entire IT lifecycle.</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Connection Public Sector Solutions (800.800.0019), is a rapid-response provider of IT products and services to federal, state, and local government agencies and educational institutions through specialized account managers, publications, and online at www.connection.com/publicsector.</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195"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color w:val="auto"/>
        </w:rPr>
        <w:t>This earnings release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630047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19"/>
          <w:szCs w:val="19"/>
          <w:color w:val="auto"/>
        </w:rPr>
        <w:t>conditions on our businesses and results of operations. You can generally identify forward-looking statements because they may contain words such as “may,” “will,” “would,” “should,” “expects,” “plans,” “could,” “intends,” “target,” “projects,” “believes,” “estimates,” “anticipates,” “potential” or “continue” or the negative of these words or other similar terms or expressions that concern our expectations, strategy, plans or intentions, although not all forward-looking statements include such terms. These statements reflect our current views and are based on assumptions as of the date of this release. Such assumptions are based upon internal estimates and other analysis of current market conditions and trends, management’s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color w:val="auto"/>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p>
      <w:pPr>
        <w:spacing w:after="0" w:line="100" w:lineRule="exact"/>
        <w:rPr>
          <w:sz w:val="20"/>
          <w:szCs w:val="20"/>
          <w:color w:val="auto"/>
        </w:rPr>
      </w:pPr>
    </w:p>
    <w:p>
      <w:pPr>
        <w:ind w:left="320" w:right="80" w:hanging="316"/>
        <w:spacing w:after="0" w:line="235" w:lineRule="auto"/>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p>
      <w:pPr>
        <w:spacing w:after="0" w:line="86"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supply constraints, such as the global memory (DRAM and NAND) shortage;</w:t>
      </w:r>
    </w:p>
    <w:p>
      <w:pPr>
        <w:spacing w:after="0" w:line="142"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substantial competition reducing our market share;</w:t>
      </w:r>
    </w:p>
    <w:p>
      <w:pPr>
        <w:spacing w:after="0" w:line="142"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price competition reducing our profit margins;</w:t>
      </w:r>
    </w:p>
    <w:p>
      <w:pPr>
        <w:spacing w:after="0" w:line="129"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the loss of any of our major vendors adversely affecting the number or type of products we may offer;</w:t>
      </w:r>
    </w:p>
    <w:p>
      <w:pPr>
        <w:spacing w:after="0" w:line="142" w:lineRule="exact"/>
        <w:rPr>
          <w:rFonts w:ascii="Times New Roman" w:cs="Times New Roman" w:eastAsia="Times New Roman" w:hAnsi="Times New Roman"/>
          <w:sz w:val="19"/>
          <w:szCs w:val="19"/>
          <w:color w:val="auto"/>
        </w:rPr>
      </w:pPr>
    </w:p>
    <w:p>
      <w:pPr>
        <w:ind w:left="320" w:right="120" w:hanging="316"/>
        <w:spacing w:after="0" w:line="260" w:lineRule="auto"/>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virtualization of information technology resources and applications, including networks, servers, applications, and data storage disrupting or altering our traditional distribution models;</w:t>
      </w:r>
    </w:p>
    <w:p>
      <w:pPr>
        <w:spacing w:after="0" w:line="81" w:lineRule="exact"/>
        <w:rPr>
          <w:rFonts w:ascii="Times New Roman" w:cs="Times New Roman" w:eastAsia="Times New Roman" w:hAnsi="Times New Roman"/>
          <w:sz w:val="19"/>
          <w:szCs w:val="19"/>
          <w:color w:val="auto"/>
        </w:rPr>
      </w:pPr>
    </w:p>
    <w:p>
      <w:pPr>
        <w:ind w:left="320" w:right="180" w:hanging="316"/>
        <w:spacing w:after="0" w:line="260" w:lineRule="auto"/>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service interruptions at third party shippers negatively impacting our ability to deliver the products we offer to our customers;</w:t>
      </w:r>
    </w:p>
    <w:p>
      <w:pPr>
        <w:spacing w:after="0" w:line="69" w:lineRule="exact"/>
        <w:rPr>
          <w:rFonts w:ascii="Times New Roman" w:cs="Times New Roman" w:eastAsia="Times New Roman" w:hAnsi="Times New Roman"/>
          <w:sz w:val="19"/>
          <w:szCs w:val="19"/>
          <w:color w:val="auto"/>
        </w:rPr>
      </w:pPr>
    </w:p>
    <w:p>
      <w:pPr>
        <w:ind w:left="320" w:hanging="316"/>
        <w:spacing w:after="0"/>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increases in shipping and postage costs reducing our margins and adversely affecting our results of operations;</w:t>
      </w:r>
    </w:p>
    <w:p>
      <w:pPr>
        <w:spacing w:after="0" w:line="142" w:lineRule="exact"/>
        <w:rPr>
          <w:rFonts w:ascii="Times New Roman" w:cs="Times New Roman" w:eastAsia="Times New Roman" w:hAnsi="Times New Roman"/>
          <w:sz w:val="19"/>
          <w:szCs w:val="19"/>
          <w:color w:val="auto"/>
        </w:rPr>
      </w:pPr>
    </w:p>
    <w:p>
      <w:pPr>
        <w:ind w:left="320" w:right="220" w:hanging="316"/>
        <w:spacing w:after="0" w:line="260" w:lineRule="auto"/>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loss of key persons or the inability to attract, train and retain qualified personnel adversely affecting our ability to operate our business; and</w:t>
      </w:r>
    </w:p>
    <w:p>
      <w:pPr>
        <w:spacing w:after="0" w:line="81" w:lineRule="exact"/>
        <w:rPr>
          <w:rFonts w:ascii="Times New Roman" w:cs="Times New Roman" w:eastAsia="Times New Roman" w:hAnsi="Times New Roman"/>
          <w:sz w:val="19"/>
          <w:szCs w:val="19"/>
          <w:color w:val="auto"/>
        </w:rPr>
      </w:pPr>
    </w:p>
    <w:p>
      <w:pPr>
        <w:ind w:left="320" w:right="200" w:hanging="316"/>
        <w:spacing w:after="0" w:line="260" w:lineRule="auto"/>
        <w:tabs>
          <w:tab w:leader="none" w:pos="3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cyberattacks or the failure to safeguard personal information and our IT systems resulting in liability and harm to our reputation.</w:t>
      </w:r>
    </w:p>
    <w:p>
      <w:pPr>
        <w:spacing w:after="0" w:line="147"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color w:val="auto"/>
        </w:rPr>
        <w:t>Additional factors include those described in our Annual Report on Form 10-K for the year ended December 31, 2025, including under the captions “Risk Factors,” “Management’s Discussion and Analysis of Financial Condition and Results of Operations,” and “Business,” in our subsequent Quarterly Reports on Form 10-Q, including under the captions “Risk Factors” and “Management’s Discussion and Analysis of Financial Condition and Results of Operations,” and in the other subsequent filings we make with the Securities and Exchange Commission from time to time.</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forward-looking statement is neither a prediction nor a guarantee of future events or circumstances. You should not place undue reliance on the forward-looking statements included in this release.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586105</wp:posOffset>
            </wp:positionV>
            <wp:extent cx="63004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color w:val="auto"/>
        </w:rPr>
        <w:t>CONSOLIDATED SELECTED FINANCIAL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8"/>
          </w:tcPr>
          <w:p>
            <w:pPr>
              <w:jc w:val="right"/>
              <w:ind w:right="494"/>
              <w:spacing w:after="0"/>
              <w:rPr>
                <w:sz w:val="20"/>
                <w:szCs w:val="20"/>
                <w:color w:val="auto"/>
              </w:rPr>
            </w:pPr>
            <w:r>
              <w:rPr>
                <w:rFonts w:ascii="Arial" w:cs="Arial" w:eastAsia="Arial" w:hAnsi="Arial"/>
                <w:sz w:val="17"/>
                <w:szCs w:val="17"/>
                <w:b w:val="1"/>
                <w:bCs w:val="1"/>
                <w:color w:val="auto"/>
              </w:rPr>
              <w:t>At or for the Three Months Ended September 30,</w:t>
            </w:r>
          </w:p>
        </w:tc>
        <w:tc>
          <w:tcPr>
            <w:tcW w:w="0" w:type="dxa"/>
            <w:vAlign w:val="bottom"/>
          </w:tcPr>
          <w:p>
            <w:pPr>
              <w:spacing w:after="0"/>
              <w:rPr>
                <w:sz w:val="1"/>
                <w:szCs w:val="1"/>
                <w:color w:val="auto"/>
              </w:rPr>
            </w:pPr>
          </w:p>
        </w:tc>
      </w:tr>
      <w:tr>
        <w:trPr>
          <w:trHeight w:val="18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Operating Data:</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line="187" w:lineRule="exact"/>
              <w:rPr>
                <w:sz w:val="20"/>
                <w:szCs w:val="20"/>
                <w:color w:val="auto"/>
              </w:rPr>
            </w:pPr>
            <w:r>
              <w:rPr>
                <w:rFonts w:ascii="Arial" w:cs="Arial" w:eastAsia="Arial" w:hAnsi="Arial"/>
                <w:sz w:val="17"/>
                <w:szCs w:val="17"/>
                <w:b w:val="1"/>
                <w:bCs w:val="1"/>
                <w:color w:val="auto"/>
              </w:rPr>
              <w:t>2026</w:t>
            </w:r>
          </w:p>
        </w:tc>
        <w:tc>
          <w:tcPr>
            <w:tcW w:w="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line="187" w:lineRule="exact"/>
              <w:rPr>
                <w:sz w:val="20"/>
                <w:szCs w:val="20"/>
                <w:color w:val="auto"/>
              </w:rPr>
            </w:pPr>
            <w:r>
              <w:rPr>
                <w:rFonts w:ascii="Arial" w:cs="Arial" w:eastAsia="Arial" w:hAnsi="Arial"/>
                <w:sz w:val="17"/>
                <w:szCs w:val="17"/>
                <w:b w:val="1"/>
                <w:bCs w:val="1"/>
                <w:color w:val="auto"/>
              </w:rPr>
              <w:t>2025</w:t>
            </w:r>
          </w:p>
        </w:tc>
        <w:tc>
          <w:tcPr>
            <w:tcW w:w="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Borders>
              <w:bottom w:val="single" w:sz="8" w:color="auto"/>
            </w:tcBorders>
          </w:tcPr>
          <w:p>
            <w:pPr>
              <w:jc w:val="right"/>
              <w:ind w:right="174"/>
              <w:spacing w:after="0" w:line="187"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70"/>
        </w:trPr>
        <w:tc>
          <w:tcPr>
            <w:tcW w:w="4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Net sales (in thousands)</w:t>
            </w: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874,313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709,068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26"/>
        </w:trPr>
        <w:tc>
          <w:tcPr>
            <w:tcW w:w="4860" w:type="dxa"/>
            <w:vAlign w:val="bottom"/>
          </w:tcPr>
          <w:p>
            <w:pPr>
              <w:ind w:left="100"/>
              <w:spacing w:after="0"/>
              <w:rPr>
                <w:sz w:val="20"/>
                <w:szCs w:val="20"/>
                <w:color w:val="auto"/>
              </w:rPr>
            </w:pPr>
            <w:r>
              <w:rPr>
                <w:rFonts w:ascii="Arial" w:cs="Arial" w:eastAsia="Arial" w:hAnsi="Arial"/>
                <w:sz w:val="17"/>
                <w:szCs w:val="17"/>
                <w:color w:val="auto"/>
              </w:rPr>
              <w:t>Diluted earnings per share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0.97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356"/>
        </w:trPr>
        <w:tc>
          <w:tcPr>
            <w:tcW w:w="4860" w:type="dxa"/>
            <w:vAlign w:val="bottom"/>
          </w:tcPr>
          <w:p>
            <w:pPr>
              <w:ind w:left="100"/>
              <w:spacing w:after="0"/>
              <w:rPr>
                <w:sz w:val="20"/>
                <w:szCs w:val="20"/>
                <w:color w:val="auto"/>
              </w:rPr>
            </w:pPr>
            <w:r>
              <w:rPr>
                <w:rFonts w:ascii="Arial" w:cs="Arial" w:eastAsia="Arial" w:hAnsi="Arial"/>
                <w:sz w:val="17"/>
                <w:szCs w:val="17"/>
                <w:color w:val="auto"/>
              </w:rPr>
              <w:t>Gross margin</w:t>
            </w:r>
          </w:p>
        </w:tc>
        <w:tc>
          <w:tcPr>
            <w:tcW w:w="200" w:type="dxa"/>
            <w:vAlign w:val="bottom"/>
          </w:tcPr>
          <w:p>
            <w:pPr>
              <w:spacing w:after="0"/>
              <w:rPr>
                <w:sz w:val="24"/>
                <w:szCs w:val="24"/>
                <w:color w:val="auto"/>
              </w:rPr>
            </w:pPr>
          </w:p>
        </w:tc>
        <w:tc>
          <w:tcPr>
            <w:tcW w:w="1320" w:type="dxa"/>
            <w:vAlign w:val="bottom"/>
            <w:gridSpan w:val="2"/>
          </w:tcPr>
          <w:p>
            <w:pPr>
              <w:jc w:val="right"/>
              <w:ind w:right="14"/>
              <w:spacing w:after="0"/>
              <w:rPr>
                <w:sz w:val="20"/>
                <w:szCs w:val="20"/>
                <w:color w:val="auto"/>
              </w:rPr>
            </w:pPr>
            <w:r>
              <w:rPr>
                <w:rFonts w:ascii="Arial" w:cs="Arial" w:eastAsia="Arial" w:hAnsi="Arial"/>
                <w:sz w:val="17"/>
                <w:szCs w:val="17"/>
                <w:color w:val="auto"/>
              </w:rPr>
              <w:t>18.5 %</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
              <w:spacing w:after="0"/>
              <w:rPr>
                <w:sz w:val="20"/>
                <w:szCs w:val="20"/>
                <w:color w:val="auto"/>
              </w:rPr>
            </w:pPr>
            <w:r>
              <w:rPr>
                <w:rFonts w:ascii="Arial" w:cs="Arial" w:eastAsia="Arial" w:hAnsi="Arial"/>
                <w:sz w:val="17"/>
                <w:szCs w:val="17"/>
                <w:color w:val="auto"/>
              </w:rPr>
              <w:t>19.6 %</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60" w:type="dxa"/>
            <w:vAlign w:val="bottom"/>
          </w:tcPr>
          <w:p>
            <w:pPr>
              <w:ind w:left="100"/>
              <w:spacing w:after="0"/>
              <w:rPr>
                <w:sz w:val="20"/>
                <w:szCs w:val="20"/>
                <w:color w:val="auto"/>
              </w:rPr>
            </w:pPr>
            <w:r>
              <w:rPr>
                <w:rFonts w:ascii="Arial" w:cs="Arial" w:eastAsia="Arial" w:hAnsi="Arial"/>
                <w:sz w:val="17"/>
                <w:szCs w:val="17"/>
                <w:color w:val="auto"/>
              </w:rPr>
              <w:t>Operating margin</w:t>
            </w:r>
          </w:p>
        </w:tc>
        <w:tc>
          <w:tcPr>
            <w:tcW w:w="200" w:type="dxa"/>
            <w:vAlign w:val="bottom"/>
          </w:tcPr>
          <w:p>
            <w:pPr>
              <w:spacing w:after="0"/>
              <w:rPr>
                <w:sz w:val="19"/>
                <w:szCs w:val="19"/>
                <w:color w:val="auto"/>
              </w:rPr>
            </w:pPr>
          </w:p>
        </w:tc>
        <w:tc>
          <w:tcPr>
            <w:tcW w:w="1320" w:type="dxa"/>
            <w:vAlign w:val="bottom"/>
            <w:gridSpan w:val="2"/>
          </w:tcPr>
          <w:p>
            <w:pPr>
              <w:jc w:val="right"/>
              <w:ind w:right="14"/>
              <w:spacing w:after="0"/>
              <w:rPr>
                <w:sz w:val="20"/>
                <w:szCs w:val="20"/>
                <w:color w:val="auto"/>
              </w:rPr>
            </w:pPr>
            <w:r>
              <w:rPr>
                <w:rFonts w:ascii="Arial" w:cs="Arial" w:eastAsia="Arial" w:hAnsi="Arial"/>
                <w:sz w:val="17"/>
                <w:szCs w:val="17"/>
                <w:color w:val="auto"/>
              </w:rPr>
              <w:t>4.7 %</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
              <w:spacing w:after="0"/>
              <w:rPr>
                <w:sz w:val="20"/>
                <w:szCs w:val="20"/>
                <w:color w:val="auto"/>
              </w:rPr>
            </w:pPr>
            <w:r>
              <w:rPr>
                <w:rFonts w:ascii="Arial" w:cs="Arial" w:eastAsia="Arial" w:hAnsi="Arial"/>
                <w:sz w:val="17"/>
                <w:szCs w:val="17"/>
                <w:color w:val="auto"/>
              </w:rPr>
              <w:t>4.3 %</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860" w:type="dxa"/>
            <w:vAlign w:val="bottom"/>
          </w:tcPr>
          <w:p>
            <w:pPr>
              <w:ind w:left="100"/>
              <w:spacing w:after="0"/>
              <w:rPr>
                <w:sz w:val="20"/>
                <w:szCs w:val="20"/>
                <w:color w:val="auto"/>
              </w:rPr>
            </w:pPr>
            <w:r>
              <w:rPr>
                <w:rFonts w:ascii="Arial" w:cs="Arial" w:eastAsia="Arial" w:hAnsi="Arial"/>
                <w:sz w:val="17"/>
                <w:szCs w:val="17"/>
                <w:color w:val="auto"/>
              </w:rPr>
              <w:t xml:space="preserve">Inventory turns </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860" w:type="dxa"/>
            <w:vAlign w:val="bottom"/>
          </w:tcPr>
          <w:p>
            <w:pPr>
              <w:ind w:left="100"/>
              <w:spacing w:after="0"/>
              <w:rPr>
                <w:sz w:val="20"/>
                <w:szCs w:val="20"/>
                <w:color w:val="auto"/>
              </w:rPr>
            </w:pPr>
            <w:r>
              <w:rPr>
                <w:rFonts w:ascii="Arial" w:cs="Arial" w:eastAsia="Arial" w:hAnsi="Arial"/>
                <w:sz w:val="17"/>
                <w:szCs w:val="17"/>
                <w:color w:val="auto"/>
              </w:rPr>
              <w:t xml:space="preserve">Days sales outstanding </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rPr>
              <w:t>% of</w:t>
            </w:r>
          </w:p>
        </w:tc>
        <w:tc>
          <w:tcPr>
            <w:tcW w:w="200" w:type="dxa"/>
            <w:vAlign w:val="bottom"/>
          </w:tcPr>
          <w:p>
            <w:pPr>
              <w:spacing w:after="0"/>
              <w:rPr>
                <w:sz w:val="20"/>
                <w:szCs w:val="20"/>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rPr>
              <w:t>% of</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7"/>
                <w:szCs w:val="17"/>
                <w:b w:val="1"/>
                <w:bCs w:val="1"/>
                <w:color w:val="auto"/>
              </w:rPr>
              <w:t>Product Mix:</w:t>
            </w:r>
          </w:p>
        </w:tc>
        <w:tc>
          <w:tcPr>
            <w:tcW w:w="200" w:type="dxa"/>
            <w:vAlign w:val="bottom"/>
          </w:tcPr>
          <w:p>
            <w:pPr>
              <w:spacing w:after="0"/>
              <w:rPr>
                <w:sz w:val="18"/>
                <w:szCs w:val="18"/>
                <w:color w:val="auto"/>
              </w:rPr>
            </w:pPr>
          </w:p>
        </w:tc>
        <w:tc>
          <w:tcPr>
            <w:tcW w:w="1660" w:type="dxa"/>
            <w:vAlign w:val="bottom"/>
            <w:gridSpan w:val="3"/>
          </w:tcPr>
          <w:p>
            <w:pPr>
              <w:jc w:val="center"/>
              <w:ind w:right="600"/>
              <w:spacing w:after="0"/>
              <w:rPr>
                <w:sz w:val="20"/>
                <w:szCs w:val="20"/>
                <w:color w:val="auto"/>
              </w:rPr>
            </w:pPr>
            <w:r>
              <w:rPr>
                <w:rFonts w:ascii="Arial" w:cs="Arial" w:eastAsia="Arial" w:hAnsi="Arial"/>
                <w:sz w:val="17"/>
                <w:szCs w:val="17"/>
                <w:b w:val="1"/>
                <w:bCs w:val="1"/>
                <w:color w:val="auto"/>
              </w:rPr>
              <w:t>Net Sales</w:t>
            </w:r>
          </w:p>
        </w:tc>
        <w:tc>
          <w:tcPr>
            <w:tcW w:w="200" w:type="dxa"/>
            <w:vAlign w:val="bottom"/>
          </w:tcPr>
          <w:p>
            <w:pPr>
              <w:spacing w:after="0"/>
              <w:rPr>
                <w:sz w:val="18"/>
                <w:szCs w:val="18"/>
                <w:color w:val="auto"/>
              </w:rPr>
            </w:pPr>
          </w:p>
        </w:tc>
        <w:tc>
          <w:tcPr>
            <w:tcW w:w="1660" w:type="dxa"/>
            <w:vAlign w:val="bottom"/>
            <w:gridSpan w:val="3"/>
          </w:tcPr>
          <w:p>
            <w:pPr>
              <w:jc w:val="center"/>
              <w:ind w:right="600"/>
              <w:spacing w:after="0"/>
              <w:rPr>
                <w:sz w:val="20"/>
                <w:szCs w:val="20"/>
                <w:color w:val="auto"/>
              </w:rPr>
            </w:pPr>
            <w:r>
              <w:rPr>
                <w:rFonts w:ascii="Arial" w:cs="Arial" w:eastAsia="Arial" w:hAnsi="Arial"/>
                <w:sz w:val="17"/>
                <w:szCs w:val="17"/>
                <w:b w:val="1"/>
                <w:bCs w:val="1"/>
                <w:color w:val="auto"/>
              </w:rPr>
              <w:t>Net Sales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100"/>
              <w:spacing w:after="0" w:line="170" w:lineRule="exact"/>
              <w:rPr>
                <w:sz w:val="20"/>
                <w:szCs w:val="20"/>
                <w:color w:val="auto"/>
              </w:rPr>
            </w:pPr>
            <w:r>
              <w:rPr>
                <w:rFonts w:ascii="Arial" w:cs="Arial" w:eastAsia="Arial" w:hAnsi="Arial"/>
                <w:sz w:val="17"/>
                <w:szCs w:val="17"/>
                <w:color w:val="auto"/>
              </w:rPr>
              <w:t>Notebooks/Mobility</w:t>
            </w: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32</w:t>
            </w:r>
          </w:p>
        </w:tc>
        <w:tc>
          <w:tcPr>
            <w:tcW w:w="260" w:type="dxa"/>
            <w:vAlign w:val="bottom"/>
          </w:tcPr>
          <w:p>
            <w:pPr>
              <w:jc w:val="right"/>
              <w:ind w:right="14"/>
              <w:spacing w:after="0" w:line="170" w:lineRule="exact"/>
              <w:rPr>
                <w:sz w:val="20"/>
                <w:szCs w:val="20"/>
                <w:color w:val="auto"/>
              </w:rPr>
            </w:pPr>
            <w:r>
              <w:rPr>
                <w:rFonts w:ascii="Arial" w:cs="Arial" w:eastAsia="Arial" w:hAnsi="Arial"/>
                <w:sz w:val="17"/>
                <w:szCs w:val="17"/>
                <w:color w:val="auto"/>
                <w:w w:val="92"/>
              </w:rPr>
              <w: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34</w:t>
            </w:r>
          </w:p>
        </w:tc>
        <w:tc>
          <w:tcPr>
            <w:tcW w:w="260" w:type="dxa"/>
            <w:vAlign w:val="bottom"/>
          </w:tcPr>
          <w:p>
            <w:pPr>
              <w:jc w:val="right"/>
              <w:ind w:right="14"/>
              <w:spacing w:after="0" w:line="170" w:lineRule="exact"/>
              <w:rPr>
                <w:sz w:val="20"/>
                <w:szCs w:val="20"/>
                <w:color w:val="auto"/>
              </w:rPr>
            </w:pPr>
            <w:r>
              <w:rPr>
                <w:rFonts w:ascii="Arial" w:cs="Arial" w:eastAsia="Arial" w:hAnsi="Arial"/>
                <w:sz w:val="17"/>
                <w:szCs w:val="17"/>
                <w:color w:val="auto"/>
                <w:w w:val="92"/>
              </w:rPr>
              <w:t>%</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Desktops</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Software</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Accessories</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Servers/Storage</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Net/Com Products</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Displays and Sound</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60" w:type="dxa"/>
            <w:vAlign w:val="bottom"/>
          </w:tcPr>
          <w:p>
            <w:pPr>
              <w:ind w:left="100"/>
              <w:spacing w:after="0"/>
              <w:rPr>
                <w:sz w:val="20"/>
                <w:szCs w:val="20"/>
                <w:color w:val="auto"/>
              </w:rPr>
            </w:pPr>
            <w:r>
              <w:rPr>
                <w:rFonts w:ascii="Arial" w:cs="Arial" w:eastAsia="Arial" w:hAnsi="Arial"/>
                <w:sz w:val="17"/>
                <w:szCs w:val="17"/>
                <w:color w:val="auto"/>
              </w:rPr>
              <w:t>Other Hardware/Services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60" w:type="dxa"/>
            <w:vAlign w:val="bottom"/>
          </w:tcPr>
          <w:p>
            <w:pPr>
              <w:ind w:left="220"/>
              <w:spacing w:after="0" w:line="187" w:lineRule="exact"/>
              <w:rPr>
                <w:sz w:val="20"/>
                <w:szCs w:val="20"/>
                <w:color w:val="auto"/>
              </w:rPr>
            </w:pPr>
            <w:r>
              <w:rPr>
                <w:rFonts w:ascii="Arial" w:cs="Arial" w:eastAsia="Arial" w:hAnsi="Arial"/>
                <w:sz w:val="17"/>
                <w:szCs w:val="17"/>
                <w:b w:val="1"/>
                <w:bCs w:val="1"/>
                <w:color w:val="auto"/>
              </w:rPr>
              <w:t>Total Net Sales</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w:t>
            </w:r>
          </w:p>
        </w:tc>
        <w:tc>
          <w:tcPr>
            <w:tcW w:w="260" w:type="dxa"/>
            <w:vAlign w:val="bottom"/>
          </w:tcPr>
          <w:p>
            <w:pPr>
              <w:jc w:val="right"/>
              <w:ind w:right="14"/>
              <w:spacing w:after="0" w:line="187" w:lineRule="exact"/>
              <w:rPr>
                <w:sz w:val="20"/>
                <w:szCs w:val="20"/>
                <w:color w:val="auto"/>
              </w:rPr>
            </w:pPr>
            <w:r>
              <w:rPr>
                <w:rFonts w:ascii="Arial" w:cs="Arial" w:eastAsia="Arial" w:hAnsi="Arial"/>
                <w:sz w:val="17"/>
                <w:szCs w:val="17"/>
                <w:color w:val="auto"/>
                <w:w w:val="92"/>
              </w:rPr>
              <w: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100</w:t>
            </w:r>
          </w:p>
        </w:tc>
        <w:tc>
          <w:tcPr>
            <w:tcW w:w="260" w:type="dxa"/>
            <w:vAlign w:val="bottom"/>
          </w:tcPr>
          <w:p>
            <w:pPr>
              <w:jc w:val="right"/>
              <w:ind w:right="14"/>
              <w:spacing w:after="0" w:line="187" w:lineRule="exact"/>
              <w:rPr>
                <w:sz w:val="20"/>
                <w:szCs w:val="20"/>
                <w:color w:val="auto"/>
              </w:rPr>
            </w:pPr>
            <w:r>
              <w:rPr>
                <w:rFonts w:ascii="Arial" w:cs="Arial" w:eastAsia="Arial" w:hAnsi="Arial"/>
                <w:sz w:val="17"/>
                <w:szCs w:val="17"/>
                <w:color w:val="auto"/>
                <w:w w:val="92"/>
              </w:rPr>
              <w:t>%</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Stock Performance Indicators:</w:t>
            </w: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Actual shares outstanding (in thousands)</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25,248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25,326</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Closing price</w:t>
            </w: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90.23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61.99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Market capitalization (in thousands)</w:t>
            </w: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2,278,127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1,569,959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Trailing price/earnings ratio</w:t>
            </w: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22.3</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19.2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60" w:type="dxa"/>
            <w:vAlign w:val="bottom"/>
          </w:tcPr>
          <w:p>
            <w:pPr>
              <w:ind w:left="100"/>
              <w:spacing w:after="0" w:line="194" w:lineRule="exact"/>
              <w:rPr>
                <w:sz w:val="20"/>
                <w:szCs w:val="20"/>
                <w:color w:val="auto"/>
              </w:rPr>
            </w:pPr>
            <w:r>
              <w:rPr>
                <w:rFonts w:ascii="Arial" w:cs="Arial" w:eastAsia="Arial" w:hAnsi="Arial"/>
                <w:sz w:val="17"/>
                <w:szCs w:val="17"/>
                <w:color w:val="auto"/>
              </w:rPr>
              <w:t>LTM Net Income (in thousands)</w:t>
            </w: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102,561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ind w:right="14"/>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83,731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4860" w:type="dxa"/>
            <w:vAlign w:val="bottom"/>
          </w:tcPr>
          <w:p>
            <w:pPr>
              <w:ind w:left="100"/>
              <w:spacing w:after="0"/>
              <w:rPr>
                <w:sz w:val="20"/>
                <w:szCs w:val="20"/>
                <w:color w:val="auto"/>
              </w:rPr>
            </w:pPr>
            <w:r>
              <w:rPr>
                <w:rFonts w:ascii="Arial" w:cs="Arial" w:eastAsia="Arial" w:hAnsi="Arial"/>
                <w:sz w:val="17"/>
                <w:szCs w:val="17"/>
                <w:color w:val="auto"/>
              </w:rPr>
              <w:t xml:space="preserve">LTM Adjusted EBITDA </w:t>
            </w:r>
            <w:r>
              <w:rPr>
                <w:rFonts w:ascii="Arial" w:cs="Arial" w:eastAsia="Arial" w:hAnsi="Arial"/>
                <w:sz w:val="25"/>
                <w:szCs w:val="25"/>
                <w:color w:val="auto"/>
                <w:vertAlign w:val="superscript"/>
              </w:rPr>
              <w:t>(3)</w:t>
            </w:r>
            <w:r>
              <w:rPr>
                <w:rFonts w:ascii="Arial" w:cs="Arial" w:eastAsia="Arial" w:hAnsi="Arial"/>
                <w:sz w:val="17"/>
                <w:szCs w:val="17"/>
                <w:color w:val="auto"/>
              </w:rPr>
              <w:t xml:space="preserve"> (in thousands)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155,170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122,730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hanging="316"/>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annualized cost of goods sold for the period divided by the average inventory for the prior four-month period.</w:t>
      </w:r>
    </w:p>
    <w:p>
      <w:pPr>
        <w:spacing w:after="0" w:line="102" w:lineRule="exact"/>
        <w:rPr>
          <w:rFonts w:ascii="Arial" w:cs="Arial" w:eastAsia="Arial" w:hAnsi="Arial"/>
          <w:sz w:val="17"/>
          <w:szCs w:val="17"/>
          <w:color w:val="auto"/>
        </w:rPr>
      </w:pPr>
    </w:p>
    <w:p>
      <w:pPr>
        <w:ind w:left="320" w:hanging="316"/>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trade receivable at the end of the period divided by average daily net sales for the same three-month period.</w:t>
      </w:r>
    </w:p>
    <w:p>
      <w:pPr>
        <w:spacing w:after="0" w:line="102" w:lineRule="exact"/>
        <w:rPr>
          <w:rFonts w:ascii="Arial" w:cs="Arial" w:eastAsia="Arial" w:hAnsi="Arial"/>
          <w:sz w:val="17"/>
          <w:szCs w:val="17"/>
          <w:color w:val="auto"/>
        </w:rPr>
      </w:pPr>
    </w:p>
    <w:p>
      <w:pPr>
        <w:ind w:left="320" w:right="440" w:hanging="316"/>
        <w:spacing w:after="0" w:line="257"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LTM Adjusted EBITDA is a non-GAAP measure defined as EBITDA (earnings before interest, taxes, depreciation and amortization) adjusted for stock-based compensation, severance expenses and non-routine legal settlements for the last twelve months. See page 8 for a reconciliation.</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AND MARGIN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7"/>
                <w:szCs w:val="17"/>
                <w:b w:val="1"/>
                <w:bCs w:val="1"/>
                <w:color w:val="auto"/>
              </w:rPr>
              <w:t>For the Three Months Ended September 30,</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0"/>
              <w:spacing w:after="0" w:line="187" w:lineRule="exact"/>
              <w:rPr>
                <w:sz w:val="20"/>
                <w:szCs w:val="20"/>
                <w:color w:val="auto"/>
              </w:rPr>
            </w:pPr>
            <w:r>
              <w:rPr>
                <w:rFonts w:ascii="Arial" w:cs="Arial" w:eastAsia="Arial" w:hAnsi="Arial"/>
                <w:sz w:val="17"/>
                <w:szCs w:val="17"/>
                <w:b w:val="1"/>
                <w:bCs w:val="1"/>
                <w:color w:val="auto"/>
              </w:rPr>
              <w:t>2026</w:t>
            </w:r>
          </w:p>
        </w:tc>
        <w:tc>
          <w:tcPr>
            <w:tcW w:w="10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line="187" w:lineRule="exact"/>
              <w:rPr>
                <w:sz w:val="20"/>
                <w:szCs w:val="20"/>
                <w:color w:val="auto"/>
              </w:rPr>
            </w:pPr>
            <w:r>
              <w:rPr>
                <w:rFonts w:ascii="Arial" w:cs="Arial" w:eastAsia="Arial" w:hAnsi="Arial"/>
                <w:sz w:val="17"/>
                <w:szCs w:val="17"/>
                <w:b w:val="1"/>
                <w:bCs w:val="1"/>
                <w:color w:val="auto"/>
              </w:rPr>
              <w:t>2025</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line="168" w:lineRule="exact"/>
              <w:rPr>
                <w:sz w:val="20"/>
                <w:szCs w:val="20"/>
                <w:color w:val="auto"/>
              </w:rPr>
            </w:pPr>
            <w:r>
              <w:rPr>
                <w:rFonts w:ascii="Arial" w:cs="Arial" w:eastAsia="Arial" w:hAnsi="Arial"/>
                <w:sz w:val="17"/>
                <w:szCs w:val="17"/>
                <w:b w:val="1"/>
                <w:bCs w:val="1"/>
                <w:color w:val="auto"/>
              </w:rPr>
              <w:t>Net</w:t>
            </w:r>
          </w:p>
        </w:tc>
        <w:tc>
          <w:tcPr>
            <w:tcW w:w="1000" w:type="dxa"/>
            <w:vAlign w:val="bottom"/>
          </w:tcPr>
          <w:p>
            <w:pPr>
              <w:ind w:left="160"/>
              <w:spacing w:after="0" w:line="168" w:lineRule="exact"/>
              <w:rPr>
                <w:sz w:val="20"/>
                <w:szCs w:val="20"/>
                <w:color w:val="auto"/>
              </w:rPr>
            </w:pPr>
            <w:r>
              <w:rPr>
                <w:rFonts w:ascii="Arial" w:cs="Arial" w:eastAsia="Arial" w:hAnsi="Arial"/>
                <w:sz w:val="17"/>
                <w:szCs w:val="17"/>
                <w:b w:val="1"/>
                <w:bCs w:val="1"/>
                <w:color w:val="auto"/>
              </w:rPr>
              <w:t>Gross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620"/>
              <w:spacing w:after="0" w:line="168" w:lineRule="exact"/>
              <w:rPr>
                <w:sz w:val="20"/>
                <w:szCs w:val="20"/>
                <w:color w:val="auto"/>
              </w:rPr>
            </w:pPr>
            <w:r>
              <w:rPr>
                <w:rFonts w:ascii="Arial" w:cs="Arial" w:eastAsia="Arial" w:hAnsi="Arial"/>
                <w:sz w:val="17"/>
                <w:szCs w:val="17"/>
                <w:b w:val="1"/>
                <w:bCs w:val="1"/>
                <w:color w:val="auto"/>
              </w:rPr>
              <w:t>Net</w:t>
            </w:r>
          </w:p>
        </w:tc>
        <w:tc>
          <w:tcPr>
            <w:tcW w:w="960" w:type="dxa"/>
            <w:vAlign w:val="bottom"/>
          </w:tcPr>
          <w:p>
            <w:pPr>
              <w:ind w:left="100"/>
              <w:spacing w:after="0" w:line="168" w:lineRule="exact"/>
              <w:rPr>
                <w:sz w:val="20"/>
                <w:szCs w:val="20"/>
                <w:color w:val="auto"/>
              </w:rPr>
            </w:pPr>
            <w:r>
              <w:rPr>
                <w:rFonts w:ascii="Arial" w:cs="Arial" w:eastAsia="Arial" w:hAnsi="Arial"/>
                <w:sz w:val="17"/>
                <w:szCs w:val="17"/>
                <w:b w:val="1"/>
                <w:bCs w:val="1"/>
                <w:color w:val="auto"/>
              </w:rPr>
              <w:t>Gross</w:t>
            </w:r>
          </w:p>
        </w:tc>
        <w:tc>
          <w:tcPr>
            <w:tcW w:w="20" w:type="dxa"/>
            <w:vAlign w:val="bottom"/>
          </w:tcPr>
          <w:p>
            <w:pPr>
              <w:spacing w:after="0"/>
              <w:rPr>
                <w:sz w:val="14"/>
                <w:szCs w:val="14"/>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6"/>
                <w:szCs w:val="16"/>
                <w:i w:val="1"/>
                <w:iCs w:val="1"/>
                <w:color w:val="auto"/>
              </w:rPr>
              <w:t>(amounts in thousands)</w:t>
            </w:r>
          </w:p>
        </w:tc>
        <w:tc>
          <w:tcPr>
            <w:tcW w:w="220" w:type="dxa"/>
            <w:vAlign w:val="bottom"/>
          </w:tcPr>
          <w:p>
            <w:pPr>
              <w:spacing w:after="0"/>
              <w:rPr>
                <w:sz w:val="18"/>
                <w:szCs w:val="18"/>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rPr>
              <w:t>Sales</w:t>
            </w:r>
          </w:p>
        </w:tc>
        <w:tc>
          <w:tcPr>
            <w:tcW w:w="1320" w:type="dxa"/>
            <w:vAlign w:val="bottom"/>
            <w:gridSpan w:val="2"/>
          </w:tcPr>
          <w:p>
            <w:pPr>
              <w:ind w:left="100"/>
              <w:spacing w:after="0"/>
              <w:rPr>
                <w:sz w:val="20"/>
                <w:szCs w:val="20"/>
                <w:color w:val="auto"/>
              </w:rPr>
            </w:pPr>
            <w:r>
              <w:rPr>
                <w:rFonts w:ascii="Arial" w:cs="Arial" w:eastAsia="Arial" w:hAnsi="Arial"/>
                <w:sz w:val="17"/>
                <w:szCs w:val="17"/>
                <w:b w:val="1"/>
                <w:bCs w:val="1"/>
                <w:color w:val="auto"/>
              </w:rPr>
              <w:t>Margin</w:t>
            </w:r>
          </w:p>
        </w:tc>
        <w:tc>
          <w:tcPr>
            <w:tcW w:w="220" w:type="dxa"/>
            <w:vAlign w:val="bottom"/>
          </w:tcPr>
          <w:p>
            <w:pPr>
              <w:spacing w:after="0"/>
              <w:rPr>
                <w:sz w:val="18"/>
                <w:szCs w:val="18"/>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7"/>
                <w:szCs w:val="17"/>
                <w:b w:val="1"/>
                <w:bCs w:val="1"/>
                <w:color w:val="auto"/>
              </w:rPr>
              <w:t>Sales</w:t>
            </w:r>
          </w:p>
        </w:tc>
        <w:tc>
          <w:tcPr>
            <w:tcW w:w="980" w:type="dxa"/>
            <w:vAlign w:val="bottom"/>
            <w:gridSpan w:val="2"/>
          </w:tcPr>
          <w:p>
            <w:pPr>
              <w:ind w:left="40"/>
              <w:spacing w:after="0"/>
              <w:rPr>
                <w:sz w:val="20"/>
                <w:szCs w:val="20"/>
                <w:color w:val="auto"/>
              </w:rPr>
            </w:pPr>
            <w:r>
              <w:rPr>
                <w:rFonts w:ascii="Arial" w:cs="Arial" w:eastAsia="Arial" w:hAnsi="Arial"/>
                <w:sz w:val="17"/>
                <w:szCs w:val="17"/>
                <w:b w:val="1"/>
                <w:bCs w:val="1"/>
                <w:color w:val="auto"/>
              </w:rPr>
              <w:t>Margin</w:t>
            </w:r>
          </w:p>
        </w:tc>
      </w:tr>
      <w:tr>
        <w:trPr>
          <w:trHeight w:val="170"/>
        </w:trPr>
        <w:tc>
          <w:tcPr>
            <w:tcW w:w="4420" w:type="dxa"/>
            <w:vAlign w:val="bottom"/>
          </w:tcPr>
          <w:p>
            <w:pPr>
              <w:ind w:left="100"/>
              <w:spacing w:after="0" w:line="170" w:lineRule="exact"/>
              <w:rPr>
                <w:sz w:val="20"/>
                <w:szCs w:val="20"/>
                <w:color w:val="auto"/>
              </w:rPr>
            </w:pPr>
            <w:r>
              <w:rPr>
                <w:rFonts w:ascii="Arial" w:cs="Arial" w:eastAsia="Arial" w:hAnsi="Arial"/>
                <w:sz w:val="17"/>
                <w:szCs w:val="17"/>
                <w:color w:val="auto"/>
              </w:rPr>
              <w:t>Enterprise Solutions</w:t>
            </w:r>
          </w:p>
        </w:tc>
        <w:tc>
          <w:tcPr>
            <w:tcW w:w="220" w:type="dxa"/>
            <w:vAlign w:val="bottom"/>
            <w:tcBorders>
              <w:top w:val="single" w:sz="8" w:color="auto"/>
            </w:tcBorders>
          </w:tcPr>
          <w:p>
            <w:pPr>
              <w:jc w:val="right"/>
              <w:ind w:right="34"/>
              <w:spacing w:after="0" w:line="170"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407,476</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ind w:left="360"/>
              <w:spacing w:after="0" w:line="170" w:lineRule="exact"/>
              <w:rPr>
                <w:sz w:val="20"/>
                <w:szCs w:val="20"/>
                <w:color w:val="auto"/>
              </w:rPr>
            </w:pPr>
            <w:r>
              <w:rPr>
                <w:rFonts w:ascii="Arial" w:cs="Arial" w:eastAsia="Arial" w:hAnsi="Arial"/>
                <w:sz w:val="17"/>
                <w:szCs w:val="17"/>
                <w:color w:val="auto"/>
              </w:rPr>
              <w:t>14.8 %</w:t>
            </w:r>
          </w:p>
        </w:tc>
        <w:tc>
          <w:tcPr>
            <w:tcW w:w="320" w:type="dxa"/>
            <w:vAlign w:val="bottom"/>
          </w:tcPr>
          <w:p>
            <w:pPr>
              <w:spacing w:after="0"/>
              <w:rPr>
                <w:sz w:val="14"/>
                <w:szCs w:val="14"/>
                <w:color w:val="auto"/>
              </w:rPr>
            </w:pPr>
          </w:p>
        </w:tc>
        <w:tc>
          <w:tcPr>
            <w:tcW w:w="220" w:type="dxa"/>
            <w:vAlign w:val="bottom"/>
            <w:tcBorders>
              <w:top w:val="single" w:sz="8" w:color="auto"/>
            </w:tcBorders>
          </w:tcPr>
          <w:p>
            <w:pPr>
              <w:jc w:val="right"/>
              <w:ind w:right="65"/>
              <w:spacing w:after="0" w:line="170"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319,744</w:t>
            </w: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300"/>
              <w:spacing w:after="0" w:line="170" w:lineRule="exact"/>
              <w:rPr>
                <w:sz w:val="20"/>
                <w:szCs w:val="20"/>
                <w:color w:val="auto"/>
              </w:rPr>
            </w:pPr>
            <w:r>
              <w:rPr>
                <w:rFonts w:ascii="Arial" w:cs="Arial" w:eastAsia="Arial" w:hAnsi="Arial"/>
                <w:sz w:val="17"/>
                <w:szCs w:val="17"/>
                <w:color w:val="auto"/>
              </w:rPr>
              <w:t>14.9 %</w:t>
            </w:r>
          </w:p>
        </w:tc>
        <w:tc>
          <w:tcPr>
            <w:tcW w:w="20" w:type="dxa"/>
            <w:vAlign w:val="bottom"/>
          </w:tcPr>
          <w:p>
            <w:pPr>
              <w:spacing w:after="0"/>
              <w:rPr>
                <w:sz w:val="14"/>
                <w:szCs w:val="14"/>
                <w:color w:val="auto"/>
              </w:rPr>
            </w:pPr>
          </w:p>
        </w:tc>
      </w:tr>
      <w:tr>
        <w:trPr>
          <w:trHeight w:val="194"/>
        </w:trPr>
        <w:tc>
          <w:tcPr>
            <w:tcW w:w="4420" w:type="dxa"/>
            <w:vAlign w:val="bottom"/>
          </w:tcPr>
          <w:p>
            <w:pPr>
              <w:ind w:left="100"/>
              <w:spacing w:after="0" w:line="194" w:lineRule="exact"/>
              <w:rPr>
                <w:sz w:val="20"/>
                <w:szCs w:val="20"/>
                <w:color w:val="auto"/>
              </w:rPr>
            </w:pPr>
            <w:r>
              <w:rPr>
                <w:rFonts w:ascii="Arial" w:cs="Arial" w:eastAsia="Arial" w:hAnsi="Arial"/>
                <w:sz w:val="17"/>
                <w:szCs w:val="17"/>
                <w:color w:val="auto"/>
              </w:rPr>
              <w:t>Business Solutions</w:t>
            </w:r>
          </w:p>
        </w:tc>
        <w:tc>
          <w:tcPr>
            <w:tcW w:w="2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328,223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ind w:left="360"/>
              <w:spacing w:after="0" w:line="194" w:lineRule="exact"/>
              <w:rPr>
                <w:sz w:val="20"/>
                <w:szCs w:val="20"/>
                <w:color w:val="auto"/>
              </w:rPr>
            </w:pPr>
            <w:r>
              <w:rPr>
                <w:rFonts w:ascii="Arial" w:cs="Arial" w:eastAsia="Arial" w:hAnsi="Arial"/>
                <w:sz w:val="17"/>
                <w:szCs w:val="17"/>
                <w:color w:val="auto"/>
              </w:rPr>
              <w:t>23.8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256,841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ind w:left="300"/>
              <w:spacing w:after="0" w:line="194" w:lineRule="exact"/>
              <w:rPr>
                <w:sz w:val="20"/>
                <w:szCs w:val="20"/>
                <w:color w:val="auto"/>
              </w:rPr>
            </w:pPr>
            <w:r>
              <w:rPr>
                <w:rFonts w:ascii="Arial" w:cs="Arial" w:eastAsia="Arial" w:hAnsi="Arial"/>
                <w:sz w:val="17"/>
                <w:szCs w:val="17"/>
                <w:color w:val="auto"/>
              </w:rPr>
              <w:t>26.5</w:t>
            </w:r>
          </w:p>
        </w:tc>
        <w:tc>
          <w:tcPr>
            <w:tcW w:w="20" w:type="dxa"/>
            <w:vAlign w:val="bottom"/>
          </w:tcPr>
          <w:p>
            <w:pPr>
              <w:spacing w:after="0"/>
              <w:rPr>
                <w:sz w:val="16"/>
                <w:szCs w:val="16"/>
                <w:color w:val="auto"/>
              </w:rPr>
            </w:pPr>
          </w:p>
        </w:tc>
      </w:tr>
      <w:tr>
        <w:trPr>
          <w:trHeight w:val="211"/>
        </w:trPr>
        <w:tc>
          <w:tcPr>
            <w:tcW w:w="4420" w:type="dxa"/>
            <w:vAlign w:val="bottom"/>
          </w:tcPr>
          <w:p>
            <w:pPr>
              <w:ind w:left="100"/>
              <w:spacing w:after="0"/>
              <w:rPr>
                <w:sz w:val="20"/>
                <w:szCs w:val="20"/>
                <w:color w:val="auto"/>
              </w:rPr>
            </w:pPr>
            <w:r>
              <w:rPr>
                <w:rFonts w:ascii="Arial" w:cs="Arial" w:eastAsia="Arial" w:hAnsi="Arial"/>
                <w:sz w:val="17"/>
                <w:szCs w:val="17"/>
                <w:color w:val="auto"/>
              </w:rPr>
              <w:t>Public Sector Solutions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7"/>
                <w:szCs w:val="17"/>
                <w:color w:val="auto"/>
              </w:rPr>
              <w:t>16.9</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132,483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18"/>
                <w:szCs w:val="18"/>
                <w:color w:val="auto"/>
              </w:rPr>
            </w:pPr>
          </w:p>
        </w:tc>
      </w:tr>
      <w:tr>
        <w:trPr>
          <w:trHeight w:val="187"/>
        </w:trPr>
        <w:tc>
          <w:tcPr>
            <w:tcW w:w="4420" w:type="dxa"/>
            <w:vAlign w:val="bottom"/>
          </w:tcPr>
          <w:p>
            <w:pPr>
              <w:ind w:left="220"/>
              <w:spacing w:after="0" w:line="187"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874,313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ind w:left="360"/>
              <w:spacing w:after="0" w:line="187" w:lineRule="exact"/>
              <w:rPr>
                <w:sz w:val="20"/>
                <w:szCs w:val="20"/>
                <w:color w:val="auto"/>
              </w:rPr>
            </w:pPr>
            <w:r>
              <w:rPr>
                <w:rFonts w:ascii="Arial" w:cs="Arial" w:eastAsia="Arial" w:hAnsi="Arial"/>
                <w:sz w:val="17"/>
                <w:szCs w:val="17"/>
                <w:color w:val="auto"/>
              </w:rPr>
              <w:t>18.5 %</w:t>
            </w:r>
          </w:p>
        </w:tc>
        <w:tc>
          <w:tcPr>
            <w:tcW w:w="320" w:type="dxa"/>
            <w:vAlign w:val="bottom"/>
          </w:tcPr>
          <w:p>
            <w:pPr>
              <w:spacing w:after="0"/>
              <w:rPr>
                <w:sz w:val="16"/>
                <w:szCs w:val="16"/>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709,068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ind w:left="300"/>
              <w:spacing w:after="0" w:line="187" w:lineRule="exact"/>
              <w:rPr>
                <w:sz w:val="20"/>
                <w:szCs w:val="20"/>
                <w:color w:val="auto"/>
              </w:rPr>
            </w:pPr>
            <w:r>
              <w:rPr>
                <w:rFonts w:ascii="Arial" w:cs="Arial" w:eastAsia="Arial" w:hAnsi="Arial"/>
                <w:sz w:val="17"/>
                <w:szCs w:val="17"/>
                <w:color w:val="auto"/>
              </w:rPr>
              <w:t>19.6 %</w:t>
            </w:r>
          </w:p>
        </w:tc>
        <w:tc>
          <w:tcPr>
            <w:tcW w:w="20" w:type="dxa"/>
            <w:vAlign w:val="bottom"/>
          </w:tcPr>
          <w:p>
            <w:pPr>
              <w:spacing w:after="0"/>
              <w:rPr>
                <w:sz w:val="16"/>
                <w:szCs w:val="16"/>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3"/>
        </w:trPr>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CONDENSED CONSOLIDATED STATEMENTS OF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7"/>
                <w:szCs w:val="17"/>
                <w:color w:val="auto"/>
              </w:rPr>
            </w:pPr>
          </w:p>
        </w:tc>
        <w:tc>
          <w:tcPr>
            <w:tcW w:w="3000" w:type="dxa"/>
            <w:vAlign w:val="bottom"/>
            <w:gridSpan w:val="6"/>
            <w:vMerge w:val="restart"/>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4780" w:type="dxa"/>
            <w:vAlign w:val="bottom"/>
            <w:vMerge w:val="restart"/>
          </w:tcPr>
          <w:p>
            <w:pPr>
              <w:spacing w:after="0"/>
              <w:rPr>
                <w:sz w:val="20"/>
                <w:szCs w:val="20"/>
                <w:color w:val="auto"/>
              </w:rPr>
            </w:pPr>
            <w:r>
              <w:rPr>
                <w:rFonts w:ascii="Arial" w:cs="Arial" w:eastAsia="Arial" w:hAnsi="Arial"/>
                <w:sz w:val="16"/>
                <w:szCs w:val="16"/>
                <w:i w:val="1"/>
                <w:iCs w:val="1"/>
                <w:color w:val="auto"/>
              </w:rPr>
              <w:t>(amounts in thousands, except per share data)</w:t>
            </w:r>
          </w:p>
        </w:tc>
        <w:tc>
          <w:tcPr>
            <w:tcW w:w="300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2860" w:type="dxa"/>
            <w:vAlign w:val="bottom"/>
            <w:gridSpan w:val="6"/>
          </w:tcPr>
          <w:p>
            <w:pPr>
              <w:jc w:val="right"/>
              <w:ind w:right="20"/>
              <w:spacing w:after="0" w:line="52" w:lineRule="exact"/>
              <w:rPr>
                <w:sz w:val="20"/>
                <w:szCs w:val="20"/>
                <w:color w:val="auto"/>
              </w:rPr>
            </w:pPr>
            <w:r>
              <w:rPr>
                <w:rFonts w:ascii="Arial" w:cs="Arial" w:eastAsia="Arial" w:hAnsi="Arial"/>
                <w:sz w:val="5"/>
                <w:szCs w:val="5"/>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4"/>
              <w:spacing w:after="0" w:line="187" w:lineRule="exact"/>
              <w:rPr>
                <w:sz w:val="20"/>
                <w:szCs w:val="20"/>
                <w:color w:val="auto"/>
              </w:rPr>
            </w:pPr>
            <w:r>
              <w:rPr>
                <w:rFonts w:ascii="Arial" w:cs="Arial" w:eastAsia="Arial" w:hAnsi="Arial"/>
                <w:sz w:val="17"/>
                <w:szCs w:val="17"/>
                <w:b w:val="1"/>
                <w:bCs w:val="1"/>
                <w:color w:val="auto"/>
              </w:rPr>
              <w:t>2026</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4"/>
              <w:spacing w:after="0" w:line="187" w:lineRule="exact"/>
              <w:rPr>
                <w:sz w:val="20"/>
                <w:szCs w:val="20"/>
                <w:color w:val="auto"/>
              </w:rPr>
            </w:pPr>
            <w:r>
              <w:rPr>
                <w:rFonts w:ascii="Arial" w:cs="Arial" w:eastAsia="Arial" w:hAnsi="Arial"/>
                <w:sz w:val="17"/>
                <w:szCs w:val="17"/>
                <w:b w:val="1"/>
                <w:bCs w:val="1"/>
                <w:color w:val="auto"/>
              </w:rPr>
              <w:t>2025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4"/>
              <w:spacing w:after="0" w:line="187" w:lineRule="exact"/>
              <w:rPr>
                <w:sz w:val="20"/>
                <w:szCs w:val="20"/>
                <w:color w:val="auto"/>
              </w:rPr>
            </w:pPr>
            <w:r>
              <w:rPr>
                <w:rFonts w:ascii="Arial" w:cs="Arial" w:eastAsia="Arial" w:hAnsi="Arial"/>
                <w:sz w:val="17"/>
                <w:szCs w:val="17"/>
                <w:b w:val="1"/>
                <w:bCs w:val="1"/>
                <w:color w:val="auto"/>
              </w:rPr>
              <w:t>2026</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jc w:val="right"/>
              <w:ind w:right="480"/>
              <w:spacing w:after="0" w:line="187" w:lineRule="exact"/>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70"/>
        </w:trPr>
        <w:tc>
          <w:tcPr>
            <w:tcW w:w="4780" w:type="dxa"/>
            <w:vAlign w:val="bottom"/>
          </w:tcPr>
          <w:p>
            <w:pPr>
              <w:ind w:left="100"/>
              <w:spacing w:after="0" w:line="170" w:lineRule="exact"/>
              <w:rPr>
                <w:sz w:val="20"/>
                <w:szCs w:val="20"/>
                <w:color w:val="auto"/>
              </w:rPr>
            </w:pPr>
            <w:r>
              <w:rPr>
                <w:rFonts w:ascii="Arial" w:cs="Arial" w:eastAsia="Arial" w:hAnsi="Arial"/>
                <w:sz w:val="17"/>
                <w:szCs w:val="17"/>
                <w:color w:val="auto"/>
              </w:rPr>
              <w:t>Net sales</w:t>
            </w:r>
          </w:p>
        </w:tc>
        <w:tc>
          <w:tcPr>
            <w:tcW w:w="320" w:type="dxa"/>
            <w:vAlign w:val="bottom"/>
          </w:tcPr>
          <w:p>
            <w:pPr>
              <w:ind w:left="20"/>
              <w:spacing w:after="0" w:line="170"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874,313</w:t>
            </w:r>
          </w:p>
        </w:tc>
        <w:tc>
          <w:tcPr>
            <w:tcW w:w="120" w:type="dxa"/>
            <w:vAlign w:val="bottom"/>
          </w:tcPr>
          <w:p>
            <w:pPr>
              <w:spacing w:after="0"/>
              <w:rPr>
                <w:sz w:val="14"/>
                <w:szCs w:val="14"/>
                <w:color w:val="auto"/>
              </w:rPr>
            </w:pPr>
          </w:p>
        </w:tc>
        <w:tc>
          <w:tcPr>
            <w:tcW w:w="320" w:type="dxa"/>
            <w:vAlign w:val="bottom"/>
          </w:tcPr>
          <w:p>
            <w:pPr>
              <w:jc w:val="right"/>
              <w:ind w:right="134"/>
              <w:spacing w:after="0" w:line="170"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709,068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ind w:left="20"/>
              <w:spacing w:after="0" w:line="170"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7"/>
                <w:szCs w:val="17"/>
                <w:color w:val="auto"/>
              </w:rPr>
              <w:t>2,450,175</w:t>
            </w:r>
          </w:p>
        </w:tc>
        <w:tc>
          <w:tcPr>
            <w:tcW w:w="120" w:type="dxa"/>
            <w:vAlign w:val="bottom"/>
          </w:tcPr>
          <w:p>
            <w:pPr>
              <w:spacing w:after="0"/>
              <w:rPr>
                <w:sz w:val="14"/>
                <w:szCs w:val="14"/>
                <w:color w:val="auto"/>
              </w:rPr>
            </w:pPr>
          </w:p>
        </w:tc>
        <w:tc>
          <w:tcPr>
            <w:tcW w:w="340" w:type="dxa"/>
            <w:vAlign w:val="bottom"/>
          </w:tcPr>
          <w:p>
            <w:pPr>
              <w:jc w:val="right"/>
              <w:ind w:right="154"/>
              <w:spacing w:after="0" w:line="170"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line="170" w:lineRule="exact"/>
              <w:rPr>
                <w:sz w:val="20"/>
                <w:szCs w:val="20"/>
                <w:color w:val="auto"/>
              </w:rPr>
            </w:pPr>
            <w:r>
              <w:rPr>
                <w:rFonts w:ascii="Arial" w:cs="Arial" w:eastAsia="Arial" w:hAnsi="Arial"/>
                <w:sz w:val="17"/>
                <w:szCs w:val="17"/>
                <w:color w:val="auto"/>
              </w:rPr>
              <w:t>2,169,807</w:t>
            </w:r>
          </w:p>
        </w:tc>
        <w:tc>
          <w:tcPr>
            <w:tcW w:w="0" w:type="dxa"/>
            <w:vAlign w:val="bottom"/>
          </w:tcPr>
          <w:p>
            <w:pPr>
              <w:spacing w:after="0"/>
              <w:rPr>
                <w:sz w:val="1"/>
                <w:szCs w:val="1"/>
                <w:color w:val="auto"/>
              </w:rPr>
            </w:pPr>
          </w:p>
        </w:tc>
      </w:tr>
      <w:tr>
        <w:trPr>
          <w:trHeight w:val="211"/>
        </w:trPr>
        <w:tc>
          <w:tcPr>
            <w:tcW w:w="4780" w:type="dxa"/>
            <w:vAlign w:val="bottom"/>
          </w:tcPr>
          <w:p>
            <w:pPr>
              <w:ind w:left="100"/>
              <w:spacing w:after="0"/>
              <w:rPr>
                <w:sz w:val="20"/>
                <w:szCs w:val="20"/>
                <w:color w:val="auto"/>
              </w:rPr>
            </w:pPr>
            <w:r>
              <w:rPr>
                <w:rFonts w:ascii="Arial" w:cs="Arial" w:eastAsia="Arial" w:hAnsi="Arial"/>
                <w:sz w:val="17"/>
                <w:szCs w:val="17"/>
                <w:color w:val="auto"/>
              </w:rPr>
              <w:t>Cost of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712,452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570,423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1,998,104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1,766,085</w:t>
            </w:r>
          </w:p>
        </w:tc>
        <w:tc>
          <w:tcPr>
            <w:tcW w:w="0" w:type="dxa"/>
            <w:vAlign w:val="bottom"/>
          </w:tcPr>
          <w:p>
            <w:pPr>
              <w:spacing w:after="0"/>
              <w:rPr>
                <w:sz w:val="1"/>
                <w:szCs w:val="1"/>
                <w:color w:val="auto"/>
              </w:rPr>
            </w:pPr>
          </w:p>
        </w:tc>
      </w:tr>
      <w:tr>
        <w:trPr>
          <w:trHeight w:val="170"/>
        </w:trPr>
        <w:tc>
          <w:tcPr>
            <w:tcW w:w="4780" w:type="dxa"/>
            <w:vAlign w:val="bottom"/>
          </w:tcPr>
          <w:p>
            <w:pPr>
              <w:ind w:left="320"/>
              <w:spacing w:after="0" w:line="170" w:lineRule="exact"/>
              <w:rPr>
                <w:sz w:val="20"/>
                <w:szCs w:val="20"/>
                <w:color w:val="auto"/>
              </w:rPr>
            </w:pPr>
            <w:r>
              <w:rPr>
                <w:rFonts w:ascii="Arial" w:cs="Arial" w:eastAsia="Arial" w:hAnsi="Arial"/>
                <w:sz w:val="17"/>
                <w:szCs w:val="17"/>
                <w:b w:val="1"/>
                <w:bCs w:val="1"/>
                <w:color w:val="auto"/>
              </w:rPr>
              <w:t>Gross profit</w:t>
            </w:r>
          </w:p>
        </w:tc>
        <w:tc>
          <w:tcPr>
            <w:tcW w:w="32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161,861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7"/>
                <w:szCs w:val="17"/>
                <w:color w:val="auto"/>
              </w:rPr>
              <w:t>138,645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7"/>
                <w:szCs w:val="17"/>
                <w:color w:val="auto"/>
              </w:rPr>
              <w:t>452,071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40"/>
              <w:spacing w:after="0" w:line="170" w:lineRule="exact"/>
              <w:rPr>
                <w:sz w:val="20"/>
                <w:szCs w:val="20"/>
                <w:color w:val="auto"/>
              </w:rPr>
            </w:pPr>
            <w:r>
              <w:rPr>
                <w:rFonts w:ascii="Arial" w:cs="Arial" w:eastAsia="Arial" w:hAnsi="Arial"/>
                <w:sz w:val="17"/>
                <w:szCs w:val="17"/>
                <w:color w:val="auto"/>
              </w:rPr>
              <w:t>403,722</w:t>
            </w:r>
          </w:p>
        </w:tc>
        <w:tc>
          <w:tcPr>
            <w:tcW w:w="0" w:type="dxa"/>
            <w:vAlign w:val="bottom"/>
          </w:tcPr>
          <w:p>
            <w:pPr>
              <w:spacing w:after="0"/>
              <w:rPr>
                <w:sz w:val="1"/>
                <w:szCs w:val="1"/>
                <w:color w:val="auto"/>
              </w:rPr>
            </w:pPr>
          </w:p>
        </w:tc>
      </w:tr>
      <w:tr>
        <w:trPr>
          <w:trHeight w:val="194"/>
        </w:trPr>
        <w:tc>
          <w:tcPr>
            <w:tcW w:w="4780" w:type="dxa"/>
            <w:vAlign w:val="bottom"/>
          </w:tcPr>
          <w:p>
            <w:pPr>
              <w:ind w:left="100"/>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120,881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108,379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344,794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325,107</w:t>
            </w:r>
          </w:p>
        </w:tc>
        <w:tc>
          <w:tcPr>
            <w:tcW w:w="0" w:type="dxa"/>
            <w:vAlign w:val="bottom"/>
          </w:tcPr>
          <w:p>
            <w:pPr>
              <w:spacing w:after="0"/>
              <w:rPr>
                <w:sz w:val="1"/>
                <w:szCs w:val="1"/>
                <w:color w:val="auto"/>
              </w:rPr>
            </w:pPr>
          </w:p>
        </w:tc>
      </w:tr>
      <w:tr>
        <w:trPr>
          <w:trHeight w:val="211"/>
        </w:trPr>
        <w:tc>
          <w:tcPr>
            <w:tcW w:w="4780" w:type="dxa"/>
            <w:vAlign w:val="bottom"/>
          </w:tcPr>
          <w:p>
            <w:pPr>
              <w:ind w:left="100"/>
              <w:spacing w:after="0"/>
              <w:rPr>
                <w:sz w:val="20"/>
                <w:szCs w:val="20"/>
                <w:color w:val="auto"/>
              </w:rPr>
            </w:pPr>
            <w:r>
              <w:rPr>
                <w:rFonts w:ascii="Arial" w:cs="Arial" w:eastAsia="Arial" w:hAnsi="Arial"/>
                <w:sz w:val="17"/>
                <w:szCs w:val="17"/>
                <w:color w:val="auto"/>
              </w:rPr>
              <w:t>Severance expenses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2,930</w:t>
            </w:r>
          </w:p>
        </w:tc>
        <w:tc>
          <w:tcPr>
            <w:tcW w:w="0" w:type="dxa"/>
            <w:vAlign w:val="bottom"/>
          </w:tcPr>
          <w:p>
            <w:pPr>
              <w:spacing w:after="0"/>
              <w:rPr>
                <w:sz w:val="1"/>
                <w:szCs w:val="1"/>
                <w:color w:val="auto"/>
              </w:rPr>
            </w:pPr>
          </w:p>
        </w:tc>
      </w:tr>
      <w:tr>
        <w:trPr>
          <w:trHeight w:val="170"/>
        </w:trPr>
        <w:tc>
          <w:tcPr>
            <w:tcW w:w="4780" w:type="dxa"/>
            <w:vAlign w:val="bottom"/>
          </w:tcPr>
          <w:p>
            <w:pPr>
              <w:ind w:left="320"/>
              <w:spacing w:after="0" w:line="170" w:lineRule="exact"/>
              <w:rPr>
                <w:sz w:val="20"/>
                <w:szCs w:val="20"/>
                <w:color w:val="auto"/>
              </w:rPr>
            </w:pPr>
            <w:r>
              <w:rPr>
                <w:rFonts w:ascii="Arial" w:cs="Arial" w:eastAsia="Arial" w:hAnsi="Arial"/>
                <w:sz w:val="17"/>
                <w:szCs w:val="17"/>
                <w:b w:val="1"/>
                <w:bCs w:val="1"/>
                <w:color w:val="auto"/>
              </w:rPr>
              <w:t>Income from operations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40,980</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30,266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104,217</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40"/>
              <w:spacing w:after="0" w:line="170" w:lineRule="exact"/>
              <w:rPr>
                <w:sz w:val="20"/>
                <w:szCs w:val="20"/>
                <w:color w:val="auto"/>
              </w:rPr>
            </w:pPr>
            <w:r>
              <w:rPr>
                <w:rFonts w:ascii="Arial" w:cs="Arial" w:eastAsia="Arial" w:hAnsi="Arial"/>
                <w:sz w:val="17"/>
                <w:szCs w:val="17"/>
                <w:color w:val="auto"/>
              </w:rPr>
              <w:t>75,685</w:t>
            </w:r>
          </w:p>
        </w:tc>
        <w:tc>
          <w:tcPr>
            <w:tcW w:w="0" w:type="dxa"/>
            <w:vAlign w:val="bottom"/>
          </w:tcPr>
          <w:p>
            <w:pPr>
              <w:spacing w:after="0"/>
              <w:rPr>
                <w:sz w:val="1"/>
                <w:szCs w:val="1"/>
                <w:color w:val="auto"/>
              </w:rPr>
            </w:pPr>
          </w:p>
        </w:tc>
      </w:tr>
      <w:tr>
        <w:trPr>
          <w:trHeight w:val="194"/>
        </w:trPr>
        <w:tc>
          <w:tcPr>
            <w:tcW w:w="4780" w:type="dxa"/>
            <w:vAlign w:val="bottom"/>
          </w:tcPr>
          <w:p>
            <w:pPr>
              <w:ind w:left="100"/>
              <w:spacing w:after="0" w:line="194" w:lineRule="exact"/>
              <w:rPr>
                <w:sz w:val="20"/>
                <w:szCs w:val="20"/>
                <w:color w:val="auto"/>
              </w:rPr>
            </w:pPr>
            <w:r>
              <w:rPr>
                <w:rFonts w:ascii="Arial" w:cs="Arial" w:eastAsia="Arial" w:hAnsi="Arial"/>
                <w:sz w:val="17"/>
                <w:szCs w:val="17"/>
                <w:color w:val="auto"/>
              </w:rPr>
              <w:t>Interest income, net</w:t>
            </w: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2,467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3,689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8,355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10,805</w:t>
            </w:r>
          </w:p>
        </w:tc>
        <w:tc>
          <w:tcPr>
            <w:tcW w:w="0" w:type="dxa"/>
            <w:vAlign w:val="bottom"/>
          </w:tcPr>
          <w:p>
            <w:pPr>
              <w:spacing w:after="0"/>
              <w:rPr>
                <w:sz w:val="1"/>
                <w:szCs w:val="1"/>
                <w:color w:val="auto"/>
              </w:rPr>
            </w:pPr>
          </w:p>
        </w:tc>
      </w:tr>
      <w:tr>
        <w:trPr>
          <w:trHeight w:val="194"/>
        </w:trPr>
        <w:tc>
          <w:tcPr>
            <w:tcW w:w="4780" w:type="dxa"/>
            <w:vAlign w:val="bottom"/>
          </w:tcPr>
          <w:p>
            <w:pPr>
              <w:ind w:left="100"/>
              <w:spacing w:after="0" w:line="194" w:lineRule="exact"/>
              <w:rPr>
                <w:sz w:val="20"/>
                <w:szCs w:val="20"/>
                <w:color w:val="auto"/>
              </w:rPr>
            </w:pPr>
            <w:r>
              <w:rPr>
                <w:rFonts w:ascii="Arial" w:cs="Arial" w:eastAsia="Arial" w:hAnsi="Arial"/>
                <w:sz w:val="17"/>
                <w:szCs w:val="17"/>
                <w:color w:val="auto"/>
              </w:rPr>
              <w:t>Other income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10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1"/>
        </w:trPr>
        <w:tc>
          <w:tcPr>
            <w:tcW w:w="4780" w:type="dxa"/>
            <w:vAlign w:val="bottom"/>
          </w:tcPr>
          <w:p>
            <w:pPr>
              <w:ind w:left="100"/>
              <w:spacing w:after="0"/>
              <w:rPr>
                <w:sz w:val="20"/>
                <w:szCs w:val="20"/>
                <w:color w:val="auto"/>
              </w:rPr>
            </w:pPr>
            <w:r>
              <w:rPr>
                <w:rFonts w:ascii="Arial" w:cs="Arial" w:eastAsia="Arial" w:hAnsi="Arial"/>
                <w:sz w:val="17"/>
                <w:szCs w:val="17"/>
                <w:color w:val="auto"/>
              </w:rPr>
              <w:t>Income tax provision</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(11,989)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(9,215)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(30,723)</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(23,556)</w:t>
            </w:r>
          </w:p>
        </w:tc>
        <w:tc>
          <w:tcPr>
            <w:tcW w:w="0" w:type="dxa"/>
            <w:vAlign w:val="bottom"/>
          </w:tcPr>
          <w:p>
            <w:pPr>
              <w:spacing w:after="0"/>
              <w:rPr>
                <w:sz w:val="1"/>
                <w:szCs w:val="1"/>
                <w:color w:val="auto"/>
              </w:rPr>
            </w:pPr>
          </w:p>
        </w:tc>
      </w:tr>
      <w:tr>
        <w:trPr>
          <w:trHeight w:val="187"/>
        </w:trPr>
        <w:tc>
          <w:tcPr>
            <w:tcW w:w="4780" w:type="dxa"/>
            <w:vAlign w:val="bottom"/>
          </w:tcPr>
          <w:p>
            <w:pPr>
              <w:ind w:left="320"/>
              <w:spacing w:after="0" w:line="187" w:lineRule="exact"/>
              <w:rPr>
                <w:sz w:val="20"/>
                <w:szCs w:val="20"/>
                <w:color w:val="auto"/>
              </w:rPr>
            </w:pPr>
            <w:r>
              <w:rPr>
                <w:rFonts w:ascii="Arial" w:cs="Arial" w:eastAsia="Arial" w:hAnsi="Arial"/>
                <w:sz w:val="17"/>
                <w:szCs w:val="17"/>
                <w:b w:val="1"/>
                <w:bCs w:val="1"/>
                <w:color w:val="auto"/>
              </w:rPr>
              <w:t>Net income</w:t>
            </w:r>
          </w:p>
        </w:tc>
        <w:tc>
          <w:tcPr>
            <w:tcW w:w="320" w:type="dxa"/>
            <w:vAlign w:val="bottom"/>
            <w:tcBorders>
              <w:top w:val="single" w:sz="8" w:color="auto"/>
              <w:bottom w:val="single" w:sz="8" w:color="auto"/>
            </w:tcBorders>
          </w:tcPr>
          <w:p>
            <w:pPr>
              <w:ind w:left="20"/>
              <w:spacing w:after="0" w:line="187"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31,458</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4"/>
              <w:spacing w:after="0" w:line="187"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24,740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ind w:left="20"/>
              <w:spacing w:after="0" w:line="187"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81,849</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4"/>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gridSpan w:val="2"/>
          </w:tcPr>
          <w:p>
            <w:pPr>
              <w:jc w:val="right"/>
              <w:ind w:right="40"/>
              <w:spacing w:after="0" w:line="187" w:lineRule="exact"/>
              <w:rPr>
                <w:sz w:val="20"/>
                <w:szCs w:val="20"/>
                <w:color w:val="auto"/>
              </w:rPr>
            </w:pPr>
            <w:r>
              <w:rPr>
                <w:rFonts w:ascii="Arial" w:cs="Arial" w:eastAsia="Arial" w:hAnsi="Arial"/>
                <w:sz w:val="17"/>
                <w:szCs w:val="17"/>
                <w:color w:val="auto"/>
              </w:rPr>
              <w:t>63,010</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100"/>
              <w:spacing w:after="0"/>
              <w:rPr>
                <w:sz w:val="20"/>
                <w:szCs w:val="20"/>
                <w:color w:val="auto"/>
              </w:rPr>
            </w:pPr>
            <w:r>
              <w:rPr>
                <w:rFonts w:ascii="Arial" w:cs="Arial" w:eastAsia="Arial" w:hAnsi="Arial"/>
                <w:sz w:val="17"/>
                <w:szCs w:val="17"/>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80" w:type="dxa"/>
            <w:vAlign w:val="bottom"/>
            <w:vMerge w:val="continue"/>
          </w:tcPr>
          <w:p>
            <w:pPr>
              <w:spacing w:after="0"/>
              <w:rPr>
                <w:sz w:val="24"/>
                <w:szCs w:val="24"/>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4"/>
                <w:szCs w:val="24"/>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0.98</w:t>
            </w:r>
          </w:p>
        </w:tc>
        <w:tc>
          <w:tcPr>
            <w:tcW w:w="40" w:type="dxa"/>
            <w:vAlign w:val="bottom"/>
          </w:tcPr>
          <w:p>
            <w:pPr>
              <w:spacing w:after="0"/>
              <w:rPr>
                <w:sz w:val="24"/>
                <w:szCs w:val="24"/>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24"/>
                <w:szCs w:val="24"/>
                <w:color w:val="auto"/>
              </w:rPr>
            </w:pPr>
          </w:p>
        </w:tc>
        <w:tc>
          <w:tcPr>
            <w:tcW w:w="340" w:type="dxa"/>
            <w:vAlign w:val="bottom"/>
            <w:vMerge w:val="restart"/>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98"/>
        </w:trPr>
        <w:tc>
          <w:tcPr>
            <w:tcW w:w="4780" w:type="dxa"/>
            <w:vAlign w:val="bottom"/>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320"/>
              <w:spacing w:after="0"/>
              <w:rPr>
                <w:sz w:val="20"/>
                <w:szCs w:val="20"/>
                <w:color w:val="auto"/>
              </w:rPr>
            </w:pPr>
            <w:r>
              <w:rPr>
                <w:rFonts w:ascii="Arial" w:cs="Arial" w:eastAsia="Arial" w:hAnsi="Arial"/>
                <w:sz w:val="17"/>
                <w:szCs w:val="17"/>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320" w:type="dxa"/>
            <w:vAlign w:val="bottom"/>
            <w:tcBorders>
              <w:bottom w:val="single" w:sz="8" w:color="auto"/>
            </w:tcBorders>
          </w:tcPr>
          <w:p>
            <w:pPr>
              <w:ind w:left="20"/>
              <w:spacing w:after="0" w:line="17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1.24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4"/>
              <w:spacing w:after="0" w:line="173"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0.97</w:t>
            </w: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00" w:type="dxa"/>
            <w:vAlign w:val="bottom"/>
            <w:tcBorders>
              <w:bottom w:val="single" w:sz="8" w:color="auto"/>
            </w:tcBorders>
          </w:tcPr>
          <w:p>
            <w:pPr>
              <w:ind w:left="20"/>
              <w:spacing w:after="0" w:line="17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3.23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94"/>
              <w:spacing w:after="0" w:line="17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ind w:right="40"/>
              <w:spacing w:after="0" w:line="173" w:lineRule="exact"/>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100"/>
              <w:spacing w:after="0"/>
              <w:rPr>
                <w:sz w:val="20"/>
                <w:szCs w:val="20"/>
                <w:color w:val="auto"/>
              </w:rPr>
            </w:pPr>
            <w:r>
              <w:rPr>
                <w:rFonts w:ascii="Arial" w:cs="Arial" w:eastAsia="Arial" w:hAnsi="Arial"/>
                <w:sz w:val="17"/>
                <w:szCs w:val="17"/>
                <w:color w:val="auto"/>
              </w:rPr>
              <w:t>Shares used in computation of earnings per common share: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25,241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25,354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25,223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25,609</w:t>
            </w:r>
          </w:p>
        </w:tc>
        <w:tc>
          <w:tcPr>
            <w:tcW w:w="0" w:type="dxa"/>
            <w:vAlign w:val="bottom"/>
          </w:tcPr>
          <w:p>
            <w:pPr>
              <w:spacing w:after="0"/>
              <w:rPr>
                <w:sz w:val="1"/>
                <w:szCs w:val="1"/>
                <w:color w:val="auto"/>
              </w:rPr>
            </w:pPr>
          </w:p>
        </w:tc>
      </w:tr>
      <w:tr>
        <w:trPr>
          <w:trHeight w:val="198"/>
        </w:trPr>
        <w:tc>
          <w:tcPr>
            <w:tcW w:w="4780" w:type="dxa"/>
            <w:vAlign w:val="bottom"/>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32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25,441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25,489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25,362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40"/>
              <w:spacing w:after="0" w:line="173" w:lineRule="exact"/>
              <w:rPr>
                <w:sz w:val="20"/>
                <w:szCs w:val="20"/>
                <w:color w:val="auto"/>
              </w:rPr>
            </w:pPr>
            <w:r>
              <w:rPr>
                <w:rFonts w:ascii="Arial" w:cs="Arial" w:eastAsia="Arial" w:hAnsi="Arial"/>
                <w:sz w:val="17"/>
                <w:szCs w:val="17"/>
                <w:color w:val="auto"/>
              </w:rPr>
              <w:t>25,734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4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980" w:top="114" w:right="2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6"/>
                <w:szCs w:val="16"/>
                <w:color w:val="auto"/>
              </w:rPr>
            </w:pPr>
          </w:p>
        </w:tc>
        <w:tc>
          <w:tcPr>
            <w:tcW w:w="1540" w:type="dxa"/>
            <w:vAlign w:val="bottom"/>
          </w:tcPr>
          <w:p>
            <w:pPr>
              <w:jc w:val="right"/>
              <w:ind w:right="23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3"/>
        </w:trPr>
        <w:tc>
          <w:tcPr>
            <w:tcW w:w="6360" w:type="dxa"/>
            <w:vAlign w:val="bottom"/>
          </w:tcPr>
          <w:p>
            <w:pPr>
              <w:spacing w:after="0"/>
              <w:rPr>
                <w:sz w:val="20"/>
                <w:szCs w:val="20"/>
                <w:color w:val="auto"/>
              </w:rPr>
            </w:pPr>
            <w:r>
              <w:rPr>
                <w:rFonts w:ascii="Arial" w:cs="Arial" w:eastAsia="Arial" w:hAnsi="Arial"/>
                <w:sz w:val="16"/>
                <w:szCs w:val="16"/>
                <w:i w:val="1"/>
                <w:iCs w:val="1"/>
                <w:color w:val="auto"/>
              </w:rPr>
              <w:t>(amounts in thousands)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70"/>
        </w:trPr>
        <w:tc>
          <w:tcPr>
            <w:tcW w:w="636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ASSETS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124,597</w:t>
            </w:r>
          </w:p>
        </w:tc>
        <w:tc>
          <w:tcPr>
            <w:tcW w:w="16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193,221</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Short-term investments</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218,717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213,457</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789,590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648,020</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Inventories, net</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226,599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143,567</w:t>
            </w:r>
          </w:p>
        </w:tc>
        <w:tc>
          <w:tcPr>
            <w:tcW w:w="0" w:type="dxa"/>
            <w:vAlign w:val="bottom"/>
          </w:tcPr>
          <w:p>
            <w:pPr>
              <w:spacing w:after="0"/>
              <w:rPr>
                <w:sz w:val="1"/>
                <w:szCs w:val="1"/>
                <w:color w:val="auto"/>
              </w:rPr>
            </w:pPr>
          </w:p>
        </w:tc>
      </w:tr>
      <w:tr>
        <w:trPr>
          <w:trHeight w:val="211"/>
        </w:trPr>
        <w:tc>
          <w:tcPr>
            <w:tcW w:w="636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22,607</w:t>
            </w:r>
          </w:p>
        </w:tc>
        <w:tc>
          <w:tcPr>
            <w:tcW w:w="0" w:type="dxa"/>
            <w:vAlign w:val="bottom"/>
          </w:tcPr>
          <w:p>
            <w:pPr>
              <w:spacing w:after="0"/>
              <w:rPr>
                <w:sz w:val="1"/>
                <w:szCs w:val="1"/>
                <w:color w:val="auto"/>
              </w:rPr>
            </w:pPr>
          </w:p>
        </w:tc>
      </w:tr>
      <w:tr>
        <w:trPr>
          <w:trHeight w:val="170"/>
        </w:trPr>
        <w:tc>
          <w:tcPr>
            <w:tcW w:w="6360" w:type="dxa"/>
            <w:vAlign w:val="bottom"/>
          </w:tcPr>
          <w:p>
            <w:pPr>
              <w:ind w:left="420"/>
              <w:spacing w:after="0" w:line="170" w:lineRule="exact"/>
              <w:rPr>
                <w:sz w:val="20"/>
                <w:szCs w:val="20"/>
                <w:color w:val="auto"/>
              </w:rPr>
            </w:pPr>
            <w:r>
              <w:rPr>
                <w:rFonts w:ascii="Arial" w:cs="Arial" w:eastAsia="Arial" w:hAnsi="Arial"/>
                <w:sz w:val="17"/>
                <w:szCs w:val="17"/>
                <w:b w:val="1"/>
                <w:bCs w:val="1"/>
                <w:color w:val="auto"/>
              </w:rPr>
              <w:t>Total current assets</w:t>
            </w:r>
          </w:p>
        </w:tc>
        <w:tc>
          <w:tcPr>
            <w:tcW w:w="160" w:type="dxa"/>
            <w:vAlign w:val="bottom"/>
          </w:tcPr>
          <w:p>
            <w:pPr>
              <w:spacing w:after="0"/>
              <w:rPr>
                <w:sz w:val="14"/>
                <w:szCs w:val="14"/>
                <w:color w:val="auto"/>
              </w:rPr>
            </w:pPr>
          </w:p>
        </w:tc>
        <w:tc>
          <w:tcPr>
            <w:tcW w:w="1520" w:type="dxa"/>
            <w:vAlign w:val="bottom"/>
          </w:tcPr>
          <w:p>
            <w:pPr>
              <w:jc w:val="right"/>
              <w:spacing w:after="0" w:line="170" w:lineRule="exact"/>
              <w:rPr>
                <w:sz w:val="20"/>
                <w:szCs w:val="20"/>
                <w:color w:val="auto"/>
              </w:rPr>
            </w:pPr>
            <w:r>
              <w:rPr>
                <w:rFonts w:ascii="Arial" w:cs="Arial" w:eastAsia="Arial" w:hAnsi="Arial"/>
                <w:sz w:val="17"/>
                <w:szCs w:val="17"/>
                <w:color w:val="auto"/>
              </w:rPr>
              <w:t>1,383,221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line="170" w:lineRule="exact"/>
              <w:rPr>
                <w:sz w:val="20"/>
                <w:szCs w:val="20"/>
                <w:color w:val="auto"/>
              </w:rPr>
            </w:pPr>
            <w:r>
              <w:rPr>
                <w:rFonts w:ascii="Arial" w:cs="Arial" w:eastAsia="Arial" w:hAnsi="Arial"/>
                <w:sz w:val="17"/>
                <w:szCs w:val="17"/>
                <w:color w:val="auto"/>
              </w:rPr>
              <w:t>1,220,872</w:t>
            </w: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45,569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46,912</w:t>
            </w: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Right-of-use assets</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7,541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73,602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73,602</w:t>
            </w: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Intangibles, net</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450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989</w:t>
            </w:r>
          </w:p>
        </w:tc>
        <w:tc>
          <w:tcPr>
            <w:tcW w:w="0" w:type="dxa"/>
            <w:vAlign w:val="bottom"/>
          </w:tcPr>
          <w:p>
            <w:pPr>
              <w:spacing w:after="0"/>
              <w:rPr>
                <w:sz w:val="1"/>
                <w:szCs w:val="1"/>
                <w:color w:val="auto"/>
              </w:rPr>
            </w:pPr>
          </w:p>
        </w:tc>
      </w:tr>
      <w:tr>
        <w:trPr>
          <w:trHeight w:val="211"/>
        </w:trPr>
        <w:tc>
          <w:tcPr>
            <w:tcW w:w="636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6,981</w:t>
            </w:r>
          </w:p>
        </w:tc>
        <w:tc>
          <w:tcPr>
            <w:tcW w:w="0" w:type="dxa"/>
            <w:vAlign w:val="bottom"/>
          </w:tcPr>
          <w:p>
            <w:pPr>
              <w:spacing w:after="0"/>
              <w:rPr>
                <w:sz w:val="1"/>
                <w:szCs w:val="1"/>
                <w:color w:val="auto"/>
              </w:rPr>
            </w:pPr>
          </w:p>
        </w:tc>
      </w:tr>
      <w:tr>
        <w:trPr>
          <w:trHeight w:val="187"/>
        </w:trPr>
        <w:tc>
          <w:tcPr>
            <w:tcW w:w="6360" w:type="dxa"/>
            <w:vAlign w:val="bottom"/>
          </w:tcPr>
          <w:p>
            <w:pPr>
              <w:ind w:left="420"/>
              <w:spacing w:after="0" w:line="187" w:lineRule="exact"/>
              <w:rPr>
                <w:sz w:val="20"/>
                <w:szCs w:val="20"/>
                <w:color w:val="auto"/>
              </w:rPr>
            </w:pPr>
            <w:r>
              <w:rPr>
                <w:rFonts w:ascii="Arial" w:cs="Arial" w:eastAsia="Arial" w:hAnsi="Arial"/>
                <w:sz w:val="17"/>
                <w:szCs w:val="17"/>
                <w:b w:val="1"/>
                <w:bCs w:val="1"/>
                <w:color w:val="auto"/>
              </w:rPr>
              <w:t>Total Assets</w:t>
            </w:r>
          </w:p>
        </w:tc>
        <w:tc>
          <w:tcPr>
            <w:tcW w:w="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1,516,298</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1,350,925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413,156</w:t>
            </w:r>
          </w:p>
        </w:tc>
        <w:tc>
          <w:tcPr>
            <w:tcW w:w="16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338,202</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Accrued payroll</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36,800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30,939</w:t>
            </w:r>
          </w:p>
        </w:tc>
        <w:tc>
          <w:tcPr>
            <w:tcW w:w="0" w:type="dxa"/>
            <w:vAlign w:val="bottom"/>
          </w:tcPr>
          <w:p>
            <w:pPr>
              <w:spacing w:after="0"/>
              <w:rPr>
                <w:sz w:val="1"/>
                <w:szCs w:val="1"/>
                <w:color w:val="auto"/>
              </w:rPr>
            </w:pPr>
          </w:p>
        </w:tc>
      </w:tr>
      <w:tr>
        <w:trPr>
          <w:trHeight w:val="211"/>
        </w:trPr>
        <w:tc>
          <w:tcPr>
            <w:tcW w:w="6360" w:type="dxa"/>
            <w:vAlign w:val="bottom"/>
          </w:tcPr>
          <w:p>
            <w:pPr>
              <w:ind w:left="220"/>
              <w:spacing w:after="0"/>
              <w:rPr>
                <w:sz w:val="20"/>
                <w:szCs w:val="20"/>
                <w:color w:val="auto"/>
              </w:rPr>
            </w:pPr>
            <w:r>
              <w:rPr>
                <w:rFonts w:ascii="Arial" w:cs="Arial" w:eastAsia="Arial" w:hAnsi="Arial"/>
                <w:sz w:val="17"/>
                <w:szCs w:val="17"/>
                <w:color w:val="auto"/>
              </w:rPr>
              <w:t>Accrued expenses and other liabilities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58,240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51,251</w:t>
            </w:r>
          </w:p>
        </w:tc>
        <w:tc>
          <w:tcPr>
            <w:tcW w:w="0" w:type="dxa"/>
            <w:vAlign w:val="bottom"/>
          </w:tcPr>
          <w:p>
            <w:pPr>
              <w:spacing w:after="0"/>
              <w:rPr>
                <w:sz w:val="1"/>
                <w:szCs w:val="1"/>
                <w:color w:val="auto"/>
              </w:rPr>
            </w:pPr>
          </w:p>
        </w:tc>
      </w:tr>
      <w:tr>
        <w:trPr>
          <w:trHeight w:val="170"/>
        </w:trPr>
        <w:tc>
          <w:tcPr>
            <w:tcW w:w="6360" w:type="dxa"/>
            <w:vAlign w:val="bottom"/>
          </w:tcPr>
          <w:p>
            <w:pPr>
              <w:ind w:left="420"/>
              <w:spacing w:after="0" w:line="170" w:lineRule="exact"/>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4"/>
                <w:szCs w:val="14"/>
                <w:color w:val="auto"/>
              </w:rPr>
            </w:pPr>
          </w:p>
        </w:tc>
        <w:tc>
          <w:tcPr>
            <w:tcW w:w="1520" w:type="dxa"/>
            <w:vAlign w:val="bottom"/>
          </w:tcPr>
          <w:p>
            <w:pPr>
              <w:jc w:val="right"/>
              <w:spacing w:after="0" w:line="170" w:lineRule="exact"/>
              <w:rPr>
                <w:sz w:val="20"/>
                <w:szCs w:val="20"/>
                <w:color w:val="auto"/>
              </w:rPr>
            </w:pPr>
            <w:r>
              <w:rPr>
                <w:rFonts w:ascii="Arial" w:cs="Arial" w:eastAsia="Arial" w:hAnsi="Arial"/>
                <w:sz w:val="17"/>
                <w:szCs w:val="17"/>
                <w:color w:val="auto"/>
              </w:rPr>
              <w:t>508,196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line="170" w:lineRule="exact"/>
              <w:rPr>
                <w:sz w:val="20"/>
                <w:szCs w:val="20"/>
                <w:color w:val="auto"/>
              </w:rPr>
            </w:pPr>
            <w:r>
              <w:rPr>
                <w:rFonts w:ascii="Arial" w:cs="Arial" w:eastAsia="Arial" w:hAnsi="Arial"/>
                <w:sz w:val="17"/>
                <w:szCs w:val="17"/>
                <w:color w:val="auto"/>
              </w:rPr>
              <w:t>420,392</w:t>
            </w:r>
          </w:p>
        </w:tc>
        <w:tc>
          <w:tcPr>
            <w:tcW w:w="0" w:type="dxa"/>
            <w:vAlign w:val="bottom"/>
          </w:tcPr>
          <w:p>
            <w:pPr>
              <w:spacing w:after="0"/>
              <w:rPr>
                <w:sz w:val="1"/>
                <w:szCs w:val="1"/>
                <w:color w:val="auto"/>
              </w:rPr>
            </w:pPr>
          </w:p>
        </w:tc>
      </w:tr>
      <w:tr>
        <w:trPr>
          <w:trHeight w:val="194"/>
        </w:trPr>
        <w:tc>
          <w:tcPr>
            <w:tcW w:w="6360" w:type="dxa"/>
            <w:vAlign w:val="bottom"/>
          </w:tcPr>
          <w:p>
            <w:pPr>
              <w:ind w:left="100"/>
              <w:spacing w:after="0" w:line="194" w:lineRule="exact"/>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20,261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19,905</w:t>
            </w:r>
          </w:p>
        </w:tc>
        <w:tc>
          <w:tcPr>
            <w:tcW w:w="0" w:type="dxa"/>
            <w:vAlign w:val="bottom"/>
          </w:tcPr>
          <w:p>
            <w:pPr>
              <w:spacing w:after="0"/>
              <w:rPr>
                <w:sz w:val="1"/>
                <w:szCs w:val="1"/>
                <w:color w:val="auto"/>
              </w:rPr>
            </w:pPr>
          </w:p>
        </w:tc>
      </w:tr>
      <w:tr>
        <w:trPr>
          <w:trHeight w:val="211"/>
        </w:trPr>
        <w:tc>
          <w:tcPr>
            <w:tcW w:w="6360" w:type="dxa"/>
            <w:vAlign w:val="bottom"/>
          </w:tcPr>
          <w:p>
            <w:pPr>
              <w:ind w:left="100"/>
              <w:spacing w:after="0"/>
              <w:rPr>
                <w:sz w:val="20"/>
                <w:szCs w:val="20"/>
                <w:color w:val="auto"/>
              </w:rPr>
            </w:pPr>
            <w:r>
              <w:rPr>
                <w:rFonts w:ascii="Arial" w:cs="Arial" w:eastAsia="Arial" w:hAnsi="Arial"/>
                <w:sz w:val="17"/>
                <w:szCs w:val="17"/>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187"/>
        </w:trPr>
        <w:tc>
          <w:tcPr>
            <w:tcW w:w="6360" w:type="dxa"/>
            <w:vAlign w:val="bottom"/>
          </w:tcPr>
          <w:p>
            <w:pPr>
              <w:ind w:left="420"/>
              <w:spacing w:after="0" w:line="187"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535,169</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440,795</w:t>
            </w:r>
          </w:p>
        </w:tc>
        <w:tc>
          <w:tcPr>
            <w:tcW w:w="0" w:type="dxa"/>
            <w:vAlign w:val="bottom"/>
          </w:tcPr>
          <w:p>
            <w:pPr>
              <w:spacing w:after="0"/>
              <w:rPr>
                <w:sz w:val="1"/>
                <w:szCs w:val="1"/>
                <w:color w:val="auto"/>
              </w:rPr>
            </w:pPr>
          </w:p>
        </w:tc>
      </w:tr>
      <w:tr>
        <w:trPr>
          <w:trHeight w:val="170"/>
        </w:trPr>
        <w:tc>
          <w:tcPr>
            <w:tcW w:w="6360" w:type="dxa"/>
            <w:vAlign w:val="bottom"/>
          </w:tcPr>
          <w:p>
            <w:pPr>
              <w:ind w:left="100"/>
              <w:spacing w:after="0" w:line="170" w:lineRule="exact"/>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296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151,805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144,608</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Retained earnings</w:t>
            </w:r>
          </w:p>
        </w:tc>
        <w:tc>
          <w:tcPr>
            <w:tcW w:w="1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972,606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905,890</w:t>
            </w:r>
          </w:p>
        </w:tc>
        <w:tc>
          <w:tcPr>
            <w:tcW w:w="0" w:type="dxa"/>
            <w:vAlign w:val="bottom"/>
          </w:tcPr>
          <w:p>
            <w:pPr>
              <w:spacing w:after="0"/>
              <w:rPr>
                <w:sz w:val="1"/>
                <w:szCs w:val="1"/>
                <w:color w:val="auto"/>
              </w:rPr>
            </w:pPr>
          </w:p>
        </w:tc>
      </w:tr>
      <w:tr>
        <w:trPr>
          <w:trHeight w:val="194"/>
        </w:trPr>
        <w:tc>
          <w:tcPr>
            <w:tcW w:w="6360" w:type="dxa"/>
            <w:vAlign w:val="bottom"/>
          </w:tcPr>
          <w:p>
            <w:pPr>
              <w:ind w:left="220"/>
              <w:spacing w:after="0" w:line="194" w:lineRule="exact"/>
              <w:rPr>
                <w:sz w:val="20"/>
                <w:szCs w:val="20"/>
                <w:color w:val="auto"/>
              </w:rPr>
            </w:pPr>
            <w:r>
              <w:rPr>
                <w:rFonts w:ascii="Arial" w:cs="Arial" w:eastAsia="Arial" w:hAnsi="Arial"/>
                <w:sz w:val="17"/>
                <w:szCs w:val="17"/>
                <w:color w:val="auto"/>
              </w:rPr>
              <w:t>Accumulated other comprehensive (loss) income</w:t>
            </w:r>
          </w:p>
        </w:tc>
        <w:tc>
          <w:tcPr>
            <w:tcW w:w="160" w:type="dxa"/>
            <w:vAlign w:val="bottom"/>
          </w:tcPr>
          <w:p>
            <w:pPr>
              <w:spacing w:after="0"/>
              <w:rPr>
                <w:sz w:val="16"/>
                <w:szCs w:val="16"/>
                <w:color w:val="auto"/>
              </w:rPr>
            </w:pPr>
          </w:p>
        </w:tc>
        <w:tc>
          <w:tcPr>
            <w:tcW w:w="16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(414)</w:t>
            </w: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1"/>
        </w:trPr>
        <w:tc>
          <w:tcPr>
            <w:tcW w:w="6360" w:type="dxa"/>
            <w:vAlign w:val="bottom"/>
          </w:tcPr>
          <w:p>
            <w:pPr>
              <w:ind w:left="220"/>
              <w:spacing w:after="0"/>
              <w:rPr>
                <w:sz w:val="20"/>
                <w:szCs w:val="20"/>
                <w:color w:val="auto"/>
              </w:rPr>
            </w:pPr>
            <w:r>
              <w:rPr>
                <w:rFonts w:ascii="Arial" w:cs="Arial" w:eastAsia="Arial" w:hAnsi="Arial"/>
                <w:sz w:val="17"/>
                <w:szCs w:val="17"/>
                <w:color w:val="auto"/>
              </w:rPr>
              <w:t>Treasury stock, at cost</w:t>
            </w:r>
          </w:p>
        </w:tc>
        <w:tc>
          <w:tcPr>
            <w:tcW w:w="1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(143,164)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(140,741)</w:t>
            </w:r>
          </w:p>
        </w:tc>
        <w:tc>
          <w:tcPr>
            <w:tcW w:w="0" w:type="dxa"/>
            <w:vAlign w:val="bottom"/>
          </w:tcPr>
          <w:p>
            <w:pPr>
              <w:spacing w:after="0"/>
              <w:rPr>
                <w:sz w:val="1"/>
                <w:szCs w:val="1"/>
                <w:color w:val="auto"/>
              </w:rPr>
            </w:pPr>
          </w:p>
        </w:tc>
      </w:tr>
      <w:tr>
        <w:trPr>
          <w:trHeight w:val="187"/>
        </w:trPr>
        <w:tc>
          <w:tcPr>
            <w:tcW w:w="6360" w:type="dxa"/>
            <w:vAlign w:val="bottom"/>
          </w:tcPr>
          <w:p>
            <w:pPr>
              <w:ind w:left="420"/>
              <w:spacing w:after="0" w:line="187" w:lineRule="exact"/>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981,129</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910,130</w:t>
            </w:r>
          </w:p>
        </w:tc>
        <w:tc>
          <w:tcPr>
            <w:tcW w:w="0" w:type="dxa"/>
            <w:vAlign w:val="bottom"/>
          </w:tcPr>
          <w:p>
            <w:pPr>
              <w:spacing w:after="0"/>
              <w:rPr>
                <w:sz w:val="1"/>
                <w:szCs w:val="1"/>
                <w:color w:val="auto"/>
              </w:rPr>
            </w:pPr>
          </w:p>
        </w:tc>
      </w:tr>
      <w:tr>
        <w:trPr>
          <w:trHeight w:val="187"/>
        </w:trPr>
        <w:tc>
          <w:tcPr>
            <w:tcW w:w="6360" w:type="dxa"/>
            <w:vAlign w:val="bottom"/>
          </w:tcPr>
          <w:p>
            <w:pPr>
              <w:ind w:left="420"/>
              <w:spacing w:after="0" w:line="187" w:lineRule="exact"/>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1,516,298</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1,350,925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6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4" w:right="99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900" w:type="dxa"/>
            <w:vAlign w:val="bottom"/>
            <w:gridSpan w:val="6"/>
          </w:tcPr>
          <w:p>
            <w:pPr>
              <w:jc w:val="right"/>
              <w:ind w:right="1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4"/>
          </w:tcPr>
          <w:p>
            <w:pPr>
              <w:jc w:val="right"/>
              <w:ind w:right="9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3"/>
        </w:trPr>
        <w:tc>
          <w:tcPr>
            <w:tcW w:w="5900" w:type="dxa"/>
            <w:vAlign w:val="bottom"/>
            <w:vMerge w:val="restart"/>
          </w:tcPr>
          <w:p>
            <w:pPr>
              <w:spacing w:after="0"/>
              <w:rPr>
                <w:sz w:val="20"/>
                <w:szCs w:val="20"/>
                <w:color w:val="auto"/>
              </w:rPr>
            </w:pPr>
            <w:r>
              <w:rPr>
                <w:rFonts w:ascii="Arial" w:cs="Arial" w:eastAsia="Arial" w:hAnsi="Arial"/>
                <w:sz w:val="16"/>
                <w:szCs w:val="16"/>
                <w:i w:val="1"/>
                <w:iCs w:val="1"/>
                <w:color w:val="auto"/>
              </w:rPr>
              <w:t>(amounts in thousands)</w:t>
            </w:r>
          </w:p>
        </w:tc>
        <w:tc>
          <w:tcPr>
            <w:tcW w:w="140" w:type="dxa"/>
            <w:vAlign w:val="bottom"/>
          </w:tcPr>
          <w:p>
            <w:pPr>
              <w:spacing w:after="0"/>
              <w:rPr>
                <w:sz w:val="18"/>
                <w:szCs w:val="18"/>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rPr>
              <w:t>September 30,</w:t>
            </w:r>
          </w:p>
        </w:tc>
        <w:tc>
          <w:tcPr>
            <w:tcW w:w="300" w:type="dxa"/>
            <w:vAlign w:val="bottom"/>
            <w:gridSpan w:val="2"/>
            <w:vMerge w:val="continue"/>
          </w:tcPr>
          <w:p>
            <w:pPr>
              <w:spacing w:after="0"/>
              <w:rPr>
                <w:sz w:val="18"/>
                <w:szCs w:val="18"/>
                <w:color w:val="auto"/>
              </w:rPr>
            </w:pPr>
          </w:p>
        </w:tc>
        <w:tc>
          <w:tcPr>
            <w:tcW w:w="182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54"/>
              <w:spacing w:after="0" w:line="187" w:lineRule="exact"/>
              <w:rPr>
                <w:sz w:val="20"/>
                <w:szCs w:val="20"/>
                <w:color w:val="auto"/>
              </w:rPr>
            </w:pPr>
            <w:r>
              <w:rPr>
                <w:rFonts w:ascii="Arial" w:cs="Arial" w:eastAsia="Arial" w:hAnsi="Arial"/>
                <w:sz w:val="17"/>
                <w:szCs w:val="17"/>
                <w:b w:val="1"/>
                <w:bCs w:val="1"/>
                <w:color w:val="auto"/>
              </w:rPr>
              <w:t>2026</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74"/>
              <w:spacing w:after="0" w:line="187" w:lineRule="exact"/>
              <w:rPr>
                <w:sz w:val="20"/>
                <w:szCs w:val="20"/>
                <w:color w:val="auto"/>
              </w:rPr>
            </w:pPr>
            <w:r>
              <w:rPr>
                <w:rFonts w:ascii="Arial" w:cs="Arial" w:eastAsia="Arial" w:hAnsi="Arial"/>
                <w:sz w:val="17"/>
                <w:szCs w:val="17"/>
                <w:b w:val="1"/>
                <w:bCs w:val="1"/>
                <w:color w:val="auto"/>
              </w:rPr>
              <w:t>2025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94"/>
              <w:spacing w:after="0" w:line="187" w:lineRule="exact"/>
              <w:rPr>
                <w:sz w:val="20"/>
                <w:szCs w:val="20"/>
                <w:color w:val="auto"/>
              </w:rPr>
            </w:pPr>
            <w:r>
              <w:rPr>
                <w:rFonts w:ascii="Arial" w:cs="Arial" w:eastAsia="Arial" w:hAnsi="Arial"/>
                <w:sz w:val="17"/>
                <w:szCs w:val="17"/>
                <w:b w:val="1"/>
                <w:bCs w:val="1"/>
                <w:color w:val="auto"/>
              </w:rPr>
              <w:t>2026</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94"/>
              <w:spacing w:after="0" w:line="187" w:lineRule="exact"/>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70"/>
        </w:trPr>
        <w:tc>
          <w:tcPr>
            <w:tcW w:w="59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31,458</w:t>
            </w:r>
          </w:p>
        </w:tc>
        <w:tc>
          <w:tcPr>
            <w:tcW w:w="8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24,740</w:t>
            </w:r>
          </w:p>
        </w:tc>
        <w:tc>
          <w:tcPr>
            <w:tcW w:w="40" w:type="dxa"/>
            <w:vAlign w:val="bottom"/>
          </w:tcPr>
          <w:p>
            <w:pPr>
              <w:spacing w:after="0"/>
              <w:rPr>
                <w:sz w:val="16"/>
                <w:szCs w:val="16"/>
                <w:color w:val="auto"/>
              </w:rPr>
            </w:pP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81,849</w:t>
            </w:r>
          </w:p>
        </w:tc>
        <w:tc>
          <w:tcPr>
            <w:tcW w:w="6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63,010</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Adjustments to reconcile net income to net cash provided by (used in)</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operating activities: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2,640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2,888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8,173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8,853</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Adjustments to credit losses reserve</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1,414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175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3,210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1,233</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Stock-based compensation expense</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2,658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2,433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7,950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7,102</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3,185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487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3,185</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Amortization of discount on short-term investments, net</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(669)</w:t>
            </w: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60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(2,113)</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(1,612)</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Gain on sale of short-term investments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Loss on disposal of fixed assets</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149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Changes in assets and liabilities: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(64,181)</w:t>
            </w: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20,158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(144,780)</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(6,504)</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(21,504)</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(1,531)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(83,032)</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(39,964)</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(2,185)</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(712)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(1,111)</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(4,854)</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Other non-current assets</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426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(2,174)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1,066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(3,803)</w:t>
            </w:r>
          </w:p>
        </w:tc>
        <w:tc>
          <w:tcPr>
            <w:tcW w:w="0" w:type="dxa"/>
            <w:vAlign w:val="bottom"/>
          </w:tcPr>
          <w:p>
            <w:pPr>
              <w:spacing w:after="0"/>
              <w:rPr>
                <w:sz w:val="1"/>
                <w:szCs w:val="1"/>
                <w:color w:val="auto"/>
              </w:rPr>
            </w:pPr>
          </w:p>
        </w:tc>
      </w:tr>
      <w:tr>
        <w:trPr>
          <w:trHeight w:val="194"/>
        </w:trPr>
        <w:tc>
          <w:tcPr>
            <w:tcW w:w="5900" w:type="dxa"/>
            <w:vAlign w:val="bottom"/>
          </w:tcPr>
          <w:p>
            <w:pPr>
              <w:ind w:left="420"/>
              <w:spacing w:after="0" w:line="194" w:lineRule="exact"/>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35,177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8,537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74,505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11,905</w:t>
            </w:r>
          </w:p>
        </w:tc>
        <w:tc>
          <w:tcPr>
            <w:tcW w:w="0" w:type="dxa"/>
            <w:vAlign w:val="bottom"/>
          </w:tcPr>
          <w:p>
            <w:pPr>
              <w:spacing w:after="0"/>
              <w:rPr>
                <w:sz w:val="1"/>
                <w:szCs w:val="1"/>
                <w:color w:val="auto"/>
              </w:rPr>
            </w:pPr>
          </w:p>
        </w:tc>
      </w:tr>
      <w:tr>
        <w:trPr>
          <w:trHeight w:val="211"/>
        </w:trPr>
        <w:tc>
          <w:tcPr>
            <w:tcW w:w="5900" w:type="dxa"/>
            <w:vAlign w:val="bottom"/>
          </w:tcPr>
          <w:p>
            <w:pPr>
              <w:ind w:left="42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23,079</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13,828</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187"/>
        </w:trPr>
        <w:tc>
          <w:tcPr>
            <w:tcW w:w="5900" w:type="dxa"/>
            <w:vAlign w:val="bottom"/>
          </w:tcPr>
          <w:p>
            <w:pPr>
              <w:ind w:left="220"/>
              <w:spacing w:after="0" w:line="187" w:lineRule="exact"/>
              <w:rPr>
                <w:sz w:val="20"/>
                <w:szCs w:val="20"/>
                <w:color w:val="auto"/>
              </w:rPr>
            </w:pPr>
            <w:r>
              <w:rPr>
                <w:rFonts w:ascii="Arial" w:cs="Arial" w:eastAsia="Arial" w:hAnsi="Arial"/>
                <w:sz w:val="17"/>
                <w:szCs w:val="17"/>
                <w:color w:val="auto"/>
              </w:rPr>
              <w:t>Net cash provided by (used in) operating activities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9,723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64,149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(39,819)</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38,020</w:t>
            </w:r>
          </w:p>
        </w:tc>
        <w:tc>
          <w:tcPr>
            <w:tcW w:w="0" w:type="dxa"/>
            <w:vAlign w:val="bottom"/>
          </w:tcPr>
          <w:p>
            <w:pPr>
              <w:spacing w:after="0"/>
              <w:rPr>
                <w:sz w:val="1"/>
                <w:szCs w:val="1"/>
                <w:color w:val="auto"/>
              </w:rPr>
            </w:pPr>
          </w:p>
        </w:tc>
      </w:tr>
      <w:tr>
        <w:trPr>
          <w:trHeight w:val="170"/>
        </w:trPr>
        <w:tc>
          <w:tcPr>
            <w:tcW w:w="59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Cash Flows (used in) provided by Investing Activities: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Purchases of short-term investments</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(55,505)</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(103,216)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(161,155)</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(155,574)</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Proceeds from sale of short-term investments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108,763</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Maturities of short-term investments</w:t>
            </w:r>
          </w:p>
        </w:tc>
        <w:tc>
          <w:tcPr>
            <w:tcW w:w="14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54,169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51,328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157,385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101,328</w:t>
            </w:r>
          </w:p>
        </w:tc>
        <w:tc>
          <w:tcPr>
            <w:tcW w:w="0" w:type="dxa"/>
            <w:vAlign w:val="bottom"/>
          </w:tcPr>
          <w:p>
            <w:pPr>
              <w:spacing w:after="0"/>
              <w:rPr>
                <w:sz w:val="1"/>
                <w:szCs w:val="1"/>
                <w:color w:val="auto"/>
              </w:rPr>
            </w:pPr>
          </w:p>
        </w:tc>
      </w:tr>
      <w:tr>
        <w:trPr>
          <w:trHeight w:val="211"/>
        </w:trPr>
        <w:tc>
          <w:tcPr>
            <w:tcW w:w="5900" w:type="dxa"/>
            <w:vAlign w:val="bottom"/>
          </w:tcPr>
          <w:p>
            <w:pPr>
              <w:ind w:left="22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(2,076)</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(5,991)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(5,201)</w:t>
            </w:r>
          </w:p>
        </w:tc>
        <w:tc>
          <w:tcPr>
            <w:tcW w:w="0" w:type="dxa"/>
            <w:vAlign w:val="bottom"/>
          </w:tcPr>
          <w:p>
            <w:pPr>
              <w:spacing w:after="0"/>
              <w:rPr>
                <w:sz w:val="1"/>
                <w:szCs w:val="1"/>
                <w:color w:val="auto"/>
              </w:rPr>
            </w:pPr>
          </w:p>
        </w:tc>
      </w:tr>
      <w:tr>
        <w:trPr>
          <w:trHeight w:val="187"/>
        </w:trPr>
        <w:tc>
          <w:tcPr>
            <w:tcW w:w="5900" w:type="dxa"/>
            <w:vAlign w:val="bottom"/>
          </w:tcPr>
          <w:p>
            <w:pPr>
              <w:ind w:left="220"/>
              <w:spacing w:after="0" w:line="187" w:lineRule="exact"/>
              <w:rPr>
                <w:sz w:val="20"/>
                <w:szCs w:val="20"/>
                <w:color w:val="auto"/>
              </w:rPr>
            </w:pPr>
            <w:r>
              <w:rPr>
                <w:rFonts w:ascii="Arial" w:cs="Arial" w:eastAsia="Arial" w:hAnsi="Arial"/>
                <w:sz w:val="17"/>
                <w:szCs w:val="17"/>
                <w:color w:val="auto"/>
              </w:rPr>
              <w:t>Net cash (used in) provided by investing activities</w:t>
            </w: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(3,412)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(53,758)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(9,761)</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49,316</w:t>
            </w:r>
          </w:p>
        </w:tc>
        <w:tc>
          <w:tcPr>
            <w:tcW w:w="0" w:type="dxa"/>
            <w:vAlign w:val="bottom"/>
          </w:tcPr>
          <w:p>
            <w:pPr>
              <w:spacing w:after="0"/>
              <w:rPr>
                <w:sz w:val="1"/>
                <w:szCs w:val="1"/>
                <w:color w:val="auto"/>
              </w:rPr>
            </w:pPr>
          </w:p>
        </w:tc>
      </w:tr>
      <w:tr>
        <w:trPr>
          <w:trHeight w:val="170"/>
        </w:trPr>
        <w:tc>
          <w:tcPr>
            <w:tcW w:w="59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Cash Flows used in Financing Activities: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Proceeds from short-term borrowings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Repayment of short-term borrowings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Purchase of common stock for treasury shares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(5,066)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(2,481)</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(65,530)</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Payments for excise tax on purchase of common stock for treasury</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shares</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(678)</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Dividend payments</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(5,048)</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(3,799)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(15,133)</w:t>
            </w: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(11,519)</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Issuance of common stock under Employee Stock Purchase Plan</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602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Payment of payroll taxes on stock-based compensation through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00" w:type="dxa"/>
            <w:vAlign w:val="bottom"/>
          </w:tcPr>
          <w:p>
            <w:pPr>
              <w:ind w:left="220"/>
              <w:spacing w:after="0"/>
              <w:rPr>
                <w:sz w:val="20"/>
                <w:szCs w:val="20"/>
                <w:color w:val="auto"/>
              </w:rPr>
            </w:pPr>
            <w:r>
              <w:rPr>
                <w:rFonts w:ascii="Arial" w:cs="Arial" w:eastAsia="Arial" w:hAnsi="Arial"/>
                <w:sz w:val="17"/>
                <w:szCs w:val="17"/>
                <w:color w:val="auto"/>
              </w:rPr>
              <w:t>withheld</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(383)</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(1,354)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187"/>
        </w:trPr>
        <w:tc>
          <w:tcPr>
            <w:tcW w:w="5900" w:type="dxa"/>
            <w:vAlign w:val="bottom"/>
          </w:tcPr>
          <w:p>
            <w:pPr>
              <w:ind w:left="220"/>
              <w:spacing w:after="0" w:line="187" w:lineRule="exact"/>
              <w:rPr>
                <w:sz w:val="20"/>
                <w:szCs w:val="20"/>
                <w:color w:val="auto"/>
              </w:rPr>
            </w:pPr>
            <w:r>
              <w:rPr>
                <w:rFonts w:ascii="Arial" w:cs="Arial" w:eastAsia="Arial" w:hAnsi="Arial"/>
                <w:sz w:val="17"/>
                <w:szCs w:val="17"/>
                <w:color w:val="auto"/>
              </w:rPr>
              <w:t>Net cash used in financing activities</w:t>
            </w: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(5,431)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(9,290)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(19,044)</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(77,809)</w:t>
            </w:r>
          </w:p>
        </w:tc>
        <w:tc>
          <w:tcPr>
            <w:tcW w:w="0" w:type="dxa"/>
            <w:vAlign w:val="bottom"/>
          </w:tcPr>
          <w:p>
            <w:pPr>
              <w:spacing w:after="0"/>
              <w:rPr>
                <w:sz w:val="1"/>
                <w:szCs w:val="1"/>
                <w:color w:val="auto"/>
              </w:rPr>
            </w:pPr>
          </w:p>
        </w:tc>
      </w:tr>
      <w:tr>
        <w:trPr>
          <w:trHeight w:val="170"/>
        </w:trPr>
        <w:tc>
          <w:tcPr>
            <w:tcW w:w="5900" w:type="dxa"/>
            <w:vAlign w:val="bottom"/>
          </w:tcPr>
          <w:p>
            <w:pPr>
              <w:ind w:left="220"/>
              <w:spacing w:after="0" w:line="170" w:lineRule="exact"/>
              <w:rPr>
                <w:sz w:val="20"/>
                <w:szCs w:val="20"/>
                <w:color w:val="auto"/>
              </w:rPr>
            </w:pPr>
            <w:r>
              <w:rPr>
                <w:rFonts w:ascii="Arial" w:cs="Arial" w:eastAsia="Arial" w:hAnsi="Arial"/>
                <w:sz w:val="17"/>
                <w:szCs w:val="17"/>
                <w:color w:val="auto"/>
              </w:rPr>
              <w:t>Increase (decrease) in cash and cash equivalents</w:t>
            </w:r>
          </w:p>
        </w:tc>
        <w:tc>
          <w:tcPr>
            <w:tcW w:w="14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7"/>
                <w:szCs w:val="17"/>
                <w:color w:val="auto"/>
              </w:rPr>
              <w:t>880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7"/>
                <w:szCs w:val="17"/>
                <w:color w:val="auto"/>
              </w:rPr>
              <w:t>1,101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7"/>
                <w:szCs w:val="17"/>
                <w:color w:val="auto"/>
              </w:rPr>
              <w:t>(68,624)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7"/>
                <w:szCs w:val="17"/>
                <w:color w:val="auto"/>
              </w:rPr>
              <w:t>9,527</w:t>
            </w:r>
          </w:p>
        </w:tc>
        <w:tc>
          <w:tcPr>
            <w:tcW w:w="0" w:type="dxa"/>
            <w:vAlign w:val="bottom"/>
          </w:tcPr>
          <w:p>
            <w:pPr>
              <w:spacing w:after="0"/>
              <w:rPr>
                <w:sz w:val="1"/>
                <w:szCs w:val="1"/>
                <w:color w:val="auto"/>
              </w:rPr>
            </w:pPr>
          </w:p>
        </w:tc>
      </w:tr>
      <w:tr>
        <w:trPr>
          <w:trHeight w:val="211"/>
        </w:trPr>
        <w:tc>
          <w:tcPr>
            <w:tcW w:w="5900" w:type="dxa"/>
            <w:vAlign w:val="bottom"/>
          </w:tcPr>
          <w:p>
            <w:pPr>
              <w:ind w:left="220"/>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123,717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193,221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178,318</w:t>
            </w:r>
          </w:p>
        </w:tc>
        <w:tc>
          <w:tcPr>
            <w:tcW w:w="0" w:type="dxa"/>
            <w:vAlign w:val="bottom"/>
          </w:tcPr>
          <w:p>
            <w:pPr>
              <w:spacing w:after="0"/>
              <w:rPr>
                <w:sz w:val="1"/>
                <w:szCs w:val="1"/>
                <w:color w:val="auto"/>
              </w:rPr>
            </w:pPr>
          </w:p>
        </w:tc>
      </w:tr>
      <w:tr>
        <w:trPr>
          <w:trHeight w:val="187"/>
        </w:trPr>
        <w:tc>
          <w:tcPr>
            <w:tcW w:w="5900" w:type="dxa"/>
            <w:vAlign w:val="bottom"/>
          </w:tcPr>
          <w:p>
            <w:pPr>
              <w:ind w:left="220"/>
              <w:spacing w:after="0" w:line="187" w:lineRule="exact"/>
              <w:rPr>
                <w:sz w:val="20"/>
                <w:szCs w:val="20"/>
                <w:color w:val="auto"/>
              </w:rPr>
            </w:pPr>
            <w:r>
              <w:rPr>
                <w:rFonts w:ascii="Arial" w:cs="Arial" w:eastAsia="Arial" w:hAnsi="Arial"/>
                <w:sz w:val="17"/>
                <w:szCs w:val="17"/>
                <w:color w:val="auto"/>
              </w:rPr>
              <w:t>Cash and cash equivalents, end of period</w:t>
            </w:r>
          </w:p>
        </w:tc>
        <w:tc>
          <w:tcPr>
            <w:tcW w:w="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124,597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187,845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124,597</w:t>
            </w: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187,845</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Accrued purchases of property and equipment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534</w:t>
            </w:r>
          </w:p>
        </w:tc>
        <w:tc>
          <w:tcPr>
            <w:tcW w:w="8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866</w:t>
            </w:r>
          </w:p>
        </w:tc>
        <w:tc>
          <w:tcPr>
            <w:tcW w:w="40" w:type="dxa"/>
            <w:vAlign w:val="bottom"/>
          </w:tcPr>
          <w:p>
            <w:pPr>
              <w:spacing w:after="0"/>
              <w:rPr>
                <w:sz w:val="16"/>
                <w:szCs w:val="16"/>
                <w:color w:val="auto"/>
              </w:rPr>
            </w:pP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534</w:t>
            </w:r>
          </w:p>
        </w:tc>
        <w:tc>
          <w:tcPr>
            <w:tcW w:w="6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4"/>
        </w:trPr>
        <w:tc>
          <w:tcPr>
            <w:tcW w:w="5900" w:type="dxa"/>
            <w:vAlign w:val="bottom"/>
          </w:tcPr>
          <w:p>
            <w:pPr>
              <w:ind w:left="220"/>
              <w:spacing w:after="0" w:line="194" w:lineRule="exact"/>
              <w:rPr>
                <w:sz w:val="20"/>
                <w:szCs w:val="20"/>
                <w:color w:val="auto"/>
              </w:rPr>
            </w:pPr>
            <w:r>
              <w:rPr>
                <w:rFonts w:ascii="Arial" w:cs="Arial" w:eastAsia="Arial" w:hAnsi="Arial"/>
                <w:sz w:val="17"/>
                <w:szCs w:val="17"/>
                <w:color w:val="auto"/>
              </w:rPr>
              <w:t>Accrued purchase of treasury shares</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123</w:t>
            </w:r>
          </w:p>
        </w:tc>
        <w:tc>
          <w:tcPr>
            <w:tcW w:w="40" w:type="dxa"/>
            <w:vAlign w:val="bottom"/>
          </w:tcPr>
          <w:p>
            <w:pPr>
              <w:spacing w:after="0"/>
              <w:rPr>
                <w:sz w:val="16"/>
                <w:szCs w:val="16"/>
                <w:color w:val="auto"/>
              </w:rPr>
            </w:pPr>
          </w:p>
        </w:tc>
        <w:tc>
          <w:tcPr>
            <w:tcW w:w="3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6"/>
        </w:trPr>
        <w:tc>
          <w:tcPr>
            <w:tcW w:w="5900" w:type="dxa"/>
            <w:vAlign w:val="bottom"/>
          </w:tcPr>
          <w:p>
            <w:pPr>
              <w:ind w:left="220"/>
              <w:spacing w:after="0"/>
              <w:rPr>
                <w:sz w:val="20"/>
                <w:szCs w:val="20"/>
                <w:color w:val="auto"/>
              </w:rPr>
            </w:pPr>
            <w:r>
              <w:rPr>
                <w:rFonts w:ascii="Arial" w:cs="Arial" w:eastAsia="Arial" w:hAnsi="Arial"/>
                <w:sz w:val="17"/>
                <w:szCs w:val="17"/>
                <w:color w:val="auto"/>
              </w:rPr>
              <w:t>Accrued excise tax on treasury purchases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615</w:t>
            </w: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1414"/>
        </w:trPr>
        <w:tc>
          <w:tcPr>
            <w:tcW w:w="5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4" w:right="99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EBITDA AND ADJUSTED EBITDA</w:t>
      </w:r>
    </w:p>
    <w:p>
      <w:pPr>
        <w:spacing w:after="0" w:line="11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 reconciliation of EBITDA and Adjusted EBITDA to Net Income is detailed below. Adjusted EBITDA is defined as EBITDA (defined as earnings before interest, taxes, depreciation and amortization) adjusted for stock-based compensation, severance expenses and non-routine legal settlements. Both EBITDA and Adjusted EBITDA are considered non-GAAP financial measures. Generally, a non-GAAP financial measure is a numerical measure of a company’s performance, financial position, or cash flows that either includes or excludes amounts that are not normally included or excluded in the most directly comparable measure calculated and presented in accordance with GAAP. We believe that EBITDA and Adjusted EBITDA provide helpful information with respect to our operating performance including our ability to fund our future capital expenditures and working capital requirements. Adjusted EBITDA also provides helpful information as it is the primary measure used in certain financial covenants contained in our credit agreement. When analyzing our operating performance, investors should use EBITDA and Adjusted EBITDA in addition to, and not as alternatives for Net income or any other performance measure presented in accordance with GAAP. Our non-GAAP financial measures may not be comparable to other similarly titled measures of other companies.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500" w:type="dxa"/>
            <w:vAlign w:val="bottom"/>
            <w:vMerge w:val="restart"/>
          </w:tcPr>
          <w:p>
            <w:pPr>
              <w:spacing w:after="0"/>
              <w:rPr>
                <w:sz w:val="20"/>
                <w:szCs w:val="20"/>
                <w:color w:val="auto"/>
              </w:rPr>
            </w:pPr>
            <w:r>
              <w:rPr>
                <w:rFonts w:ascii="Arial" w:cs="Arial" w:eastAsia="Arial" w:hAnsi="Arial"/>
                <w:sz w:val="16"/>
                <w:szCs w:val="16"/>
                <w:i w:val="1"/>
                <w:iCs w:val="1"/>
                <w:color w:val="auto"/>
              </w:rPr>
              <w:t>(amounts in thousands)</w:t>
            </w:r>
          </w:p>
        </w:tc>
        <w:tc>
          <w:tcPr>
            <w:tcW w:w="3380" w:type="dxa"/>
            <w:vAlign w:val="bottom"/>
            <w:gridSpan w:val="8"/>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160" w:type="dxa"/>
            <w:vAlign w:val="bottom"/>
          </w:tcPr>
          <w:p>
            <w:pPr>
              <w:spacing w:after="0"/>
              <w:rPr>
                <w:sz w:val="24"/>
                <w:szCs w:val="24"/>
                <w:color w:val="auto"/>
              </w:rPr>
            </w:pPr>
          </w:p>
        </w:tc>
        <w:tc>
          <w:tcPr>
            <w:tcW w:w="2880" w:type="dxa"/>
            <w:vAlign w:val="bottom"/>
            <w:gridSpan w:val="6"/>
          </w:tcPr>
          <w:p>
            <w:pPr>
              <w:jc w:val="right"/>
              <w:ind w:right="274"/>
              <w:spacing w:after="0"/>
              <w:rPr>
                <w:sz w:val="20"/>
                <w:szCs w:val="20"/>
                <w:color w:val="auto"/>
              </w:rPr>
            </w:pPr>
            <w:r>
              <w:rPr>
                <w:rFonts w:ascii="Arial" w:cs="Arial" w:eastAsia="Arial" w:hAnsi="Arial"/>
                <w:sz w:val="17"/>
                <w:szCs w:val="17"/>
                <w:b w:val="1"/>
                <w:bCs w:val="1"/>
                <w:color w:val="auto"/>
              </w:rPr>
              <w:t xml:space="preserve">LTM Ended September 30,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87"/>
        </w:trPr>
        <w:tc>
          <w:tcPr>
            <w:tcW w:w="350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94"/>
              <w:spacing w:after="0" w:line="187" w:lineRule="exact"/>
              <w:rPr>
                <w:sz w:val="20"/>
                <w:szCs w:val="20"/>
                <w:color w:val="auto"/>
              </w:rPr>
            </w:pPr>
            <w:r>
              <w:rPr>
                <w:rFonts w:ascii="Arial" w:cs="Arial" w:eastAsia="Arial" w:hAnsi="Arial"/>
                <w:sz w:val="17"/>
                <w:szCs w:val="17"/>
                <w:b w:val="1"/>
                <w:bCs w:val="1"/>
                <w:color w:val="auto"/>
              </w:rPr>
              <w:t>2026</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14"/>
              <w:spacing w:after="0" w:line="187" w:lineRule="exact"/>
              <w:rPr>
                <w:sz w:val="20"/>
                <w:szCs w:val="20"/>
                <w:color w:val="auto"/>
              </w:rPr>
            </w:pPr>
            <w:r>
              <w:rPr>
                <w:rFonts w:ascii="Arial" w:cs="Arial" w:eastAsia="Arial" w:hAnsi="Arial"/>
                <w:sz w:val="17"/>
                <w:szCs w:val="17"/>
                <w:b w:val="1"/>
                <w:bCs w:val="1"/>
                <w:color w:val="auto"/>
              </w:rPr>
              <w:t>2025</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rPr>
              <w:t>% Change</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94"/>
              <w:spacing w:after="0" w:line="187" w:lineRule="exact"/>
              <w:rPr>
                <w:sz w:val="20"/>
                <w:szCs w:val="20"/>
                <w:color w:val="auto"/>
              </w:rPr>
            </w:pPr>
            <w:r>
              <w:rPr>
                <w:rFonts w:ascii="Arial" w:cs="Arial" w:eastAsia="Arial" w:hAnsi="Arial"/>
                <w:sz w:val="17"/>
                <w:szCs w:val="17"/>
                <w:b w:val="1"/>
                <w:bCs w:val="1"/>
                <w:color w:val="auto"/>
              </w:rPr>
              <w:t>2026</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94"/>
              <w:spacing w:after="0" w:line="187"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70"/>
        </w:trPr>
        <w:tc>
          <w:tcPr>
            <w:tcW w:w="35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Net income</w:t>
            </w:r>
          </w:p>
        </w:tc>
        <w:tc>
          <w:tcPr>
            <w:tcW w:w="18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31,458</w:t>
            </w:r>
          </w:p>
        </w:tc>
        <w:tc>
          <w:tcPr>
            <w:tcW w:w="120" w:type="dxa"/>
            <w:vAlign w:val="bottom"/>
          </w:tcPr>
          <w:p>
            <w:pPr>
              <w:spacing w:after="0"/>
              <w:rPr>
                <w:sz w:val="14"/>
                <w:szCs w:val="14"/>
                <w:color w:val="auto"/>
              </w:rPr>
            </w:pPr>
          </w:p>
        </w:tc>
        <w:tc>
          <w:tcPr>
            <w:tcW w:w="18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70" w:lineRule="exact"/>
              <w:rPr>
                <w:sz w:val="20"/>
                <w:szCs w:val="20"/>
                <w:color w:val="auto"/>
              </w:rPr>
            </w:pPr>
            <w:r>
              <w:rPr>
                <w:rFonts w:ascii="Arial" w:cs="Arial" w:eastAsia="Arial" w:hAnsi="Arial"/>
                <w:sz w:val="17"/>
                <w:szCs w:val="17"/>
                <w:color w:val="auto"/>
              </w:rPr>
              <w:t>24,740</w:t>
            </w:r>
          </w:p>
        </w:tc>
        <w:tc>
          <w:tcPr>
            <w:tcW w:w="12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27 %</w:t>
            </w:r>
          </w:p>
        </w:tc>
        <w:tc>
          <w:tcPr>
            <w:tcW w:w="240" w:type="dxa"/>
            <w:vAlign w:val="bottom"/>
          </w:tcPr>
          <w:p>
            <w:pPr>
              <w:spacing w:after="0"/>
              <w:rPr>
                <w:sz w:val="14"/>
                <w:szCs w:val="14"/>
                <w:color w:val="auto"/>
              </w:rPr>
            </w:pPr>
          </w:p>
        </w:tc>
        <w:tc>
          <w:tcPr>
            <w:tcW w:w="160" w:type="dxa"/>
            <w:vAlign w:val="bottom"/>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102,561</w:t>
            </w:r>
          </w:p>
        </w:tc>
        <w:tc>
          <w:tcPr>
            <w:tcW w:w="100" w:type="dxa"/>
            <w:vAlign w:val="bottom"/>
          </w:tcPr>
          <w:p>
            <w:pPr>
              <w:spacing w:after="0"/>
              <w:rPr>
                <w:sz w:val="14"/>
                <w:szCs w:val="14"/>
                <w:color w:val="auto"/>
              </w:rPr>
            </w:pPr>
          </w:p>
        </w:tc>
        <w:tc>
          <w:tcPr>
            <w:tcW w:w="16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83,731</w:t>
            </w:r>
          </w:p>
        </w:tc>
        <w:tc>
          <w:tcPr>
            <w:tcW w:w="10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194"/>
        </w:trPr>
        <w:tc>
          <w:tcPr>
            <w:tcW w:w="3500" w:type="dxa"/>
            <w:vAlign w:val="bottom"/>
          </w:tcPr>
          <w:p>
            <w:pPr>
              <w:ind w:left="220"/>
              <w:spacing w:after="0" w:line="194" w:lineRule="exact"/>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2,640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2,888</w:t>
            </w:r>
          </w:p>
        </w:tc>
        <w:tc>
          <w:tcPr>
            <w:tcW w:w="120" w:type="dxa"/>
            <w:vAlign w:val="bottom"/>
          </w:tcPr>
          <w:p>
            <w:pPr>
              <w:spacing w:after="0"/>
              <w:rPr>
                <w:sz w:val="16"/>
                <w:szCs w:val="16"/>
                <w:color w:val="auto"/>
              </w:rPr>
            </w:pPr>
          </w:p>
        </w:tc>
        <w:tc>
          <w:tcPr>
            <w:tcW w:w="100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11,023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12,019</w:t>
            </w:r>
          </w:p>
        </w:tc>
        <w:tc>
          <w:tcPr>
            <w:tcW w:w="100" w:type="dxa"/>
            <w:vAlign w:val="bottom"/>
          </w:tcPr>
          <w:p>
            <w:pPr>
              <w:spacing w:after="0"/>
              <w:rPr>
                <w:sz w:val="16"/>
                <w:szCs w:val="16"/>
                <w:color w:val="auto"/>
              </w:rPr>
            </w:pPr>
          </w:p>
        </w:tc>
        <w:tc>
          <w:tcPr>
            <w:tcW w:w="100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4"/>
        </w:trPr>
        <w:tc>
          <w:tcPr>
            <w:tcW w:w="3500" w:type="dxa"/>
            <w:vAlign w:val="bottom"/>
          </w:tcPr>
          <w:p>
            <w:pPr>
              <w:ind w:left="220"/>
              <w:spacing w:after="0" w:line="194" w:lineRule="exact"/>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11,989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9,215</w:t>
            </w:r>
          </w:p>
        </w:tc>
        <w:tc>
          <w:tcPr>
            <w:tcW w:w="120" w:type="dxa"/>
            <w:vAlign w:val="bottom"/>
          </w:tcPr>
          <w:p>
            <w:pPr>
              <w:spacing w:after="0"/>
              <w:rPr>
                <w:sz w:val="16"/>
                <w:szCs w:val="16"/>
                <w:color w:val="auto"/>
              </w:rPr>
            </w:pPr>
          </w:p>
        </w:tc>
        <w:tc>
          <w:tcPr>
            <w:tcW w:w="1000" w:type="dxa"/>
            <w:vAlign w:val="bottom"/>
          </w:tcPr>
          <w:p>
            <w:pPr>
              <w:jc w:val="right"/>
              <w:ind w:right="154"/>
              <w:spacing w:after="0" w:line="194" w:lineRule="exact"/>
              <w:rPr>
                <w:sz w:val="20"/>
                <w:szCs w:val="20"/>
                <w:color w:val="auto"/>
              </w:rPr>
            </w:pPr>
            <w:r>
              <w:rPr>
                <w:rFonts w:ascii="Arial" w:cs="Arial" w:eastAsia="Arial" w:hAnsi="Arial"/>
                <w:sz w:val="17"/>
                <w:szCs w:val="17"/>
                <w:color w:val="auto"/>
              </w:rPr>
              <w:t>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37,173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30,145</w:t>
            </w:r>
          </w:p>
        </w:tc>
        <w:tc>
          <w:tcPr>
            <w:tcW w:w="100" w:type="dxa"/>
            <w:vAlign w:val="bottom"/>
          </w:tcPr>
          <w:p>
            <w:pPr>
              <w:spacing w:after="0"/>
              <w:rPr>
                <w:sz w:val="16"/>
                <w:szCs w:val="16"/>
                <w:color w:val="auto"/>
              </w:rPr>
            </w:pPr>
          </w:p>
        </w:tc>
        <w:tc>
          <w:tcPr>
            <w:tcW w:w="10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94"/>
        </w:trPr>
        <w:tc>
          <w:tcPr>
            <w:tcW w:w="3500" w:type="dxa"/>
            <w:vAlign w:val="bottom"/>
          </w:tcPr>
          <w:p>
            <w:pPr>
              <w:ind w:left="220"/>
              <w:spacing w:after="0" w:line="194" w:lineRule="exact"/>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(2,515)</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(3,737)</w:t>
            </w:r>
          </w:p>
        </w:tc>
        <w:tc>
          <w:tcPr>
            <w:tcW w:w="100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(33)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(12,003)</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(15,638)</w:t>
            </w:r>
          </w:p>
        </w:tc>
        <w:tc>
          <w:tcPr>
            <w:tcW w:w="100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1"/>
        </w:trPr>
        <w:tc>
          <w:tcPr>
            <w:tcW w:w="350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70"/>
        </w:trPr>
        <w:tc>
          <w:tcPr>
            <w:tcW w:w="35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EBITDA</w:t>
            </w:r>
          </w:p>
        </w:tc>
        <w:tc>
          <w:tcPr>
            <w:tcW w:w="1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43,620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7"/>
                <w:szCs w:val="17"/>
                <w:color w:val="auto"/>
              </w:rPr>
              <w:t>33,154</w:t>
            </w:r>
          </w:p>
        </w:tc>
        <w:tc>
          <w:tcPr>
            <w:tcW w:w="120" w:type="dxa"/>
            <w:vAlign w:val="bottom"/>
          </w:tcPr>
          <w:p>
            <w:pPr>
              <w:spacing w:after="0"/>
              <w:rPr>
                <w:sz w:val="14"/>
                <w:szCs w:val="14"/>
                <w:color w:val="auto"/>
              </w:rPr>
            </w:pPr>
          </w:p>
        </w:tc>
        <w:tc>
          <w:tcPr>
            <w:tcW w:w="1000" w:type="dxa"/>
            <w:vAlign w:val="bottom"/>
          </w:tcPr>
          <w:p>
            <w:pPr>
              <w:jc w:val="right"/>
              <w:ind w:right="154"/>
              <w:spacing w:after="0" w:line="170" w:lineRule="exact"/>
              <w:rPr>
                <w:sz w:val="20"/>
                <w:szCs w:val="20"/>
                <w:color w:val="auto"/>
              </w:rPr>
            </w:pPr>
            <w:r>
              <w:rPr>
                <w:rFonts w:ascii="Arial" w:cs="Arial" w:eastAsia="Arial" w:hAnsi="Arial"/>
                <w:sz w:val="17"/>
                <w:szCs w:val="17"/>
                <w:color w:val="auto"/>
              </w:rPr>
              <w:t>32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138,836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7"/>
                <w:szCs w:val="17"/>
                <w:color w:val="auto"/>
              </w:rPr>
              <w:t>110,419</w:t>
            </w:r>
          </w:p>
        </w:tc>
        <w:tc>
          <w:tcPr>
            <w:tcW w:w="100" w:type="dxa"/>
            <w:vAlign w:val="bottom"/>
          </w:tcPr>
          <w:p>
            <w:pPr>
              <w:spacing w:after="0"/>
              <w:rPr>
                <w:sz w:val="14"/>
                <w:szCs w:val="14"/>
                <w:color w:val="auto"/>
              </w:rPr>
            </w:pPr>
          </w:p>
        </w:tc>
        <w:tc>
          <w:tcPr>
            <w:tcW w:w="1000" w:type="dxa"/>
            <w:vAlign w:val="bottom"/>
          </w:tcPr>
          <w:p>
            <w:pPr>
              <w:jc w:val="right"/>
              <w:ind w:right="174"/>
              <w:spacing w:after="0" w:line="170"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94"/>
        </w:trPr>
        <w:tc>
          <w:tcPr>
            <w:tcW w:w="3500" w:type="dxa"/>
            <w:vAlign w:val="bottom"/>
          </w:tcPr>
          <w:p>
            <w:pPr>
              <w:ind w:left="220"/>
              <w:spacing w:after="0" w:line="194" w:lineRule="exact"/>
              <w:rPr>
                <w:sz w:val="20"/>
                <w:szCs w:val="20"/>
                <w:color w:val="auto"/>
              </w:rPr>
            </w:pPr>
            <w:r>
              <w:rPr>
                <w:rFonts w:ascii="Arial" w:cs="Arial" w:eastAsia="Arial" w:hAnsi="Arial"/>
                <w:sz w:val="15"/>
                <w:szCs w:val="15"/>
                <w:color w:val="auto"/>
              </w:rPr>
              <w:t xml:space="preserve">Severance expenses </w:t>
            </w:r>
            <w:r>
              <w:rPr>
                <w:rFonts w:ascii="Arial" w:cs="Arial" w:eastAsia="Arial" w:hAnsi="Arial"/>
                <w:sz w:val="22"/>
                <w:szCs w:val="22"/>
                <w:color w:val="auto"/>
                <w:vertAlign w:val="superscript"/>
              </w:rPr>
              <w:t>(2)</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2,930</w:t>
            </w:r>
          </w:p>
        </w:tc>
        <w:tc>
          <w:tcPr>
            <w:tcW w:w="100" w:type="dxa"/>
            <w:vAlign w:val="bottom"/>
          </w:tcPr>
          <w:p>
            <w:pPr>
              <w:spacing w:after="0"/>
              <w:rPr>
                <w:sz w:val="16"/>
                <w:szCs w:val="16"/>
                <w:color w:val="auto"/>
              </w:rPr>
            </w:pPr>
          </w:p>
        </w:tc>
        <w:tc>
          <w:tcPr>
            <w:tcW w:w="1000" w:type="dxa"/>
            <w:vAlign w:val="bottom"/>
          </w:tcPr>
          <w:p>
            <w:pPr>
              <w:jc w:val="right"/>
              <w:ind w:right="174"/>
              <w:spacing w:after="0" w:line="194"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1"/>
        </w:trPr>
        <w:tc>
          <w:tcPr>
            <w:tcW w:w="350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2,433</w:t>
            </w:r>
          </w:p>
        </w:tc>
        <w:tc>
          <w:tcPr>
            <w:tcW w:w="120" w:type="dxa"/>
            <w:vAlign w:val="bottom"/>
          </w:tcPr>
          <w:p>
            <w:pPr>
              <w:spacing w:after="0"/>
              <w:rPr>
                <w:sz w:val="18"/>
                <w:szCs w:val="18"/>
                <w:color w:val="auto"/>
              </w:rPr>
            </w:pPr>
          </w:p>
        </w:tc>
        <w:tc>
          <w:tcPr>
            <w:tcW w:w="1000" w:type="dxa"/>
            <w:vAlign w:val="bottom"/>
          </w:tcPr>
          <w:p>
            <w:pPr>
              <w:jc w:val="right"/>
              <w:ind w:right="154"/>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9,381</w:t>
            </w:r>
          </w:p>
        </w:tc>
        <w:tc>
          <w:tcPr>
            <w:tcW w:w="100" w:type="dxa"/>
            <w:vAlign w:val="bottom"/>
          </w:tcPr>
          <w:p>
            <w:pPr>
              <w:spacing w:after="0"/>
              <w:rPr>
                <w:sz w:val="18"/>
                <w:szCs w:val="18"/>
                <w:color w:val="auto"/>
              </w:rPr>
            </w:pPr>
          </w:p>
        </w:tc>
        <w:tc>
          <w:tcPr>
            <w:tcW w:w="1000" w:type="dxa"/>
            <w:vAlign w:val="bottom"/>
          </w:tcPr>
          <w:p>
            <w:pPr>
              <w:jc w:val="right"/>
              <w:ind w:right="174"/>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7"/>
        </w:trPr>
        <w:tc>
          <w:tcPr>
            <w:tcW w:w="3500" w:type="dxa"/>
            <w:vAlign w:val="bottom"/>
          </w:tcPr>
          <w:p>
            <w:pPr>
              <w:ind w:left="100"/>
              <w:spacing w:after="0" w:line="187" w:lineRule="exact"/>
              <w:rPr>
                <w:sz w:val="20"/>
                <w:szCs w:val="20"/>
                <w:color w:val="auto"/>
              </w:rPr>
            </w:pPr>
            <w:r>
              <w:rPr>
                <w:rFonts w:ascii="Arial" w:cs="Arial" w:eastAsia="Arial" w:hAnsi="Arial"/>
                <w:sz w:val="17"/>
                <w:szCs w:val="17"/>
                <w:b w:val="1"/>
                <w:bCs w:val="1"/>
                <w:color w:val="auto"/>
              </w:rPr>
              <w:t>Adjusted EBITDA</w:t>
            </w: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46,278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35,587</w:t>
            </w:r>
          </w:p>
        </w:tc>
        <w:tc>
          <w:tcPr>
            <w:tcW w:w="120" w:type="dxa"/>
            <w:vAlign w:val="bottom"/>
          </w:tcPr>
          <w:p>
            <w:pPr>
              <w:spacing w:after="0"/>
              <w:rPr>
                <w:sz w:val="16"/>
                <w:szCs w:val="16"/>
                <w:color w:val="auto"/>
              </w:rPr>
            </w:pPr>
          </w:p>
        </w:tc>
        <w:tc>
          <w:tcPr>
            <w:tcW w:w="1000" w:type="dxa"/>
            <w:vAlign w:val="bottom"/>
          </w:tcPr>
          <w:p>
            <w:pPr>
              <w:jc w:val="right"/>
              <w:spacing w:after="0" w:line="187" w:lineRule="exact"/>
              <w:rPr>
                <w:sz w:val="20"/>
                <w:szCs w:val="20"/>
                <w:color w:val="auto"/>
              </w:rPr>
            </w:pPr>
            <w:r>
              <w:rPr>
                <w:rFonts w:ascii="Arial" w:cs="Arial" w:eastAsia="Arial" w:hAnsi="Arial"/>
                <w:sz w:val="17"/>
                <w:szCs w:val="17"/>
                <w:color w:val="auto"/>
              </w:rPr>
              <w:t>30 %</w:t>
            </w:r>
          </w:p>
        </w:tc>
        <w:tc>
          <w:tcPr>
            <w:tcW w:w="24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155,170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122,730</w:t>
            </w:r>
          </w:p>
        </w:tc>
        <w:tc>
          <w:tcPr>
            <w:tcW w:w="100" w:type="dxa"/>
            <w:vAlign w:val="bottom"/>
          </w:tcPr>
          <w:p>
            <w:pPr>
              <w:spacing w:after="0"/>
              <w:rPr>
                <w:sz w:val="16"/>
                <w:szCs w:val="16"/>
                <w:color w:val="auto"/>
              </w:rPr>
            </w:pPr>
          </w:p>
        </w:tc>
        <w:tc>
          <w:tcPr>
            <w:tcW w:w="1000" w:type="dxa"/>
            <w:vAlign w:val="bottom"/>
          </w:tcPr>
          <w:p>
            <w:pPr>
              <w:jc w:val="right"/>
              <w:spacing w:after="0" w:line="187" w:lineRule="exact"/>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LTM: Last twelve months</w:t>
      </w:r>
    </w:p>
    <w:p>
      <w:pPr>
        <w:spacing w:after="0" w:line="63" w:lineRule="exact"/>
        <w:rPr>
          <w:rFonts w:ascii="Arial" w:cs="Arial" w:eastAsia="Arial" w:hAnsi="Arial"/>
          <w:sz w:val="17"/>
          <w:szCs w:val="17"/>
          <w:color w:val="auto"/>
        </w:rPr>
      </w:pPr>
    </w:p>
    <w:p>
      <w:pPr>
        <w:ind w:left="320" w:right="120" w:hanging="316"/>
        <w:spacing w:after="0" w:line="275"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Severance expenses and other charges in 2026 consisted of voluntary retirement offering and internal restructuring activities and in 2025 consisted of internal restructuring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ADJUSTED NET INCOME AND ADJUSTED DILUTED EARNINGS PER SHARE</w:t>
      </w:r>
    </w:p>
    <w:p>
      <w:pPr>
        <w:spacing w:after="0" w:line="117"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 reconciliation of Adjusted Net Income to Net Income is detailed below. Adjusted Net Income is defined as Net Income plus severance expenses, net of tax plus or minus loss or income from non-routine legal settlements. A reconciliation of Adjusted Diluted Earnings per Share to Diluted Earnings per Share is detailed below. Adjusted Diluted Earnings per Share is defined as diluted earnings per share adjusted for severance expenses, net of tax. Adjusted Net Income and Adjusted Diluted Earnings Per Share are considered non-GAAP financial measures (see note above in EBITDA and Adjusted EBITDA for a description of non-GAAP financial measures). The Company believes that Adjusted Net Income and Adjusted Diluted Earnings per Share provide helpful information with respect to the Company's operating performance. When analyzing our operating performance, investors should use Adjusted Net Income and Adjusted Diluted Earnings per Share in addition to, and not as alternatives for Net income and Diluted Earnings per Share or any other performance measure presented in accordance with GAAP. Our non-GAAP financial measures may not be comparable to other similarly titled measures of other companies.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vMerge w:val="restart"/>
          </w:tcPr>
          <w:p>
            <w:pPr>
              <w:spacing w:after="0"/>
              <w:rPr>
                <w:sz w:val="20"/>
                <w:szCs w:val="20"/>
                <w:color w:val="auto"/>
              </w:rPr>
            </w:pPr>
            <w:r>
              <w:rPr>
                <w:rFonts w:ascii="Arial" w:cs="Arial" w:eastAsia="Arial" w:hAnsi="Arial"/>
                <w:sz w:val="16"/>
                <w:szCs w:val="16"/>
                <w:i w:val="1"/>
                <w:iCs w:val="1"/>
                <w:color w:val="auto"/>
              </w:rPr>
              <w:t>(amounts in thousands, except per share data)</w:t>
            </w:r>
          </w:p>
        </w:tc>
        <w:tc>
          <w:tcPr>
            <w:tcW w:w="3340" w:type="dxa"/>
            <w:vAlign w:val="bottom"/>
            <w:gridSpan w:val="8"/>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100" w:type="dxa"/>
            <w:vAlign w:val="bottom"/>
          </w:tcPr>
          <w:p>
            <w:pPr>
              <w:spacing w:after="0"/>
              <w:rPr>
                <w:sz w:val="18"/>
                <w:szCs w:val="18"/>
                <w:color w:val="auto"/>
              </w:rPr>
            </w:pPr>
          </w:p>
        </w:tc>
        <w:tc>
          <w:tcPr>
            <w:tcW w:w="2980" w:type="dxa"/>
            <w:vAlign w:val="bottom"/>
            <w:gridSpan w:val="6"/>
          </w:tcPr>
          <w:p>
            <w:pPr>
              <w:jc w:val="right"/>
              <w:ind w:right="74"/>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350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4"/>
              <w:spacing w:after="0" w:line="187" w:lineRule="exact"/>
              <w:rPr>
                <w:sz w:val="20"/>
                <w:szCs w:val="20"/>
                <w:color w:val="auto"/>
              </w:rPr>
            </w:pPr>
            <w:r>
              <w:rPr>
                <w:rFonts w:ascii="Arial" w:cs="Arial" w:eastAsia="Arial" w:hAnsi="Arial"/>
                <w:sz w:val="17"/>
                <w:szCs w:val="17"/>
                <w:b w:val="1"/>
                <w:bCs w:val="1"/>
                <w:color w:val="auto"/>
              </w:rPr>
              <w:t>2026</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4"/>
              <w:spacing w:after="0" w:line="187" w:lineRule="exact"/>
              <w:rPr>
                <w:sz w:val="20"/>
                <w:szCs w:val="20"/>
                <w:color w:val="auto"/>
              </w:rPr>
            </w:pPr>
            <w:r>
              <w:rPr>
                <w:rFonts w:ascii="Arial" w:cs="Arial" w:eastAsia="Arial" w:hAnsi="Arial"/>
                <w:sz w:val="17"/>
                <w:szCs w:val="17"/>
                <w:b w:val="1"/>
                <w:bCs w:val="1"/>
                <w:color w:val="auto"/>
              </w:rPr>
              <w:t>2025</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
              <w:spacing w:after="0" w:line="187" w:lineRule="exact"/>
              <w:rPr>
                <w:sz w:val="20"/>
                <w:szCs w:val="20"/>
                <w:color w:val="auto"/>
              </w:rPr>
            </w:pPr>
            <w:r>
              <w:rPr>
                <w:rFonts w:ascii="Arial" w:cs="Arial" w:eastAsia="Arial" w:hAnsi="Arial"/>
                <w:sz w:val="17"/>
                <w:szCs w:val="17"/>
                <w:b w:val="1"/>
                <w:bCs w:val="1"/>
                <w:color w:val="auto"/>
              </w:rPr>
              <w:t>% Change</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54"/>
              <w:spacing w:after="0" w:line="187" w:lineRule="exact"/>
              <w:rPr>
                <w:sz w:val="20"/>
                <w:szCs w:val="20"/>
                <w:color w:val="auto"/>
              </w:rPr>
            </w:pPr>
            <w:r>
              <w:rPr>
                <w:rFonts w:ascii="Arial" w:cs="Arial" w:eastAsia="Arial" w:hAnsi="Arial"/>
                <w:sz w:val="17"/>
                <w:szCs w:val="17"/>
                <w:b w:val="1"/>
                <w:bCs w:val="1"/>
                <w:color w:val="auto"/>
              </w:rPr>
              <w:t>2026</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4"/>
              <w:spacing w:after="0" w:line="187" w:lineRule="exact"/>
              <w:rPr>
                <w:sz w:val="20"/>
                <w:szCs w:val="20"/>
                <w:color w:val="auto"/>
              </w:rPr>
            </w:pPr>
            <w:r>
              <w:rPr>
                <w:rFonts w:ascii="Arial" w:cs="Arial" w:eastAsia="Arial" w:hAnsi="Arial"/>
                <w:sz w:val="17"/>
                <w:szCs w:val="17"/>
                <w:b w:val="1"/>
                <w:bCs w:val="1"/>
                <w:color w:val="auto"/>
              </w:rPr>
              <w:t>2025</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4"/>
              <w:spacing w:after="0" w:line="187"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70"/>
        </w:trPr>
        <w:tc>
          <w:tcPr>
            <w:tcW w:w="35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Net income</w:t>
            </w:r>
          </w:p>
        </w:tc>
        <w:tc>
          <w:tcPr>
            <w:tcW w:w="18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70" w:lineRule="exact"/>
              <w:rPr>
                <w:sz w:val="20"/>
                <w:szCs w:val="20"/>
                <w:color w:val="auto"/>
              </w:rPr>
            </w:pPr>
            <w:r>
              <w:rPr>
                <w:rFonts w:ascii="Arial" w:cs="Arial" w:eastAsia="Arial" w:hAnsi="Arial"/>
                <w:sz w:val="17"/>
                <w:szCs w:val="17"/>
                <w:color w:val="auto"/>
              </w:rPr>
              <w:t>31,458</w:t>
            </w:r>
          </w:p>
        </w:tc>
        <w:tc>
          <w:tcPr>
            <w:tcW w:w="140" w:type="dxa"/>
            <w:vAlign w:val="bottom"/>
          </w:tcPr>
          <w:p>
            <w:pPr>
              <w:spacing w:after="0"/>
              <w:rPr>
                <w:sz w:val="14"/>
                <w:szCs w:val="14"/>
                <w:color w:val="auto"/>
              </w:rPr>
            </w:pPr>
          </w:p>
        </w:tc>
        <w:tc>
          <w:tcPr>
            <w:tcW w:w="180" w:type="dxa"/>
            <w:vAlign w:val="bottom"/>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0" w:lineRule="exact"/>
              <w:rPr>
                <w:sz w:val="20"/>
                <w:szCs w:val="20"/>
                <w:color w:val="auto"/>
              </w:rPr>
            </w:pPr>
            <w:r>
              <w:rPr>
                <w:rFonts w:ascii="Arial" w:cs="Arial" w:eastAsia="Arial" w:hAnsi="Arial"/>
                <w:sz w:val="17"/>
                <w:szCs w:val="17"/>
                <w:color w:val="auto"/>
              </w:rPr>
              <w:t>24,740</w:t>
            </w:r>
          </w:p>
        </w:tc>
        <w:tc>
          <w:tcPr>
            <w:tcW w:w="14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27 %</w:t>
            </w:r>
          </w:p>
        </w:tc>
        <w:tc>
          <w:tcPr>
            <w:tcW w:w="200" w:type="dxa"/>
            <w:vAlign w:val="bottom"/>
          </w:tcPr>
          <w:p>
            <w:pPr>
              <w:spacing w:after="0"/>
              <w:rPr>
                <w:sz w:val="14"/>
                <w:szCs w:val="14"/>
                <w:color w:val="auto"/>
              </w:rPr>
            </w:pPr>
          </w:p>
        </w:tc>
        <w:tc>
          <w:tcPr>
            <w:tcW w:w="10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70" w:lineRule="exact"/>
              <w:rPr>
                <w:sz w:val="20"/>
                <w:szCs w:val="20"/>
                <w:color w:val="auto"/>
              </w:rPr>
            </w:pPr>
            <w:r>
              <w:rPr>
                <w:rFonts w:ascii="Arial" w:cs="Arial" w:eastAsia="Arial" w:hAnsi="Arial"/>
                <w:sz w:val="17"/>
                <w:szCs w:val="17"/>
                <w:color w:val="auto"/>
              </w:rPr>
              <w:t>81,849</w:t>
            </w:r>
          </w:p>
        </w:tc>
        <w:tc>
          <w:tcPr>
            <w:tcW w:w="120" w:type="dxa"/>
            <w:vAlign w:val="bottom"/>
          </w:tcPr>
          <w:p>
            <w:pPr>
              <w:spacing w:after="0"/>
              <w:rPr>
                <w:sz w:val="14"/>
                <w:szCs w:val="14"/>
                <w:color w:val="auto"/>
              </w:rPr>
            </w:pPr>
          </w:p>
        </w:tc>
        <w:tc>
          <w:tcPr>
            <w:tcW w:w="180" w:type="dxa"/>
            <w:vAlign w:val="bottom"/>
          </w:tcPr>
          <w:p>
            <w:pPr>
              <w:jc w:val="right"/>
              <w:spacing w:after="0" w:line="170" w:lineRule="exact"/>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line="170" w:lineRule="exact"/>
              <w:rPr>
                <w:sz w:val="20"/>
                <w:szCs w:val="20"/>
                <w:color w:val="auto"/>
              </w:rPr>
            </w:pPr>
            <w:r>
              <w:rPr>
                <w:rFonts w:ascii="Arial" w:cs="Arial" w:eastAsia="Arial" w:hAnsi="Arial"/>
                <w:sz w:val="17"/>
                <w:szCs w:val="17"/>
                <w:color w:val="auto"/>
              </w:rPr>
              <w:t>63,010</w:t>
            </w: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194"/>
        </w:trPr>
        <w:tc>
          <w:tcPr>
            <w:tcW w:w="3500" w:type="dxa"/>
            <w:vAlign w:val="bottom"/>
          </w:tcPr>
          <w:p>
            <w:pPr>
              <w:ind w:left="220"/>
              <w:spacing w:after="0" w:line="194" w:lineRule="exact"/>
              <w:rPr>
                <w:sz w:val="20"/>
                <w:szCs w:val="20"/>
                <w:color w:val="auto"/>
              </w:rPr>
            </w:pPr>
            <w:r>
              <w:rPr>
                <w:rFonts w:ascii="Arial" w:cs="Arial" w:eastAsia="Arial" w:hAnsi="Arial"/>
                <w:sz w:val="15"/>
                <w:szCs w:val="15"/>
                <w:color w:val="auto"/>
              </w:rPr>
              <w:t xml:space="preserve">Severance expenses </w:t>
            </w:r>
            <w:r>
              <w:rPr>
                <w:rFonts w:ascii="Arial" w:cs="Arial" w:eastAsia="Arial" w:hAnsi="Arial"/>
                <w:sz w:val="22"/>
                <w:szCs w:val="22"/>
                <w:color w:val="auto"/>
                <w:vertAlign w:val="superscript"/>
              </w:rPr>
              <w:t>(1)</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3,060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2,930</w:t>
            </w:r>
          </w:p>
        </w:tc>
        <w:tc>
          <w:tcPr>
            <w:tcW w:w="120" w:type="dxa"/>
            <w:vAlign w:val="bottom"/>
          </w:tcPr>
          <w:p>
            <w:pPr>
              <w:spacing w:after="0"/>
              <w:rPr>
                <w:sz w:val="16"/>
                <w:szCs w:val="16"/>
                <w:color w:val="auto"/>
              </w:rPr>
            </w:pPr>
          </w:p>
        </w:tc>
        <w:tc>
          <w:tcPr>
            <w:tcW w:w="106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3500" w:type="dxa"/>
            <w:vAlign w:val="bottom"/>
          </w:tcPr>
          <w:p>
            <w:pPr>
              <w:ind w:left="220"/>
              <w:spacing w:after="0"/>
              <w:rPr>
                <w:sz w:val="20"/>
                <w:szCs w:val="20"/>
                <w:color w:val="auto"/>
              </w:rPr>
            </w:pPr>
            <w:r>
              <w:rPr>
                <w:rFonts w:ascii="Arial" w:cs="Arial" w:eastAsia="Arial" w:hAnsi="Arial"/>
                <w:sz w:val="17"/>
                <w:szCs w:val="17"/>
                <w:color w:val="auto"/>
              </w:rPr>
              <w:t>Tax benefit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(835)</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(797)</w:t>
            </w:r>
          </w:p>
        </w:tc>
        <w:tc>
          <w:tcPr>
            <w:tcW w:w="1060" w:type="dxa"/>
            <w:vAlign w:val="bottom"/>
          </w:tcPr>
          <w:p>
            <w:pPr>
              <w:jc w:val="right"/>
              <w:ind w:right="19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0"/>
        </w:trPr>
        <w:tc>
          <w:tcPr>
            <w:tcW w:w="3500" w:type="dxa"/>
            <w:vAlign w:val="bottom"/>
          </w:tcPr>
          <w:p>
            <w:pPr>
              <w:ind w:left="100"/>
              <w:spacing w:after="0" w:line="170" w:lineRule="exact"/>
              <w:rPr>
                <w:sz w:val="20"/>
                <w:szCs w:val="20"/>
                <w:color w:val="auto"/>
              </w:rPr>
            </w:pPr>
            <w:r>
              <w:rPr>
                <w:rFonts w:ascii="Arial" w:cs="Arial" w:eastAsia="Arial" w:hAnsi="Arial"/>
                <w:sz w:val="17"/>
                <w:szCs w:val="17"/>
                <w:b w:val="1"/>
                <w:bCs w:val="1"/>
                <w:color w:val="auto"/>
              </w:rPr>
              <w:t>Adjusted Net Income</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31,458</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24,740</w:t>
            </w:r>
          </w:p>
        </w:tc>
        <w:tc>
          <w:tcPr>
            <w:tcW w:w="1200" w:type="dxa"/>
            <w:vAlign w:val="bottom"/>
            <w:gridSpan w:val="2"/>
          </w:tcPr>
          <w:p>
            <w:pPr>
              <w:jc w:val="right"/>
              <w:ind w:right="194"/>
              <w:spacing w:after="0" w:line="170" w:lineRule="exact"/>
              <w:rPr>
                <w:sz w:val="20"/>
                <w:szCs w:val="20"/>
                <w:color w:val="auto"/>
              </w:rPr>
            </w:pPr>
            <w:r>
              <w:rPr>
                <w:rFonts w:ascii="Arial" w:cs="Arial" w:eastAsia="Arial" w:hAnsi="Arial"/>
                <w:sz w:val="17"/>
                <w:szCs w:val="17"/>
                <w:color w:val="auto"/>
              </w:rPr>
              <w:t>27</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84,074</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65,143</w:t>
            </w:r>
          </w:p>
        </w:tc>
        <w:tc>
          <w:tcPr>
            <w:tcW w:w="120" w:type="dxa"/>
            <w:vAlign w:val="bottom"/>
          </w:tcPr>
          <w:p>
            <w:pPr>
              <w:spacing w:after="0"/>
              <w:rPr>
                <w:sz w:val="14"/>
                <w:szCs w:val="14"/>
                <w:color w:val="auto"/>
              </w:rPr>
            </w:pPr>
          </w:p>
        </w:tc>
        <w:tc>
          <w:tcPr>
            <w:tcW w:w="1060" w:type="dxa"/>
            <w:vAlign w:val="bottom"/>
          </w:tcPr>
          <w:p>
            <w:pPr>
              <w:jc w:val="right"/>
              <w:ind w:right="194"/>
              <w:spacing w:after="0" w:line="170"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1"/>
        </w:trPr>
        <w:tc>
          <w:tcPr>
            <w:tcW w:w="3500" w:type="dxa"/>
            <w:vAlign w:val="bottom"/>
          </w:tcPr>
          <w:p>
            <w:pPr>
              <w:ind w:left="220"/>
              <w:spacing w:after="0"/>
              <w:rPr>
                <w:sz w:val="20"/>
                <w:szCs w:val="20"/>
                <w:color w:val="auto"/>
              </w:rPr>
            </w:pPr>
            <w:r>
              <w:rPr>
                <w:rFonts w:ascii="Arial" w:cs="Arial" w:eastAsia="Arial" w:hAnsi="Arial"/>
                <w:sz w:val="17"/>
                <w:szCs w:val="17"/>
                <w:color w:val="auto"/>
              </w:rPr>
              <w:t>Diluted shares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25,441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25,362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25,734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500" w:type="dxa"/>
            <w:vAlign w:val="bottom"/>
          </w:tcPr>
          <w:p>
            <w:pPr>
              <w:ind w:left="100"/>
              <w:spacing w:after="0" w:line="187" w:lineRule="exact"/>
              <w:rPr>
                <w:sz w:val="20"/>
                <w:szCs w:val="20"/>
                <w:color w:val="auto"/>
              </w:rPr>
            </w:pPr>
            <w:r>
              <w:rPr>
                <w:rFonts w:ascii="Arial" w:cs="Arial" w:eastAsia="Arial" w:hAnsi="Arial"/>
                <w:sz w:val="17"/>
                <w:szCs w:val="17"/>
                <w:b w:val="1"/>
                <w:bCs w:val="1"/>
                <w:color w:val="auto"/>
              </w:rPr>
              <w:t>Diluted Earnings per Share</w:t>
            </w: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1.24</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0.97</w:t>
            </w:r>
          </w:p>
        </w:tc>
        <w:tc>
          <w:tcPr>
            <w:tcW w:w="120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28 %</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3.23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2.45</w:t>
            </w:r>
          </w:p>
        </w:tc>
        <w:tc>
          <w:tcPr>
            <w:tcW w:w="120" w:type="dxa"/>
            <w:vAlign w:val="bottom"/>
          </w:tcPr>
          <w:p>
            <w:pPr>
              <w:spacing w:after="0"/>
              <w:rPr>
                <w:sz w:val="16"/>
                <w:szCs w:val="16"/>
                <w:color w:val="auto"/>
              </w:rPr>
            </w:pPr>
          </w:p>
        </w:tc>
        <w:tc>
          <w:tcPr>
            <w:tcW w:w="1060" w:type="dxa"/>
            <w:vAlign w:val="bottom"/>
          </w:tcPr>
          <w:p>
            <w:pPr>
              <w:jc w:val="right"/>
              <w:spacing w:after="0" w:line="187" w:lineRule="exact"/>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Adjusted Diluted Earnings per Share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color w:val="auto"/>
              </w:rPr>
              <w:t>28 %</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line="20" w:lineRule="exact"/>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1.24</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0.97</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3.31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2.53</w:t>
            </w: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320" w:right="120" w:hanging="316"/>
        <w:spacing w:after="0" w:line="275"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Severance expenses and other charges in 2026 consisted of voluntary retirement offering and internal restructuring activities and in 2025 consisted of internal 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300990</wp:posOffset>
            </wp:positionV>
            <wp:extent cx="63004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2026-10-28T15:08:03Z</dcterms:created>
  <dcterms:modified xsi:type="dcterms:W3CDTF">2026-10-28T15:08:03Z</dcterms:modified>
</cp:coreProperties>
</file>