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4" w:lineRule="exact"/>
        <w:rPr>
          <w:sz w:val="24"/>
          <w:szCs w:val="24"/>
          <w:color w:val="auto"/>
        </w:rPr>
      </w:pPr>
    </w:p>
    <w:p>
      <w:pPr>
        <w:ind w:left="1520" w:hanging="491"/>
        <w:spacing w:after="0"/>
        <w:tabs>
          <w:tab w:leader="none" w:pos="1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1" w:lineRule="exact"/>
        <w:rPr>
          <w:sz w:val="24"/>
          <w:szCs w:val="24"/>
          <w:color w:val="auto"/>
        </w:rPr>
      </w:pPr>
    </w:p>
    <w:p>
      <w:pPr>
        <w:ind w:left="1540" w:hanging="480"/>
        <w:spacing w:after="0"/>
        <w:tabs>
          <w:tab w:leader="none" w:pos="15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7" w:lineRule="exact"/>
        <w:rPr>
          <w:sz w:val="24"/>
          <w:szCs w:val="24"/>
          <w:color w:val="auto"/>
        </w:rPr>
      </w:pPr>
    </w:p>
    <w:p>
      <w:pPr>
        <w:ind w:left="280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0-23827</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PC CONNECTION,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02-0513618</w:t>
            </w:r>
          </w:p>
        </w:tc>
      </w:tr>
      <w:tr>
        <w:trPr>
          <w:trHeight w:val="216"/>
        </w:trPr>
        <w:tc>
          <w:tcPr>
            <w:tcW w:w="3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520" w:type="dxa"/>
            <w:vAlign w:val="bottom"/>
          </w:tcPr>
          <w:p>
            <w:pPr>
              <w:spacing w:after="0"/>
              <w:rPr>
                <w:sz w:val="20"/>
                <w:szCs w:val="20"/>
                <w:color w:val="auto"/>
              </w:rPr>
            </w:pPr>
          </w:p>
        </w:tc>
      </w:tr>
      <w:tr>
        <w:trPr>
          <w:trHeight w:val="302"/>
        </w:trPr>
        <w:tc>
          <w:tcPr>
            <w:tcW w:w="3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730 Milford Road</w:t>
            </w:r>
          </w:p>
        </w:tc>
        <w:tc>
          <w:tcPr>
            <w:tcW w:w="4520" w:type="dxa"/>
            <w:vAlign w:val="bottom"/>
          </w:tcPr>
          <w:p>
            <w:pPr>
              <w:spacing w:after="0"/>
              <w:rPr>
                <w:sz w:val="24"/>
                <w:szCs w:val="24"/>
                <w:color w:val="auto"/>
              </w:rPr>
            </w:pPr>
          </w:p>
        </w:tc>
      </w:tr>
      <w:tr>
        <w:trPr>
          <w:trHeight w:val="220"/>
        </w:trPr>
        <w:tc>
          <w:tcPr>
            <w:tcW w:w="3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Merrimack, New Hampshire</w:t>
            </w:r>
          </w:p>
        </w:tc>
        <w:tc>
          <w:tcPr>
            <w:tcW w:w="45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03054</w:t>
            </w:r>
          </w:p>
        </w:tc>
      </w:tr>
      <w:tr>
        <w:trPr>
          <w:trHeight w:val="234"/>
        </w:trPr>
        <w:tc>
          <w:tcPr>
            <w:tcW w:w="3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5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(Zip Code)</w:t>
            </w:r>
          </w:p>
        </w:tc>
      </w:tr>
      <w:tr>
        <w:trPr>
          <w:trHeight w:val="324"/>
        </w:trPr>
        <w:tc>
          <w:tcPr>
            <w:tcW w:w="3140" w:type="dxa"/>
            <w:vAlign w:val="bottom"/>
          </w:tcPr>
          <w:p>
            <w:pPr>
              <w:spacing w:after="0"/>
              <w:rPr>
                <w:sz w:val="24"/>
                <w:szCs w:val="24"/>
                <w:color w:val="auto"/>
              </w:rPr>
            </w:pPr>
          </w:p>
        </w:tc>
        <w:tc>
          <w:tcPr>
            <w:tcW w:w="4520" w:type="dxa"/>
            <w:vAlign w:val="bottom"/>
          </w:tcPr>
          <w:p>
            <w:pPr>
              <w:jc w:val="right"/>
              <w:ind w:right="3030"/>
              <w:spacing w:after="0"/>
              <w:rPr>
                <w:sz w:val="20"/>
                <w:szCs w:val="20"/>
                <w:color w:val="auto"/>
              </w:rPr>
            </w:pPr>
            <w:r>
              <w:rPr>
                <w:rFonts w:ascii="Times New Roman" w:cs="Times New Roman" w:eastAsia="Times New Roman" w:hAnsi="Times New Roman"/>
                <w:sz w:val="18"/>
                <w:szCs w:val="18"/>
                <w:b w:val="1"/>
                <w:bCs w:val="1"/>
                <w:color w:val="auto"/>
              </w:rPr>
              <w:t>(603) 683-2000</w:t>
            </w:r>
          </w:p>
        </w:tc>
      </w:tr>
    </w:tbl>
    <w:p>
      <w:pPr>
        <w:jc w:val="center"/>
        <w:ind w:right="-1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108585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CNXN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63"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20"/>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20"/>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2" w:lineRule="exact"/>
        <w:rPr>
          <w:sz w:val="24"/>
          <w:szCs w:val="24"/>
          <w:color w:val="auto"/>
        </w:rPr>
      </w:pPr>
    </w:p>
    <w:p>
      <w:pPr>
        <w:ind w:left="20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2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2" w:lineRule="exact"/>
        <w:rPr>
          <w:sz w:val="24"/>
          <w:szCs w:val="24"/>
          <w:color w:val="auto"/>
        </w:rPr>
      </w:pPr>
    </w:p>
    <w:p>
      <w:pPr>
        <w:sectPr>
          <w:pgSz w:w="11900" w:h="16838" w:orient="portrait"/>
          <w:cols w:equalWidth="0" w:num="2">
            <w:col w:w="4660" w:space="720"/>
            <w:col w:w="4560"/>
          </w:cols>
          <w:pgMar w:left="980" w:top="661" w:right="979" w:bottom="1440" w:gutter="0" w:footer="0" w:header="0"/>
          <w:type w:val="continuous"/>
        </w:sectPr>
      </w:pPr>
    </w:p>
    <w:p>
      <w:pPr>
        <w:ind w:right="70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49" w:lineRule="exact"/>
        <w:rPr>
          <w:sz w:val="24"/>
          <w:szCs w:val="24"/>
          <w:color w:val="auto"/>
        </w:rPr>
      </w:pPr>
    </w:p>
    <w:p>
      <w:pPr>
        <w:ind w:left="4380"/>
        <w:spacing w:after="0" w:line="207" w:lineRule="exact"/>
        <w:tabs>
          <w:tab w:leader="none" w:pos="50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as of October 22, 2025 was 25,245,224.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1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40" w:type="dxa"/>
            <w:vAlign w:val="bottom"/>
            <w:gridSpan w:val="1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PC CONNECTION, INC. AND SUBSIDIARIES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40" w:type="dxa"/>
            <w:vAlign w:val="bottom"/>
            <w:gridSpan w:val="10"/>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40" w:type="dxa"/>
            <w:vAlign w:val="bottom"/>
            <w:gridSpan w:val="10"/>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81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120" w:type="dxa"/>
            <w:vAlign w:val="bottom"/>
            <w:gridSpan w:val="17"/>
            <w:vMerge w:val="continue"/>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Sheets–September 30, 2025 and December 31, 2024</w:t>
            </w:r>
          </w:p>
        </w:tc>
        <w:tc>
          <w:tcPr>
            <w:tcW w:w="1880" w:type="dxa"/>
            <w:vAlign w:val="bottom"/>
            <w:gridSpan w:val="5"/>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Income–Three and Nine Months Ended September 30, 2025 and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3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Other Comprehensive Income–Three and Nine Months Ended</w:t>
            </w:r>
          </w:p>
        </w:tc>
        <w:tc>
          <w:tcPr>
            <w:tcW w:w="760" w:type="dxa"/>
            <w:vAlign w:val="bottom"/>
            <w:gridSpan w:val="3"/>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2025 and 2024</w:t>
            </w:r>
          </w:p>
        </w:tc>
        <w:tc>
          <w:tcPr>
            <w:tcW w:w="596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Equity–Three and Nine Months Ended September</w:t>
            </w:r>
          </w:p>
        </w:tc>
        <w:tc>
          <w:tcPr>
            <w:tcW w:w="5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30, 2025 and 2024</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Flows–Three and Nine Months Ended September 30, 2025</w:t>
            </w:r>
          </w:p>
        </w:tc>
        <w:tc>
          <w:tcPr>
            <w:tcW w:w="600" w:type="dxa"/>
            <w:vAlign w:val="bottom"/>
            <w:gridSpan w:val="2"/>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2024</w:t>
            </w:r>
          </w:p>
        </w:tc>
        <w:tc>
          <w:tcPr>
            <w:tcW w:w="744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3320" w:type="dxa"/>
            <w:vAlign w:val="bottom"/>
            <w:gridSpan w:val="7"/>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4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12"/>
        </w:trPr>
        <w:tc>
          <w:tcPr>
            <w:tcW w:w="10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r>
              <w:rPr>
                <w:rFonts w:ascii="Times New Roman" w:cs="Times New Roman" w:eastAsia="Times New Roman" w:hAnsi="Times New Roman"/>
                <w:sz w:val="18"/>
                <w:szCs w:val="18"/>
                <w:color w:val="000000"/>
              </w:rPr>
              <w:t>.</w:t>
            </w:r>
          </w:p>
        </w:tc>
        <w:tc>
          <w:tcPr>
            <w:tcW w:w="6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p>
        </w:tc>
        <w:tc>
          <w:tcPr>
            <w:tcW w:w="6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280" w:type="dxa"/>
            <w:vAlign w:val="bottom"/>
          </w:tcPr>
          <w:p>
            <w:pPr>
              <w:spacing w:after="0"/>
              <w:rPr>
                <w:sz w:val="24"/>
                <w:szCs w:val="24"/>
                <w:color w:val="auto"/>
              </w:rPr>
            </w:pPr>
          </w:p>
        </w:tc>
        <w:tc>
          <w:tcPr>
            <w:tcW w:w="6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6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r>
              <w:rPr>
                <w:rFonts w:ascii="Times New Roman" w:cs="Times New Roman" w:eastAsia="Times New Roman" w:hAnsi="Times New Roman"/>
                <w:sz w:val="18"/>
                <w:szCs w:val="18"/>
                <w:color w:val="000000"/>
              </w:rPr>
              <w:t>.</w:t>
            </w:r>
          </w:p>
        </w:tc>
        <w:tc>
          <w:tcPr>
            <w:tcW w:w="6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7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1256"/>
        </w:trPr>
        <w:tc>
          <w:tcPr>
            <w:tcW w:w="10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72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178,318</w:t>
            </w: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264,295</w:t>
            </w: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611,433</w:t>
            </w: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95,054</w:t>
            </w: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0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1,166,850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50"/>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1,305,520</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1,299,354</w:t>
            </w:r>
          </w:p>
        </w:tc>
      </w:tr>
      <w:tr>
        <w:trPr>
          <w:trHeight w:val="196"/>
        </w:trPr>
        <w:tc>
          <w:tcPr>
            <w:tcW w:w="6720" w:type="dxa"/>
            <w:vAlign w:val="bottom"/>
            <w:shd w:val="clear" w:color="auto" w:fill="CCEEFF"/>
          </w:tcPr>
          <w:p>
            <w:pPr>
              <w:ind w:left="18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300,242</w:t>
            </w: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payroll</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w:t>
            </w: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47,633</w:t>
            </w:r>
          </w:p>
        </w:tc>
      </w:tr>
      <w:tr>
        <w:trPr>
          <w:trHeight w:val="210"/>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09"/>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402,778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388,364</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137,036</w:t>
            </w: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837,466</w:t>
            </w: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(130,008)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10"/>
        </w:trPr>
        <w:tc>
          <w:tcPr>
            <w:tcW w:w="6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902,742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910,990</w:t>
            </w:r>
          </w:p>
        </w:tc>
      </w:tr>
      <w:tr>
        <w:trPr>
          <w:trHeight w:val="20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1,305,520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1,299,354</w:t>
            </w: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6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860" w:type="dxa"/>
            <w:vAlign w:val="bottom"/>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2,169,807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570,423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1,766,085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1,703,201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98</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97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computation of earnings per common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25,489</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26,501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25,734</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8"/>
        </w:trPr>
        <w:tc>
          <w:tcPr>
            <w:tcW w:w="63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gains (losses) on available-for-sale investments, net of tax of $(36)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$24 for the three and nine months ended September 30, 2025, respectively,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net of tax of $(154) and $(105) for the three and nine months ended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4"/>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2024, respectively</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66,770</w:t>
            </w:r>
          </w:p>
        </w:tc>
      </w:tr>
      <w:tr>
        <w:trPr>
          <w:trHeight w:val="20"/>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1700" w:right="1700" w:firstLine="1720"/>
        <w:spacing w:after="0" w:line="278" w:lineRule="auto"/>
        <w:rPr>
          <w:sz w:val="20"/>
          <w:szCs w:val="20"/>
          <w:color w:val="auto"/>
        </w:rPr>
      </w:pPr>
      <w:r>
        <w:rPr>
          <w:rFonts w:ascii="Times New Roman" w:cs="Times New Roman" w:eastAsia="Times New Roman" w:hAnsi="Times New Roman"/>
          <w:sz w:val="17"/>
          <w:szCs w:val="17"/>
          <w:b w:val="1"/>
          <w:bCs w:val="1"/>
          <w:color w:val="auto"/>
        </w:rPr>
        <w:t>PC CONNECTION, INC. AND SUBSIDIARIES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220" w:type="dxa"/>
            <w:vAlign w:val="bottom"/>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2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2025</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141,406</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$ 868,016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(4,042)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(124,843)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884,820</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($0.15 per share)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24,740</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 of tax</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2025</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143,413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$ 888,957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902,742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220" w:type="dxa"/>
            <w:vAlign w:val="bottom"/>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2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29,294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134,967</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$ 794,942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(55,171)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874,928</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($0.10 per share)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27,059</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 of tax</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2024</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29,310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136,326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$ 819,372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(59,106)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897,362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220" w:type="dxa"/>
            <w:vAlign w:val="bottom"/>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60" w:type="dxa"/>
            <w:vAlign w:val="bottom"/>
            <w:gridSpan w:val="5"/>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6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2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29,390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137,036</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$ 837,466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(63,980)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910,990</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7,102</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(66,028)</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($0.15 per share)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(11,519)</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63,010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2025</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29,451</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143,413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$ 888,957</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(130,008)</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902,742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220" w:type="dxa"/>
            <w:vAlign w:val="bottom"/>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60" w:type="dxa"/>
            <w:vAlign w:val="bottom"/>
            <w:gridSpan w:val="5"/>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6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2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2023</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29,262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130,878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$ 760,898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(51,383)</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840,767</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6,196</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6,196</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w:t>
            </w: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($0.10 per share)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(7,900)</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66,374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66,374</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 of tax</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2024</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29,310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136,326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$ 819,372</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477</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(3,021)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(59,106)</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897,362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33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Adjustments to credit losses reserve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discount on short-term investments, net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Gain on sale of short-term investments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(39,964)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(155,574)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common stock for treasury shares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(65,530)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for excise tax on treasury purchases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payments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payroll taxes on stock-based compensation through shares withheld</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187,845</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purchase of treasury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excise tax on treasury purchases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9920"/>
          </w:cols>
          <w:pgMar w:left="980" w:top="513" w:right="99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PC Connection, Inc. and its subsidiaries, or the Company, have been prepared pursuant to the rules and regulations of the Securities and Exchange Commission, or SEC, regarding interim financial reporting and in accordance with accounting principles generally accepted in the United States of America, or U.S. GAAP. Such principles were applied on a basis consistent with the accounting policies described in the Company’s Annual Report on Form 10-K for the year ended December 31, 2024, filed with the SEC. The accompanying unaudited condensed consolidated financial statements should be read in conjunction with the audited consolidated financial statements contained in the Company’s Annual Report on Form 10-K for the year ended December 31, 2024.</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financial statements. The operating results for the three and nine months ended September 30, 2025 may not be indicative of the results expected for any succeeding quarter or the entire year ending December 31, 2025.</w:t>
      </w:r>
    </w:p>
    <w:p>
      <w:pPr>
        <w:spacing w:after="0" w:line="19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prior period’s condensed consolidated financial statements have been reclassified to conform with the current period presentation.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These estimates and assumptions affect the reported amounts and disclosures of assets and liabilities and the reported amounts and disclosures of revenue and expenses during the period. Management bases its estimates and judgments on the information available at the time and various other assumptions believed to be reasonable under the circumstances. By nature, estimates are subject to an inherent degree of uncertainty. Actual results could differ from those estimates and assumptions.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Investments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original maturities of 90 days or less to be cash equivalents. The carrying value of the Company’s cash equivalents approximates fair value. Fair value is defined as the price that would be received to sell an asset or paid to transfer a liability in an orderly transaction between market participants at the measurement date.</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At the time of purchase, the Company determines the appropriate classification of investments based upon its intent with regard to such investments. All of the Company’s investments are classified as available-for-sale. The Company classifies investments as short-term when their remaining contractual maturities are one year or less from the balance sheet date, and as long-term when the investment has a remaining contractual maturity of more than one year from the balance sheet date. The Company records investments at fair value with unrealized gains and losses recorded as a component of accumulated other comprehensive income on the condensed consolidated balance sheets.</w:t>
      </w:r>
    </w:p>
    <w:p>
      <w:pPr>
        <w:spacing w:after="0" w:line="18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Included in interest income, net on the condensed consolidated statements of income is interest income on cash equivalents and short-term investments of $3,689 and $10,706 for the three and nine months ended September 30, 2025, respectively, and $4,840 and $14,060 for the three and nine months ended September 30, 2024,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Treasury Stock, at Cost</w:t>
      </w:r>
    </w:p>
    <w:p>
      <w:pPr>
        <w:spacing w:after="0" w:line="22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total repurchases for the nine months ended September 30, 2025 and 2024 were recorded as treasury stock of $66,028 and $7,723, respectively. Such costs reflect the applicable one percent excise tax imposed by the Inflation Reduction Act of 2022 on the net value of certain stock repurchases made after December 31, 2022.</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Severance Expenses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severance expenses recorded for the nine months ended September 30, 2025 and 2024 were related to involuntary reductions in the Company’s workforce to lower the Company’s cost structure and included cash severance and other related termination benefits. The majority of these costs are expected to be paid within a year of the applicable termination. Included in accrued expenses and other liabilities on the condensed consolidated balance sheets as of September 30, 2025 was $1,001 related to unpaid severance expenses.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Financial Accounting Standards</w:t>
      </w:r>
    </w:p>
    <w:p>
      <w:pPr>
        <w:spacing w:after="0" w:line="229" w:lineRule="exact"/>
        <w:rPr>
          <w:sz w:val="20"/>
          <w:szCs w:val="20"/>
          <w:color w:val="auto"/>
        </w:rPr>
      </w:pPr>
    </w:p>
    <w:p>
      <w:pPr>
        <w:ind w:left="60" w:right="159" w:firstLine="324"/>
        <w:spacing w:after="0" w:line="274"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or FASB, issued Accounting Standards Update, or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This guidance is intended to improve the transparency of income tax disclosures through, among other things, enhancement of the disclosure requirements within the rate reconciliation, as well as increased income tax disaggregation disclosures. This ASU is effective for the Company’s annual reporting periods beginning January 1, 2025, with early adoption permitted. The Company is currently evaluating the impact of the adoption of this standard on its consolidated financial statement disclosures.</w:t>
      </w:r>
    </w:p>
    <w:p>
      <w:pPr>
        <w:spacing w:after="0" w:line="171"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guidance is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more detailed disclosure about certain costs and expenses presented in the income statement, including inventory purchases, employee compensation, selling expenses, and depreciation expense. This ASU is effective for the Company’s annual reporting periods beginning January 1, 2027, and for interim reporting periods beginning January 1, 2028, with early adoption permitted. The Company is currently evaluating the impact of the adoption of this standard on its consolidated financial statements.</w:t>
      </w:r>
    </w:p>
    <w:p>
      <w:pPr>
        <w:spacing w:after="0" w:line="183" w:lineRule="exact"/>
        <w:rPr>
          <w:sz w:val="20"/>
          <w:szCs w:val="20"/>
          <w:color w:val="auto"/>
        </w:rPr>
      </w:pPr>
    </w:p>
    <w:p>
      <w:pPr>
        <w:ind w:left="60" w:right="21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for Accounts Receivable and Contract Assets</w:t>
      </w:r>
      <w:r>
        <w:rPr>
          <w:rFonts w:ascii="Times New Roman" w:cs="Times New Roman" w:eastAsia="Times New Roman" w:hAnsi="Times New Roman"/>
          <w:sz w:val="18"/>
          <w:szCs w:val="18"/>
          <w:color w:val="auto"/>
        </w:rPr>
        <w:t>. This guidance provides a practical expedient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estimating expected credit losses for accounts receivable and contract assets by assuming that current conditions remain unchanged over the life of the asset. This ASU is effective for the Company’s annual reporting periods beginning January 1, 2026, and for interim reporting periods beginning January 1, 2027, with early adoption permitted. The Company is currently evaluating the impact of the adoption of this standard on its consolidated financial statements.</w:t>
      </w:r>
    </w:p>
    <w:p>
      <w:pPr>
        <w:spacing w:after="0" w:line="18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This guidance was issued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new criteria to be considered for capitalization of software costs under Subtopic 350-40, as well as link the disclosure requirements of Subtopic 360-10 to capitalized costs accounted for under Subtopic 350-40. This ASU is effective for the Company’s annual reporting periods beginning January 1, 2028, and for interim reporting periods beginning January 1, 2029, with early adoption permitted. The Company is currently evaluating the impact of the adoption of this standard on its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2–Revenue</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products and services, as it believes this method best depicts how the nature, amount, timing, and uncertainty of revenue and cash flows are affected by economic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disaggregation of revenue from arrangements with customers for the three months ended September 30, 2025 and 2024, along with the segment for each category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700" w:type="dxa"/>
            <w:vAlign w:val="bottom"/>
            <w:tcBorders>
              <w:bottom w:val="single" w:sz="8" w:color="auto"/>
            </w:tcBorders>
            <w:gridSpan w:val="9"/>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100" w:type="dxa"/>
            <w:vAlign w:val="bottom"/>
          </w:tcPr>
          <w:p>
            <w:pPr>
              <w:spacing w:after="0"/>
              <w:rPr>
                <w:sz w:val="10"/>
                <w:szCs w:val="10"/>
                <w:color w:val="auto"/>
              </w:rPr>
            </w:pP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$ 101,460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$ 238,791</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95,129</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51,687</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$ 319,744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$ 709,068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3700" w:type="dxa"/>
            <w:vAlign w:val="bottom"/>
            <w:tcBorders>
              <w:bottom w:val="single" w:sz="8" w:color="auto"/>
            </w:tcBorders>
            <w:gridSpan w:val="9"/>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100" w:type="dxa"/>
            <w:vAlign w:val="bottom"/>
          </w:tcPr>
          <w:p>
            <w:pPr>
              <w:spacing w:after="0"/>
              <w:rPr>
                <w:sz w:val="10"/>
                <w:szCs w:val="10"/>
                <w:color w:val="auto"/>
              </w:rPr>
            </w:pP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90,233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$ 259,254</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86,031</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56,056</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$ 296,970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175,116</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$ 724,717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disaggregation of revenue from arrangements with customers for the nine months ended September 30, 2025 and 2024, along with the segment for each category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740" w:type="dxa"/>
            <w:vAlign w:val="bottom"/>
            <w:tcBorders>
              <w:bottom w:val="single" w:sz="8" w:color="auto"/>
            </w:tcBorders>
            <w:gridSpan w:val="9"/>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9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90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140" w:type="dxa"/>
            <w:vAlign w:val="bottom"/>
          </w:tcPr>
          <w:p>
            <w:pPr>
              <w:spacing w:after="0"/>
              <w:rPr>
                <w:sz w:val="10"/>
                <w:szCs w:val="10"/>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$ 286,685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$ 295,909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757,475</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238,098</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172,686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147,281</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182,990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77,335</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157,406</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$ 943,758</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$ 808,394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417,655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60" w:type="dxa"/>
            <w:vAlign w:val="bottom"/>
          </w:tcPr>
          <w:p>
            <w:pPr>
              <w:spacing w:after="0"/>
              <w:rPr>
                <w:sz w:val="24"/>
                <w:szCs w:val="24"/>
                <w:color w:val="auto"/>
              </w:rPr>
            </w:pPr>
          </w:p>
        </w:tc>
        <w:tc>
          <w:tcPr>
            <w:tcW w:w="3740" w:type="dxa"/>
            <w:vAlign w:val="bottom"/>
            <w:tcBorders>
              <w:bottom w:val="single" w:sz="8" w:color="auto"/>
            </w:tcBorders>
            <w:gridSpan w:val="9"/>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9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90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140" w:type="dxa"/>
            <w:vAlign w:val="bottom"/>
          </w:tcPr>
          <w:p>
            <w:pPr>
              <w:spacing w:after="0"/>
              <w:rPr>
                <w:sz w:val="10"/>
                <w:szCs w:val="10"/>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$ 270,266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$ 281,754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737,982</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228,061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218,327</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156,732</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67,506</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151,752</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$ 878,437</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$ 786,698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428,086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arrangements with customers as of September 30, 2025 and December 31,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which are included in accrued expenses and other liabilities</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r>
    </w:tbl>
    <w:p>
      <w:pPr>
        <w:spacing w:after="0" w:line="198" w:lineRule="exact"/>
        <w:rPr>
          <w:sz w:val="20"/>
          <w:szCs w:val="20"/>
          <w:color w:val="auto"/>
        </w:rPr>
      </w:pPr>
    </w:p>
    <w:p>
      <w:pPr>
        <w:jc w:val="both"/>
        <w:ind w:left="60" w:right="59" w:firstLine="270"/>
        <w:spacing w:after="0" w:line="261" w:lineRule="auto"/>
        <w:rPr>
          <w:sz w:val="20"/>
          <w:szCs w:val="20"/>
          <w:color w:val="auto"/>
        </w:rPr>
      </w:pPr>
      <w:r>
        <w:rPr>
          <w:rFonts w:ascii="Times New Roman" w:cs="Times New Roman" w:eastAsia="Times New Roman" w:hAnsi="Times New Roman"/>
          <w:sz w:val="18"/>
          <w:szCs w:val="18"/>
          <w:color w:val="auto"/>
        </w:rPr>
        <w:t>Changes in the contract liability balances during the nine months ended September 30, 2025 and 2024 are as follows (in thousands):</w:t>
      </w:r>
    </w:p>
    <w:tbl>
      <w:tblPr>
        <w:tblLayout w:type="fixed"/>
        <w:tblInd w:w="40" w:type="dxa"/>
        <w:tblCellMar>
          <w:top w:w="0" w:type="dxa"/>
          <w:left w:w="0" w:type="dxa"/>
          <w:bottom w:w="0" w:type="dxa"/>
          <w:right w:w="0" w:type="dxa"/>
        </w:tblCellMar>
      </w:tblPr>
      <w:tr>
        <w:trPr>
          <w:trHeight w:val="162"/>
        </w:trPr>
        <w:tc>
          <w:tcPr>
            <w:tcW w:w="75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in advance and not recognized as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as revenue as performance obligations satisfied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(29,777)</w:t>
            </w: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w:t>
            </w: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75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in advance and not recognized as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18,544</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as revenue as performance obligations satisfied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w:t>
            </w: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229"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Cash equivalents and short-term investments as of September 30, 2025 and December 31, 2024 consist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$ 166,318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$ 166,318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211,354</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$ 377,563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$ 377,672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$ 161,094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$ 161,094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264,295</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$ 425,168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$ 425,389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All short-term investments had stated maturity dates of less than one year. The Company has recorded the securities at fair value on its condensed consolidated balance sheets and unrealized gains and losses are reported as a component of accumulated other comprehensive income. The amount of realized gains and losses reclassified into earnings and the related adjustments to deferred taxes are based on the specific identification of the securities sold or securities that reached maturity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in an orderly transaction between market participants, as determined by either the principal market or the most advantageous market. Inputs used in the valuation techniques are classified based on a three-level hierarchy, as follows:</w:t>
      </w:r>
    </w:p>
    <w:p>
      <w:pPr>
        <w:spacing w:after="0" w:line="18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Observable inputs other than those described as Level 1; and</w:t>
      </w:r>
    </w:p>
    <w:p>
      <w:pPr>
        <w:spacing w:after="0" w:line="225"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that are supported by little or no market activities and are based on significant assumptions and estimates.</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fair values of the Company’s investments were all measured using level 1 inputs.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229" w:lineRule="exact"/>
        <w:rPr>
          <w:sz w:val="20"/>
          <w:szCs w:val="20"/>
          <w:color w:val="auto"/>
        </w:rPr>
      </w:pPr>
    </w:p>
    <w:p>
      <w:pPr>
        <w:jc w:val="both"/>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 months ended September 30, 2025 and 2024 (in thousands,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5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66,374</w:t>
            </w: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employee stock awards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5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5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196"/>
        </w:trPr>
        <w:tc>
          <w:tcPr>
            <w:tcW w:w="570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had no outstanding non-vested stock units that were excluded from the computation of diluted earnings per share because including them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facilities from a related party, which is a company affiliated with it through common ownership. The costs for these leases are presented within short-term lease cost in the below table.</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no additional significant operating leases that have not yet commenced. Refer to the following table for quantitative information related to the Company’s leases for the three and nine months ended September 30, 2025 and 2024 (dollars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7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5"/>
                <w:szCs w:val="15"/>
                <w:color w:val="auto"/>
              </w:rPr>
            </w:pPr>
          </w:p>
        </w:tc>
        <w:tc>
          <w:tcPr>
            <w:tcW w:w="2800" w:type="dxa"/>
            <w:vAlign w:val="bottom"/>
            <w:tcBorders>
              <w:bottom w:val="single" w:sz="8" w:color="auto"/>
            </w:tcBorders>
            <w:gridSpan w:val="8"/>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6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080" w:type="dxa"/>
            <w:vAlign w:val="bottom"/>
            <w:tcBorders>
              <w:top w:val="single" w:sz="8" w:color="CCEEFF"/>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Lease Cost</w:t>
            </w:r>
          </w:p>
        </w:tc>
        <w:tc>
          <w:tcPr>
            <w:tcW w:w="4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Capitalized operating lease cost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30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30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308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of lease liabilities and</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08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 years):</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4.33 %</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7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Pr>
          <w:p>
            <w:pPr>
              <w:spacing w:after="0"/>
              <w:rPr>
                <w:sz w:val="24"/>
                <w:szCs w:val="24"/>
                <w:color w:val="auto"/>
              </w:rPr>
            </w:pPr>
          </w:p>
        </w:tc>
        <w:tc>
          <w:tcPr>
            <w:tcW w:w="2800" w:type="dxa"/>
            <w:vAlign w:val="bottom"/>
            <w:tcBorders>
              <w:bottom w:val="single" w:sz="8" w:color="auto"/>
            </w:tcBorders>
            <w:gridSpan w:val="8"/>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6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080" w:type="dxa"/>
            <w:vAlign w:val="bottom"/>
            <w:tcBorders>
              <w:top w:val="single" w:sz="8" w:color="CCEEFF"/>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Lease Cost</w:t>
            </w:r>
          </w:p>
        </w:tc>
        <w:tc>
          <w:tcPr>
            <w:tcW w:w="4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Capitalized operating lease cost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30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30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308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of lease liabilities and</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08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 years):</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4.27 %</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20" w:type="dxa"/>
            <w:vAlign w:val="bottom"/>
          </w:tcPr>
          <w:p>
            <w:pPr>
              <w:spacing w:after="0"/>
              <w:rPr>
                <w:sz w:val="20"/>
                <w:szCs w:val="20"/>
                <w:color w:val="auto"/>
              </w:rPr>
            </w:pPr>
          </w:p>
        </w:tc>
      </w:tr>
      <w:tr>
        <w:trPr>
          <w:trHeight w:val="63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future lease payments over the remaining term of capitalized operating leases were as follows (in thousands):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balance at September 30,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the right-of-use, or ROU, asset had a balance of $1,781. The long-term lease liability was $437 and the short-term lease liability, which is included in accrued expenses and other liabilities on the condensed consolidated balance sheets, was $1,624. As of December 31, 2024, the ROU asset had a balance of $3,077. The long-term lease liability was $1,552 and the short-term lease liability, which is included in accrued expenses and other liabilities on the condensed consolidated balance sheets, was $1,805.</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6–Accumulated Other Comprehensive Income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Accumulated other comprehensive income, which is included as a component of stockholders’ equity, is comprised of unrealized gains and losses on short-term investments, net of tax. The changes in accumulated other comprehensive income were as follows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9"/>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income, net of tax</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7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34"/>
        </w:trPr>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income, net of tax</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7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Included in amounts reclassified from accumulated other comprehensive income, net of tax for the nine months ended September 30, 2025 is $76 of realized gain, which is included in “Other income” on the unaudited condensed consolidated statements of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7–Segment Information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internal reporting structure used by the Company’s chief operating decision maker, or CODM, to assess performance and allocate resources determines the basis for the Company’s operating segments. The Company’s operations are organized under three reporting segments—the Enterprise Solutions segment, which serves primarily medium-to-large corporations; the Business Solutions segment, which serves primarily small- to medium-sized businesses; and the Public Sector Solutions segment, which serves primarily federal, state, and local government and educational institutions. In addition, the Headquarters/Other provides services in areas such as finance, human resources, IT, marketing, and product management. Most of the operating costs associated with the Headquarters/Other functions are charged to the operating segments based on their estimated usage of the underlying functions. The Company reports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these charges to the operating segments as “Allocations”. Headquarters/Other amounts that are not allocated to the operating segments are shown as reconciling items in the tables below.</w:t>
      </w:r>
    </w:p>
    <w:p>
      <w:pPr>
        <w:spacing w:after="0" w:line="16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CODM is its Chief Executive Officer, and he assesses the segments’ performance by using each segments’ operating income (which includes certain corporate overhead allocations attributable to each of the segments). Net sales presented below exclude inter-segment product revenues. The CODM uses operating income for each segment in the annual budget, periodic forecasting, and quarterly results processes.</w:t>
      </w:r>
    </w:p>
    <w:p>
      <w:pPr>
        <w:spacing w:after="0" w:line="180"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Segment information applicable to the Company’s operating segments and the related reconciliations to consolidated amounts for the three and nine months ended September 30, 2025 and 2024 are shown below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120" w:type="dxa"/>
            <w:vAlign w:val="bottom"/>
          </w:tcPr>
          <w:p>
            <w:pPr>
              <w:spacing w:after="0"/>
              <w:rPr>
                <w:sz w:val="11"/>
                <w:szCs w:val="11"/>
                <w:color w:val="auto"/>
              </w:rPr>
            </w:pPr>
          </w:p>
        </w:tc>
        <w:tc>
          <w:tcPr>
            <w:tcW w:w="9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180" w:type="dxa"/>
            <w:vAlign w:val="bottom"/>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709,068</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271,976</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188,779</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109,668</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120" w:type="dxa"/>
            <w:vAlign w:val="bottom"/>
          </w:tcPr>
          <w:p>
            <w:pPr>
              <w:spacing w:after="0"/>
              <w:rPr>
                <w:sz w:val="11"/>
                <w:szCs w:val="11"/>
                <w:color w:val="auto"/>
              </w:rPr>
            </w:pPr>
          </w:p>
        </w:tc>
        <w:tc>
          <w:tcPr>
            <w:tcW w:w="9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180" w:type="dxa"/>
            <w:vAlign w:val="bottom"/>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724,717</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250,753</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189,498</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149,060</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of the reportable segments include service contracts/subscriptions, professional fees, facilities operations, credit card fees, and other miscellaneous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10"/>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12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140" w:type="dxa"/>
            <w:vAlign w:val="bottom"/>
          </w:tcPr>
          <w:p>
            <w:pPr>
              <w:spacing w:after="0"/>
              <w:rPr>
                <w:sz w:val="11"/>
                <w:szCs w:val="11"/>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8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9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2,169,807</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806,070</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606,076</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353,939</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86,819</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86,566</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743,554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620,098</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1,458,484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Headquarters/Other assets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(152,964)</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1,305,520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12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140" w:type="dxa"/>
            <w:vAlign w:val="bottom"/>
          </w:tcPr>
          <w:p>
            <w:pPr>
              <w:spacing w:after="0"/>
              <w:rPr>
                <w:sz w:val="11"/>
                <w:szCs w:val="11"/>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8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3"/>
                <w:szCs w:val="13"/>
                <w:color w:val="auto"/>
              </w:rPr>
            </w:pPr>
          </w:p>
        </w:tc>
        <w:tc>
          <w:tcPr>
            <w:tcW w:w="9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2,093,221</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743,441</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596,875</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362,885</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86,146</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(11,722)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90,177</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553,881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1,388,752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Headquarters/Other assets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(103,007)</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1,285,745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of the reportable segments include service contracts/subscriptions, professional fees, facilities operations, credit card fees, and other miscellaneous expenses.</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assets of the Company’s three operating segments presented above consist primarily of accounts receivable, net intercompany receivables, goodwill, and other intangibles, net. Assets reported under the Headquarters/Other are managed by corporate headquarters, including cash and cash equivalents, short-term investments, inventories, property and equipment, ROU assets, and intercompany balance, net. As of September 30, 2025 and 2024, total assets for the Headquarters/Other were presented net of intercompany balance eliminations of $51,204 and $64,994, respectively. The Company’s capital expenditures consist largely of IT hardware and software purchased to maintain or upgrade its management information systems. These information systems serve all of the Company’s segments, to varying degrees, and accordingly, the CODM does not evaluate capital expenditures on a segment-by-segment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8–Commitments and Contingencies</w:t>
      </w:r>
    </w:p>
    <w:p>
      <w:pPr>
        <w:spacing w:after="0" w:line="229"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which have arisen during the ordinary course of business. The outcomes of such matters are not expected to have a material, adverse effect on the Company’s financial position, results of operations, and/or cash flows.</w:t>
      </w:r>
    </w:p>
    <w:p>
      <w:pPr>
        <w:spacing w:after="0" w:line="176"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audits by states on sales and income taxes, employment matters, and other assessments. Additional liabilities for these and other audits could be assessed, but such outcomes are not expected to have a material, adverse impact on the Company’s financial position, results of operations, and/or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9–Bank Borrowings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had a $50,000 credit facility collateralized by its account receivables that expired March 31, 2025 that the Company elected not to renew or replace. Amounts outstanding under the credit facility bore interest at the daily Bloomberg Short-Term Bank Yield Index, or BSBY Rate, plus a spread based on the Company’s funded debt ratio, or in the absence of BSBY Rate, the prime rate (7.50% at March 31, 2025).</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Cash receipts were automatically applied against any outstanding borrowings. During the nine months ended September 30, 2025 and 2024, the Company borrowed incremental amounts that were each repaid in full. These borrowings for the nine months ended September 30, 2025 and 2024 totaled $732 and $25,204, respectively; however, at no time were the outstanding borrowings greater than the $50,000 limit under the credit facility. The Company had no outstanding borrowings under the credit facility immediately prior to the expiration of the credit facility, or as of September 30,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10–Supplier Finance Programs</w:t>
      </w:r>
    </w:p>
    <w:p>
      <w:pPr>
        <w:spacing w:after="0" w:line="22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financial institutions, instituted by request of participating suppliers, that allow for the ability to finance payment obligations from the Company. The third-party financial institutions have separate arrangements with the Company’s suppliers and provide them with the option to request early payment for invoices confirmed by the Company. The Company does not determine the terms or conditions of the arrangements between the third-parties and its suppliers and receives no compensation from the third-party financial institutions. The Company’s obligation to its suppliers, including amounts due and scheduled payment dates, are not impacted by the suppliers’ decisions to finance amounts under the arrangements. The payment terms under these arrangements are typical with industry standards and range from 30 to 50 days. The agreements with the financial institutions are collateralized by the inventory purchased through the financing agreements. The Company’s outstanding payment obligations under the supplier finance programs, which are included in accounts payable on the condensed consolidated balance sheets, were $59,981 and $47,763 at September 30, 2025 and December 31, 2024, respectively. The rollforward of the Company’s outstanding obligations confirmed as valid under the supplier finance programs for the nine months ended September 30, 2025 is as follows (in thousands):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December 31,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47,763</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Invoices confirmed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366,871</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Confirmed invoices paid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(354,653)</w:t>
            </w: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September 30, 2025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59,981</w:t>
            </w: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or the Exchange Act.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 conditions on our businesses and results of operations. In some cases, you can identify forward-looking statements because they contain words such as “may,” “will,” “would,” “should,” “expects,” “plans,” “could,” “intends,” “target,” “projects,” “believes,” “estimates,” “anticipates,” “potential” or “continue” or the negative of these words or other similar terms or expressions that concern our expectations, strategy, plans or intentions. These statements reflect our current views and are based on assumptions as of the date of this report. Such assumptions are based upon internal estimates and other analyses of current market conditions and trends, management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spacing w:after="0" w:line="12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p>
      <w:pPr>
        <w:spacing w:after="0" w:line="58" w:lineRule="exact"/>
        <w:rPr>
          <w:sz w:val="20"/>
          <w:szCs w:val="20"/>
          <w:color w:val="auto"/>
        </w:rPr>
      </w:pPr>
    </w:p>
    <w:p>
      <w:pPr>
        <w:ind w:left="720" w:right="13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changes in tax policy, rising inflation and changing interest rates modifying our potential for investment income and the timing or reducing the level of investment our customers are willing to make in IT products;</w:t>
      </w:r>
    </w:p>
    <w:p>
      <w:pPr>
        <w:spacing w:after="0" w:line="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competition reducing our market share;</w:t>
      </w:r>
    </w:p>
    <w:p>
      <w:pPr>
        <w:spacing w:after="0" w:line="10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price competition reducing our profit margins;</w:t>
      </w:r>
    </w:p>
    <w:p>
      <w:pPr>
        <w:spacing w:after="0" w:line="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loss of any of our major vendors adversely affecting the number or type of products we may offer;</w:t>
      </w:r>
    </w:p>
    <w:p>
      <w:pPr>
        <w:spacing w:after="0" w:line="103" w:lineRule="exact"/>
        <w:rPr>
          <w:rFonts w:ascii="Times New Roman" w:cs="Times New Roman" w:eastAsia="Times New Roman" w:hAnsi="Times New Roman"/>
          <w:sz w:val="18"/>
          <w:szCs w:val="18"/>
          <w:color w:val="auto"/>
        </w:rPr>
      </w:pPr>
    </w:p>
    <w:p>
      <w:pPr>
        <w:ind w:left="720" w:right="83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virtualization of information technology, or IT, resources and applications, including networks, servers, applications, and data storage disrupting or altering our traditional distribution models;</w:t>
      </w:r>
    </w:p>
    <w:p>
      <w:pPr>
        <w:spacing w:after="0" w:line="36"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interruptions at third-party shippers negatively impacting our ability to deliver the products we offer to our customers;</w:t>
      </w:r>
    </w:p>
    <w:p>
      <w:pPr>
        <w:spacing w:after="0" w:line="2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increases in shipping and postage costs reducing our margins and adversely affecting our results of operations;</w:t>
      </w:r>
    </w:p>
    <w:p>
      <w:pPr>
        <w:spacing w:after="0" w:line="103" w:lineRule="exact"/>
        <w:rPr>
          <w:rFonts w:ascii="Times New Roman" w:cs="Times New Roman" w:eastAsia="Times New Roman" w:hAnsi="Times New Roman"/>
          <w:sz w:val="18"/>
          <w:szCs w:val="18"/>
          <w:color w:val="auto"/>
        </w:rPr>
      </w:pPr>
    </w:p>
    <w:p>
      <w:pPr>
        <w:ind w:left="720" w:right="23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key persons or the inability to attract, train and retain qualified personnel adversely affecting our ability to operate our business; and</w:t>
      </w:r>
    </w:p>
    <w:p>
      <w:pPr>
        <w:spacing w:after="0" w:line="36"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cyberattacks or the failure to safeguard personal information and our IT systems resulting in liability and harm to our reputation.</w:t>
      </w:r>
    </w:p>
    <w:p>
      <w:pPr>
        <w:spacing w:after="0" w:line="2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Additional factors include those described in our Annual Report on Form 10-K for the year ended December 31, 2024, including under the captions “Risk Factors,” “Management’s Discussion and Analysis of Financial Condition and Results of Operations,” and “Business,” in our subsequent quarterly reports on Form 10-Q, including under the caption “Management’s Discussion and Analysis of Financial Condition and Results of Operations,” and in the other subsequent filings we make with the Securities and Exchange Commission from time to time.</w:t>
      </w:r>
    </w:p>
    <w:p>
      <w:pPr>
        <w:spacing w:after="0" w:line="75"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 forward-looking statement is neither a prediction nor a guarantee of future events or circumstances. You should not place undue reliance on the forward-looking statements.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spacing w:after="0" w:line="72" w:lineRule="exact"/>
        <w:rPr>
          <w:sz w:val="20"/>
          <w:szCs w:val="20"/>
          <w:color w:val="auto"/>
        </w:rPr>
      </w:pPr>
    </w:p>
    <w:p>
      <w:pPr>
        <w:ind w:left="60" w:right="3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we use the terms “Connection”, the “Company”, “we”, “us”, and “our” in this Quarterly Report on Form 10-Q to refer to PC Connection, Inc. and its subsidiaries.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a Fortune 1000 Global Solutions Provider that simplifies the IT customer experience, guiding the connection between people and technology. Our dedicated account managers partner with customers to design, deploy, and support cutting-edge IT environments using the latest hardware, software, and services. We provide a wide range of IT solutions, from the desktop to the cloud—including computer systems, data center solutions, software and peripheral equipment, networking communications, and other products and accessories that we purchase from manufacturers, distributors, and other suppliers. Our Technology Solutions Organization, or TSO, and state-of-the-art Technology Integration and Distribution Center with ISO 9001:2015 certified technical configuration lab offer end-to-end services related to the design, configuration, and implementation of IT solutions. Our team also provides a comprehensive portfolio of managed services and professional services. These services are performed by our personnel and by third-party providers. Our GlobalServe offering ensures worldwide coverage for our multinational customers, delivering global procurement solutions through our network of in-country suppliers in over 150 countries.</w:t>
      </w:r>
    </w:p>
    <w:p>
      <w:pPr>
        <w:spacing w:after="0" w:line="19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“Connection®” brand includes Connection Enterprise Solutions, Connection Business Solutions, and Connection Public Sector Solutions, which provide IT solutions and services to enterprise, small- to medium-sized businesses, and public sector markets.</w:t>
      </w:r>
    </w:p>
    <w:p>
      <w:pPr>
        <w:spacing w:after="0" w:line="17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Financial results for each of our segments are included in the financial statements attached hereto. We generate sales through (i) outbound inside sales and field sales contacts by sales representatives focused on the business, educational, healthcare, retail, manufacturing, and government markets, (ii) our websites, and (iii) direct responses from customers responding to our advertising media. We offer a broad selection of over 460,000 products at competitive prices, including products from vendors like Apple, Cisco, Dell Inc., Hewlett-Packard Inc., Hewlett-Packard Enterprise, Intel, Lenovo, Microsoft Corporation, and VMware, and we partner with more than 2,500 suppliers. We are able to leverage our state-of-the art logistic capabilities to rapidly ship product to customers.</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As a value-added reseller in the IT supply chain, we do not manufacture IT hardware or software products. We are dependent on our suppliers—manufacturers and distributors that historically have only sold to resellers rather than directly to end users. However, certain manufacturers have, on multiple occasions, sold or attempted to sell directly to our customers, and in some cases, have restricted our ability to sell their products directly to certain customers, thereby attempting to and, in some cases successfully, eliminate our role. We believe that the success of these direct sales efforts by manufacturers will depend on their ability to meet our customers’ ongoing demands and provide solutions to meet their needs. We believe more of our customers are seeking out comprehensive and integrated IT solutions, rather than the ability to acquire specific IT products on a one-off basis. Our advantage is our ability to be product-neutral and provide a broader combination of products, services, and advice tailored to our customers’ individual needs. By providing customers with customized solutions from a variety of manufacturers, we believe we can mitigate the negative impact of continued direct sales initiatives from individual manufacturers. Through the formation of our TSO, we are able to provide customers complete IT solutions, from identifying their needs, to designing, developing, and managing the integration of products and services to implement their IT projects. Such service offerings carry higher margins than traditional product sales. Additionally, the technical certifications of our service engineers permit us to offer higher-end, more complex products that generally carry higher gross margins. We expect these service offerings and technical certifications to continue to play a role in sales generation and gross margin improvements in this competitive environment.</w:t>
      </w:r>
    </w:p>
    <w:p>
      <w:pPr>
        <w:spacing w:after="0" w:line="19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primary challenges we continue to face in effectively managing our business are (1) increasing our product and service revenues while at the same time improving our gross margin in all three segments, (2) recruiting, retaining, and improving the productivity of our sales and technical support personnel, and (3) effectively controlling our selling, general and administrative, or SG&amp;A, expenses while making major investments in our IT systems and solution selling personnel, especially in relation to changing revenue levels.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To support future growth, we have invested and expect to continue to invest in our IT solutions business, which requires the addition of highly skilled service engineers. Although we expect to realize the ultimate benefit of higher-margin service revenues under this multi-year initiative, we believe that our cost of services will increase as we add additional service engineers. If our service revenues do not grow enough to offset the cost of these headcount additions, our operating results may be negatively impacted.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on an ongoing basis in our own IT infrastructure to meet these new demands.</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investments in IT infrastructure are designed to enable us to operate more efficiently and provide our customers enhanced functionality.</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U.S. administration has announced or imposed a series of tariffs on U.S. trading partners. In response, several countries have threatened or imposed retaliatory measures. The imposition of new tariffs or increases in existing tariffs on goods imported from countries where our suppliers operate could result in increased inventory costs. These cost increases may reduce our margins or require us to raise prices. We continue to assess the impact of the tariffs on our supply chain. In addition, these actions and threatened actions and increased volatility in financial markets may affect customer decisions about the timing or size of IT investments.</w:t>
      </w:r>
    </w:p>
    <w:p>
      <w:pPr>
        <w:spacing w:after="0" w:line="187"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If the current government shutdown continues, our net sales may decrease, specifically within our Public Sector Solutions segment, as it would delay government IT investments.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or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evaluated the OBBBA’s expected impact on the unaudited condensed consolidated financial statements. As of and for the period ended September 30, 2025, there was an immaterial amount recorded to the balance sheet associated with our deferred income tax balances, primarily through adjustments to deferred tax liabilities and income taxes payable. The OBBBA is not expected to have a material impact on our income statement or annual effective tax rate. We will continue to monitor additional guidance related to the OBBBA as it becomes available.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derived from our statements of income expressed as a percentage of net sales for the periods indicated (dollars in millions):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4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940" w:type="dxa"/>
            <w:vAlign w:val="bottom"/>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94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$ 709.1</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$ 724.7</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$ 2,169.8</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$ 2,093.2</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Net sales of $709.1 million for the third quarter of 2025 reflect a decrease of $15.6 million, or 2.2% compared to the third quarter of 2024. The decrease was primarily driven by decreases in net sales of notebooks/mobility, displays and sound, and net/com products of $20.5 million, $12.1 million, and $9.3 million, respectively, as shown in the table in Note 2 “Revenue” in the Notes to our Unaudited Condensed Consolidated Financial Statements. These decreases were partially offset by increases in net sales of software, servers/storage, other hardware/services, desktops, and accessories of $9.1 million, $7.6 million, $4.5 million, $2.6 million, and $2.5 million, respectively. Gross profit for the third quarter of 2025 increased year-over-year by $3.2 million, or 2.4%, to $138.6 million as illustrated in the table and the discussion beginning on page 21 of this Quarterly Report on Form 10-Q. Gross margin increased to 19.6% from 18.7% a year ago. The increase in gross margin was primarily driven by an increase in the amount of software sales recognized on a net basis as these sales are recognized in the financial statements at 100% margin. SG&amp;A expenses as a percentage of net sales increased to 15.3% compared to 14.5% a year ago. The increase in SG&amp;A expenses is primarily due to an increase in personnel costs as shown in the table on page 20 of this Quarterly Report on Form 10-Q. Operating income for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third quarter of 2025 remained substantially the same year-over-year in dollars and increased as a percentage of net sales.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 Distribution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percentage of net sales by segment and product mix for the periods indicated:</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4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2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96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Segment</w:t>
            </w:r>
          </w:p>
        </w:tc>
        <w:tc>
          <w:tcPr>
            <w:tcW w:w="7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Enterprise Solutions</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Solutions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Public Sector Solutions</w:t>
            </w: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Product Mix</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Notebooks/Mobility</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Desktops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Servers/Storage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Net/Com Products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Displays and Sound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Accessories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Hardware/Services</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Margin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gross margin, as a percentage of net sales, for the periods indicated:</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6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Enterprise Solutions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14.9 %</w:t>
            </w: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15.6 %</w:t>
            </w:r>
          </w:p>
        </w:tc>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14.6 %</w:t>
            </w: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15.4 %</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Solutions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Sector Solutions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8"/>
                <w:szCs w:val="18"/>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19.6 %</w:t>
            </w:r>
          </w:p>
        </w:tc>
        <w:tc>
          <w:tcPr>
            <w:tcW w:w="13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18.7 %</w:t>
            </w:r>
          </w:p>
        </w:tc>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18.6 %</w:t>
            </w:r>
          </w:p>
        </w:tc>
        <w:tc>
          <w:tcPr>
            <w:tcW w:w="1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18.6 %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our SG&amp;A expenses for the periods indicated (dollars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0" w:type="dxa"/>
            <w:vAlign w:val="bottom"/>
            <w:gridSpan w:val="7"/>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2560" w:type="dxa"/>
            <w:vAlign w:val="bottom"/>
            <w:gridSpan w:val="7"/>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contracts/subscriptions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Facilities operations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fees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SG&amp;A expense</w:t>
            </w: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29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Severance Expenses</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There were no severance expenses incurred during the three months ended September 30, 2025. During the nine months ended September 30, 2025, we undertook actions to lower our cost structure. In connection with these initiatives, we incurred severance expenses of $2.9 million which included cash severance and other related termination benefits. There were no severance expenses incurred during the three months ended September 30, 2024. We incurred severance expenses of $0.4 million for the nine months ended September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Year-Over-Year Comparisons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this section and elsewhere in this Quarterly Report on Form 10-Q we refer to changes in year-over-year results. Unless context otherwise requires, such references refer to changes between the three months ended September 30, 2025 and the three months ended September 30, 2024; and changes between the nine months ended September 30, 2025 and the nine months ended September 30, 2024.</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to Three Months Ended September 30, 2024</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net sales and gross profit by segment are shown in the following table (dollars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11"/>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319.8</w:t>
            </w:r>
          </w:p>
        </w:tc>
        <w:tc>
          <w:tcPr>
            <w:tcW w:w="11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41.0 %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132.5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709.1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r>
              <w:rPr>
                <w:rFonts w:ascii="Times New Roman" w:cs="Times New Roman" w:eastAsia="Times New Roman" w:hAnsi="Times New Roman"/>
                <w:sz w:val="18"/>
                <w:szCs w:val="18"/>
                <w:u w:val="single" w:color="auto"/>
                <w:color w:val="auto"/>
              </w:rPr>
              <w:t>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1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138.6</w:t>
            </w:r>
          </w:p>
        </w:tc>
        <w:tc>
          <w:tcPr>
            <w:tcW w:w="40" w:type="dxa"/>
            <w:vAlign w:val="bottom"/>
            <w:tcBorders>
              <w:top w:val="single" w:sz="8" w:color="auto"/>
              <w:bottom w:val="single" w:sz="8" w:color="auto"/>
            </w:tcBorders>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r>
              <w:rPr>
                <w:rFonts w:ascii="Times New Roman" w:cs="Times New Roman" w:eastAsia="Times New Roman" w:hAnsi="Times New Roman"/>
                <w:sz w:val="18"/>
                <w:szCs w:val="18"/>
                <w:u w:val="single" w:color="auto"/>
                <w:color w:val="auto"/>
              </w:rPr>
              <w:t>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2</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1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decreased for the third quarter of 2025 compared to the third quarter of 2024, as explained by the year-over-year changes discussed below:</w:t>
      </w:r>
    </w:p>
    <w:p>
      <w:pPr>
        <w:spacing w:after="0" w:line="160" w:lineRule="exact"/>
        <w:rPr>
          <w:sz w:val="20"/>
          <w:szCs w:val="20"/>
          <w:color w:val="auto"/>
        </w:rPr>
      </w:pPr>
    </w:p>
    <w:p>
      <w:pPr>
        <w:ind w:left="720" w:right="79" w:hanging="319"/>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$319.8 million for the Enterprise Solutions segment reflect an increase of $22.8 million, or 7.7%. The increase in net sales is primarily due to increases in net sales of accessories, notebooks/mobility, servers/storage, software, and other hardware/services of $12.7 million, $11.2 million, $5.9 million, $5.4 million, and $3.6 million, respectively. These increases were partially offset by decreases in net sales of displays and sound, net/com products, and desktops of $8.6 million, $4.7 million, and $2.7 million, respectively.</w:t>
      </w:r>
    </w:p>
    <w:p>
      <w:pPr>
        <w:spacing w:after="0" w:line="183" w:lineRule="exact"/>
        <w:rPr>
          <w:rFonts w:ascii="Times New Roman" w:cs="Times New Roman" w:eastAsia="Times New Roman" w:hAnsi="Times New Roman"/>
          <w:sz w:val="18"/>
          <w:szCs w:val="18"/>
          <w:color w:val="auto"/>
        </w:rPr>
      </w:pPr>
    </w:p>
    <w:p>
      <w:pPr>
        <w:ind w:left="720" w:right="219" w:hanging="319"/>
        <w:spacing w:after="0" w:line="226" w:lineRule="auto"/>
        <w:tabs>
          <w:tab w:leader="none" w:pos="7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of $256.8 million for the Business Solutions segment reflect an increase of $4.2 million, or 1.7%. The increase in net sales is primarily due to increases in net sales of software, desktops, other hardware/services, and displays and sound of $7.0 million, $5.8 million, $1.5 million, and $0.5 million, respectively. These increases were partially offset by decreases in net sales of notebooks/mobility, net/com products, and accessories of $4.3 million, $3.7 million, and $2.6 million, respectively.</w:t>
      </w:r>
    </w:p>
    <w:p>
      <w:pPr>
        <w:spacing w:after="0" w:line="134" w:lineRule="exact"/>
        <w:rPr>
          <w:rFonts w:ascii="Times New Roman" w:cs="Times New Roman" w:eastAsia="Times New Roman" w:hAnsi="Times New Roman"/>
          <w:sz w:val="29"/>
          <w:szCs w:val="29"/>
          <w:color w:val="auto"/>
          <w:vertAlign w:val="superscript"/>
        </w:rPr>
      </w:pPr>
    </w:p>
    <w:p>
      <w:pPr>
        <w:ind w:left="720" w:right="139" w:hanging="319"/>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$132.5 million for the Public Sector Solutions segment reflect a decrease of $42.6 million, or 24.3%. Sales to the federal government decreased by $23.0 million, or 44.3%, compared to the prior year quarter, while sales to state and local government and educational institutions decreased by $19.6 million, or 15.9%. The decrease in sales to the federal government was primarily driven by a few large orders in the prior period. The decrease in sales to state and local government and educational institutions was primarily driven by the timing of purchases associated with government funding reductions. The decrease in net sales is primarily due to decreases in net sales of notebooks/mobility, accessories, displays and sound, software, net/com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319"/>
        <w:spacing w:after="0" w:line="266" w:lineRule="auto"/>
        <w:rPr>
          <w:sz w:val="20"/>
          <w:szCs w:val="20"/>
          <w:color w:val="auto"/>
        </w:rPr>
      </w:pPr>
      <w:r>
        <w:rPr>
          <w:rFonts w:ascii="Times New Roman" w:cs="Times New Roman" w:eastAsia="Times New Roman" w:hAnsi="Times New Roman"/>
          <w:sz w:val="18"/>
          <w:szCs w:val="18"/>
          <w:color w:val="auto"/>
        </w:rPr>
        <w:t>products, other hardware/services, and desktops of $27.4 million, $7.6 million, $4.1 million, $3.2 million, $0.9 million, $0.6 million, and $0.5 million, respectively. These decreases were partially offset by an increase in net sales of servers/storage of $1.7 million.</w:t>
      </w:r>
    </w:p>
    <w:p>
      <w:pPr>
        <w:spacing w:after="0" w:line="174" w:lineRule="exact"/>
        <w:rPr>
          <w:sz w:val="20"/>
          <w:szCs w:val="20"/>
          <w:color w:val="auto"/>
        </w:rPr>
      </w:pPr>
    </w:p>
    <w:p>
      <w:pPr>
        <w:ind w:left="60" w:right="7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for the third quarter of 2025 increased year-over-year, as explained by the year-over-year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below:</w:t>
      </w:r>
    </w:p>
    <w:p>
      <w:pPr>
        <w:spacing w:after="0" w:line="160" w:lineRule="exact"/>
        <w:rPr>
          <w:sz w:val="20"/>
          <w:szCs w:val="20"/>
          <w:color w:val="auto"/>
        </w:rPr>
      </w:pPr>
    </w:p>
    <w:p>
      <w:pPr>
        <w:ind w:left="720" w:right="3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Enterprise Solutions segment increased by $1.6 million year-over-year primarily due to the increase in net sales as discussed in the preceding paragraph.</w:t>
      </w:r>
    </w:p>
    <w:p>
      <w:pPr>
        <w:spacing w:after="0" w:line="16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Business Solutions segment increased by $4.9 million year-over-year primarily due to net sales of notebooks/mobility at improved invoice margins primarily as a result of low-margin deals in the prior period.</w:t>
      </w:r>
    </w:p>
    <w:p>
      <w:pPr>
        <w:spacing w:after="0" w:line="17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Public Sector Solutions segment decreased by $3.3 million primarily due to the decrease in net sales as discussed in the preceding paragraph.</w:t>
      </w:r>
    </w:p>
    <w:p>
      <w:pPr>
        <w:spacing w:after="0" w:line="160" w:lineRule="exact"/>
        <w:rPr>
          <w:sz w:val="20"/>
          <w:szCs w:val="20"/>
          <w:color w:val="auto"/>
        </w:rPr>
      </w:pPr>
    </w:p>
    <w:p>
      <w:pPr>
        <w:ind w:left="60" w:right="59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for the third quarter of 2025 increased year-over-year, as explained by the year-over-year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below:</w:t>
      </w:r>
    </w:p>
    <w:p>
      <w:pPr>
        <w:spacing w:after="0" w:line="160" w:lineRule="exact"/>
        <w:rPr>
          <w:sz w:val="20"/>
          <w:szCs w:val="20"/>
          <w:color w:val="auto"/>
        </w:rPr>
      </w:pPr>
    </w:p>
    <w:p>
      <w:pPr>
        <w:ind w:left="720" w:right="1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Enterprise Solutions segment decreased by 70 basis points primarily due to a decrease in the amount of software sales recognized on a net basis, as well as reduced software agency fees.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Business Solutions segment increased by 150 basis points primarily due to an increase in the amount of software sales recognized on a net basis.</w:t>
      </w:r>
    </w:p>
    <w:p>
      <w:pPr>
        <w:spacing w:after="0" w:line="9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Public Sector Solutions segment increased by 230 basis points primarily due to an increase in the amount of software sales recognized on a net basis relative to total net sales in the segment.</w:t>
      </w:r>
    </w:p>
    <w:p>
      <w:pPr>
        <w:spacing w:after="0" w:line="160"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for the third quarter of 2025 increased both in dollars and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sales compared to the third quarter of 2024. SG&amp;A expenses attributable to our three segments and the remaining unallocated Headquarters/Other expenses are summarized in the table below (dollars in millions):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11"/>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2"/>
                <w:szCs w:val="12"/>
                <w:color w:val="auto"/>
              </w:rPr>
            </w:pPr>
          </w:p>
        </w:tc>
        <w:tc>
          <w:tcPr>
            <w:tcW w:w="4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50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92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Solutions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Solutions</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Headquarters/Other, unallocated</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u w:val="single" w:color="auto"/>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14.5 %</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1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Enterprise Solutions segment increased year-over-year in dollars but decreased as a percentage of net sales. The year-over-year change in SG&amp;A dollars was primarily attributable to increases in use of shared Headquarter services and personnel costs of $1.2 million and $0.8 million, respectively, partially offset by decreases in marketing and service contracts/subscriptions of $0.3 million each. SG&amp;A expenses as a percentage of net sales were 11.7% for the Enterprise Solutions segment for the third quarter of 2025, which reflects a decrease of 40 basis points and is primarily due to the increase in net sales discussed above.</w:t>
      </w:r>
    </w:p>
    <w:p>
      <w:pPr>
        <w:spacing w:after="0" w:line="187" w:lineRule="exact"/>
        <w:rPr>
          <w:rFonts w:ascii="Times New Roman" w:cs="Times New Roman" w:eastAsia="Times New Roman" w:hAnsi="Times New Roman"/>
          <w:sz w:val="18"/>
          <w:szCs w:val="18"/>
          <w:color w:val="auto"/>
        </w:rPr>
      </w:pPr>
    </w:p>
    <w:p>
      <w:pPr>
        <w:ind w:left="720" w:right="23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Business Solutions segment increased year-over-year in dollars but remained substantially the same as a percentage of net sales. The year-over-year change in SG&amp;A dollars was primarily attributable to an increase in use of shared Headquarter services of $2.8 million, partially offset by a decrease in marketing of $1.5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Public Sector Solutions segment increased year-over-year both in dollars and as a percentage of net sales. The year-over-year change in SG&amp;A dollars was primarily attributable to increases in use of shared Headquarter services and professional fees of $1.4 million and $0.7 million, respectively, partially offset by a decrease in personnel costs of $0.2 million. SG&amp;A expenses as a percentage of net sales were 17.7% for the Public Sector Solutions segment for the third quarter of 2025, which reflects an increase of 530 basis points and is primarily due to the decrease in net sales discussed above, combined with the increase in SG&amp;A dollars.</w:t>
      </w:r>
    </w:p>
    <w:p>
      <w:pPr>
        <w:spacing w:after="0" w:line="188"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Headquarters/Other decreased year-over-year by $1.5 million primarily due to an increase in the allocated amounts to the operating segments of $5.5 million, partially offset by an increase in personnel costs of $3.8 million. The Headquarters/Other provides services to the three segments in areas such as finance, distribution center, human resources, IT, marketing, and product management. Most of the operating costs associated with such corporate Headquarters/Other services are charged to the segments based on their estimated allocation usage of the underlying services.</w:t>
      </w:r>
    </w:p>
    <w:p>
      <w:pPr>
        <w:spacing w:after="0" w:line="185" w:lineRule="exact"/>
        <w:rPr>
          <w:sz w:val="20"/>
          <w:szCs w:val="20"/>
          <w:color w:val="auto"/>
        </w:rPr>
      </w:pPr>
    </w:p>
    <w:p>
      <w:pPr>
        <w:jc w:val="both"/>
        <w:ind w:left="60" w:right="1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for the third quarter of 2025 was $30.3 million, which was substantially the same as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quarter. Income from operations as a percentage of net sales increased to 4.3% for the third quarter of 2025, compared to 4.1% for the prior year quarter, primarily due to the decrease in net sales, as discussed above.</w:t>
      </w:r>
    </w:p>
    <w:p>
      <w:pPr>
        <w:spacing w:after="0" w:line="173"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for the third quarter of 2025 decreased to $3.7 million, compared to $4.8 million for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primarily due to a decrease in interest income of $1.2 million. The decrease in interest income is primarily a result of lower realized interest rates in the current period combined with lower cash equivalent and investment balances in the current period.</w:t>
      </w:r>
    </w:p>
    <w:p>
      <w:pPr>
        <w:spacing w:after="0" w:line="180" w:lineRule="exact"/>
        <w:rPr>
          <w:sz w:val="20"/>
          <w:szCs w:val="20"/>
          <w:color w:val="auto"/>
        </w:rPr>
      </w:pPr>
    </w:p>
    <w:p>
      <w:pPr>
        <w:ind w:left="60" w:right="2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was not received during the third quarter of 2025. Other income for the third quarter of 2024 was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a result of a legal settlement received.</w:t>
      </w:r>
    </w:p>
    <w:p>
      <w:pPr>
        <w:spacing w:after="0" w:line="15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provision for income taxes for the third quarter of 2025 decreased to $9.2 million, compared to $9.5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third quarter of 2024. Our effective tax rate was 27.1% for the quarter ended September 30, 2025, compared to 26.0% for the quarter ended September 30, 2024. The increase in the effective tax rate was primarily due to non-recurring benefits included in the prior year period.</w:t>
      </w:r>
    </w:p>
    <w:p>
      <w:pPr>
        <w:spacing w:after="0" w:line="180" w:lineRule="exact"/>
        <w:rPr>
          <w:sz w:val="20"/>
          <w:szCs w:val="20"/>
          <w:color w:val="auto"/>
        </w:rPr>
      </w:pPr>
    </w:p>
    <w:p>
      <w:pPr>
        <w:ind w:left="60" w:right="7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Net income </w:t>
      </w:r>
      <w:r>
        <w:rPr>
          <w:rFonts w:ascii="Times New Roman" w:cs="Times New Roman" w:eastAsia="Times New Roman" w:hAnsi="Times New Roman"/>
          <w:sz w:val="17"/>
          <w:szCs w:val="17"/>
          <w:color w:val="auto"/>
        </w:rPr>
        <w:t>for the third quarter of 2025 decreased to $24.7 million, compared to $27.1 million for the third quarter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primarily due to the decrease in other income combined with the decrease in interest income, net, as discussed above.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to Nine Months Ended September 30, 2024</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net sales and gross profit by segment are shown in the following table (dollars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8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8"/>
                <w:szCs w:val="18"/>
                <w:u w:val="single" w:color="auto"/>
                <w:color w:val="auto"/>
              </w:rPr>
              <w:t>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r>
              <w:rPr>
                <w:rFonts w:ascii="Times New Roman" w:cs="Times New Roman" w:eastAsia="Times New Roman" w:hAnsi="Times New Roman"/>
                <w:sz w:val="18"/>
                <w:szCs w:val="18"/>
                <w:u w:val="single" w:color="auto"/>
                <w:color w:val="auto"/>
              </w:rPr>
              <w:t>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1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increased for the nine months ended September 30, 2025 compared to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explained by the year-over-year changes discussed below:</w:t>
      </w:r>
    </w:p>
    <w:p>
      <w:pPr>
        <w:spacing w:after="0" w:line="160" w:lineRule="exact"/>
        <w:rPr>
          <w:sz w:val="20"/>
          <w:szCs w:val="20"/>
          <w:color w:val="auto"/>
        </w:rPr>
      </w:pPr>
    </w:p>
    <w:p>
      <w:pPr>
        <w:ind w:left="720" w:right="79" w:hanging="319"/>
        <w:spacing w:after="0" w:line="25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$943.8 million for the Enterprise Solutions segment reflect an increase of $65.4 million, or 7.4%. The increase in net sales is primarily due to increases in net sales of desktops, servers/storage, accessories, notebooks/mobility, software, and other hardware/services of $17.7 million, $17.5 million, $16.5 million, $16.4 million, $13.4 million, and $9.9 million, respectively. These increases were partially offset by decreases in net sales of displays and sound and net/com products of $24.0 million and $2.0 million, respectively.</w:t>
      </w:r>
    </w:p>
    <w:p>
      <w:pPr>
        <w:spacing w:after="0" w:line="183" w:lineRule="exact"/>
        <w:rPr>
          <w:rFonts w:ascii="Times New Roman" w:cs="Times New Roman" w:eastAsia="Times New Roman" w:hAnsi="Times New Roman"/>
          <w:sz w:val="18"/>
          <w:szCs w:val="18"/>
          <w:color w:val="auto"/>
        </w:rPr>
      </w:pPr>
    </w:p>
    <w:p>
      <w:pPr>
        <w:ind w:left="720" w:right="179" w:hanging="319"/>
        <w:spacing w:after="0" w:line="226" w:lineRule="auto"/>
        <w:tabs>
          <w:tab w:leader="none" w:pos="72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of $808.4 million for the Business Solutions segment reflect an increase of $21.7 million, or 2.8%. The increase in net sales is primarily due to increases in net sales of desktops, notebooks/mobility, software, and displays and sound of $19.9 million, $14.2 million, $8.3 million, and $1.7 million, respectively. These increases were partially offset by decreases in net sales of accessories, net/com products, and servers/storage of $13.5 million, $7.9 million, and $1.2 million, respectively.</w:t>
      </w:r>
    </w:p>
    <w:p>
      <w:pPr>
        <w:spacing w:after="0" w:line="134" w:lineRule="exact"/>
        <w:rPr>
          <w:rFonts w:ascii="Times New Roman" w:cs="Times New Roman" w:eastAsia="Times New Roman" w:hAnsi="Times New Roman"/>
          <w:sz w:val="29"/>
          <w:szCs w:val="29"/>
          <w:color w:val="auto"/>
          <w:vertAlign w:val="superscript"/>
        </w:rPr>
      </w:pPr>
    </w:p>
    <w:p>
      <w:pPr>
        <w:ind w:left="720" w:right="219" w:hanging="319"/>
        <w:spacing w:after="0" w:line="25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$417.6 million for the Public Sector Solutions segment reflect a decrease of $10.5 million, or 2.4%. Sales to the federal government increased by $19.1 million, or 20.1%, while sales to state and local government and educational institutions decreased by $29.6 million, or 8.9%. The decrease in net sales is primarily due to decreases in net sales of notebooks/mobility, displays and sound, other hardware/services, and software of $11.1 million, $7.2 million, $4.4 million, and $2.0 million, respectively. These decreases were partially offset by increases in net sales of desktops and servers/storage of $7.9 million and $6.9 million, respectively.</w:t>
      </w:r>
    </w:p>
    <w:p>
      <w:pPr>
        <w:spacing w:after="0" w:line="185" w:lineRule="exact"/>
        <w:rPr>
          <w:sz w:val="20"/>
          <w:szCs w:val="20"/>
          <w:color w:val="auto"/>
        </w:rPr>
      </w:pPr>
    </w:p>
    <w:p>
      <w:pPr>
        <w:ind w:left="60" w:right="29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for the nine months ended September 30, 2025 increased year-over-year, as explained by the year-over-year changes discussed below:</w:t>
      </w:r>
    </w:p>
    <w:p>
      <w:pPr>
        <w:spacing w:after="0" w:line="160" w:lineRule="exact"/>
        <w:rPr>
          <w:sz w:val="20"/>
          <w:szCs w:val="20"/>
          <w:color w:val="auto"/>
        </w:rPr>
      </w:pPr>
    </w:p>
    <w:p>
      <w:pPr>
        <w:ind w:left="720" w:right="3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Enterprise Solutions segment increased by $2.7 million year-over-year primarily due to the increase in net sales as discussed in the preceding paragraph.</w:t>
      </w:r>
    </w:p>
    <w:p>
      <w:pPr>
        <w:spacing w:after="0" w:line="161" w:lineRule="exact"/>
        <w:rPr>
          <w:rFonts w:ascii="Times New Roman" w:cs="Times New Roman" w:eastAsia="Times New Roman" w:hAnsi="Times New Roman"/>
          <w:sz w:val="18"/>
          <w:szCs w:val="18"/>
          <w:color w:val="auto"/>
        </w:rPr>
      </w:pPr>
    </w:p>
    <w:p>
      <w:pPr>
        <w:jc w:val="both"/>
        <w:ind w:left="720" w:right="31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Business Solutions segment increased by $12.5 million year-over-year primarily due to net sales of notebooks/mobility at improved invoice margins primarily as a result of low-margin deals in the prior period.</w:t>
      </w:r>
    </w:p>
    <w:p>
      <w:pPr>
        <w:spacing w:after="0" w:line="17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Public Sector Solutions segment decreased by $1.5 million primarily due to the decrease in net sales as discussed in the preceding paragraph.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for the nine months ended September 30, 2025 remained substantially the same year-over-year,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by the year-over-year changes discussed below:</w:t>
      </w:r>
    </w:p>
    <w:p>
      <w:pPr>
        <w:spacing w:after="0" w:line="160" w:lineRule="exact"/>
        <w:rPr>
          <w:sz w:val="20"/>
          <w:szCs w:val="20"/>
          <w:color w:val="auto"/>
        </w:rPr>
      </w:pPr>
    </w:p>
    <w:p>
      <w:pPr>
        <w:ind w:left="720" w:right="1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Enterprise Solutions segment decreased by 80 basis points primarily due to a decrease in the amount of software sales recognized on a net basis, as well as reduced software agency fees.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Business Solutions segment increased by 90 basis points primarily due to an increase in the amount of software sales recognized on a net basis.</w:t>
      </w:r>
    </w:p>
    <w:p>
      <w:pPr>
        <w:spacing w:after="0" w:line="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Public Sector Solutions segment remained substantially the same year-over-year.</w:t>
      </w:r>
    </w:p>
    <w:p>
      <w:pPr>
        <w:spacing w:after="0" w:line="22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for the nine months ended September 30, 2025 increased in dollars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remained substantially the same as a percentage of net sales compared to the nine months ended September 30, 2024. SG&amp;A expenses attributable to our three segments and the remaining unallocated Headquarters/Other expenses are summarized in the table below (dollars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2"/>
                <w:szCs w:val="12"/>
                <w:color w:val="auto"/>
              </w:rPr>
            </w:pPr>
          </w:p>
        </w:tc>
        <w:tc>
          <w:tcPr>
            <w:tcW w:w="4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50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92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Solutions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$ 112.5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Solutions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Sector Solutions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Headquarters/Other, unallocated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r>
              <w:rPr>
                <w:rFonts w:ascii="Times New Roman" w:cs="Times New Roman" w:eastAsia="Times New Roman" w:hAnsi="Times New Roman"/>
                <w:sz w:val="18"/>
                <w:szCs w:val="18"/>
                <w:u w:val="single" w:color="auto"/>
                <w:color w:val="auto"/>
              </w:rPr>
              <w:t>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15.1 %</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59" w:hanging="319"/>
        <w:spacing w:after="0" w:line="255"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Enterprise Solutions segment increased year-over-year in dollars but decreased as a percentage of net sales. The year-over-year change in SG&amp;A dollars was primarily attributable to increases in personnel costs, use of shared Headquarter services, and professional fees of $3.2 million, $0.8 million, and $0.5 million, respectively, partially offset by a decrease in service contracts/subscriptions of $0.8 million. SG&amp;A expenses as a percentage of net sales were 11.9% for the Enterprise Solutions segment for the nine months ended September 30, 2025, which reflects a decrease of 50 basis points and is primarily due to the increase in net sales discussed above.</w:t>
      </w:r>
    </w:p>
    <w:p>
      <w:pPr>
        <w:spacing w:after="0" w:line="188"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Business Solutions segment increased year-over-year in dollars but decreased as a percentage of net sales. The year-over-year change in SG&amp;A dollars was primarily attributable to an increase in the use of shared Headquarter services of $4.6 million, partially offset by decreases in marketing, personnel costs, and credit card fees of $2.1 million, $0.5 million, and $0.4 million, respectively. SG&amp;A expenses as a percentage of net sales were 16.5% for the Business Solutions segment for the nine months ended September 30, 2025, which reflects a decrease of 30 basis points and is primarily due to the increase in net sales discussed above.</w:t>
      </w:r>
    </w:p>
    <w:p>
      <w:pPr>
        <w:spacing w:after="0" w:line="187"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Public Sector Solutions segment increased year-over-year both in dollars and as a percentage of net sales. The year-over-year change in SG&amp;A dollars was primarily attributable to increases in professional fees, use of shared Headquarter services, and personnel costs of $2.9 million, $2.3 million, and $1.0 million, respectively. SG&amp;A expenses as a percentage of net sales were 16.7% for the Public Sector Solutions segment for the nine months ended September 30, 2025, which reflects an increase of 190 basis points and is primarily due to the decrease in net sales discussed above combined with the increase in SG&amp;A dollars.</w:t>
      </w:r>
    </w:p>
    <w:p>
      <w:pPr>
        <w:spacing w:after="0" w:line="187"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Headquarters/Other decreased year-over-year primarily due to an increase in the allocated amounts to the operating segments of $7.7 million, as well as decreases in professional fees and depreciation and amortization of $1.0 million and $0.9 million, respectively, partially offset by increases in personnel costs, service contracts/subscriptions, and marketing of $5.4 million, $2.0 million, and $1.1 million, respectively. The Headquarters/Other provides services to the three segments in areas such as finance, distribution center, human resources, IT, marketing, and product management. Most of the operating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spacing w:after="0" w:line="282" w:lineRule="auto"/>
        <w:rPr>
          <w:sz w:val="20"/>
          <w:szCs w:val="20"/>
          <w:color w:val="auto"/>
        </w:rPr>
      </w:pPr>
      <w:r>
        <w:rPr>
          <w:rFonts w:ascii="Times New Roman" w:cs="Times New Roman" w:eastAsia="Times New Roman" w:hAnsi="Times New Roman"/>
          <w:sz w:val="18"/>
          <w:szCs w:val="18"/>
          <w:color w:val="auto"/>
        </w:rPr>
        <w:t>associated with such corporate Headquarters/Other services are charged to the segments based on their estimated allocation usage of the underlying services.</w:t>
      </w:r>
    </w:p>
    <w:p>
      <w:pPr>
        <w:spacing w:after="0" w:line="160" w:lineRule="exact"/>
        <w:rPr>
          <w:sz w:val="20"/>
          <w:szCs w:val="20"/>
          <w:color w:val="auto"/>
        </w:rPr>
      </w:pPr>
    </w:p>
    <w:p>
      <w:pPr>
        <w:ind w:left="60" w:right="3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Severance expenses </w:t>
      </w:r>
      <w:r>
        <w:rPr>
          <w:rFonts w:ascii="Times New Roman" w:cs="Times New Roman" w:eastAsia="Times New Roman" w:hAnsi="Times New Roman"/>
          <w:sz w:val="18"/>
          <w:szCs w:val="18"/>
          <w:color w:val="auto"/>
        </w:rPr>
        <w:t>for the nine months ended September 30, 2025 were $2.9 million, compared to $0.4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The severance expenses were related to an involuntary reduction in our workforce to lower our cost structure and included cash severance and other related termination benefits.</w:t>
      </w:r>
    </w:p>
    <w:p>
      <w:pPr>
        <w:spacing w:after="0" w:line="17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for the nine months ended September 30, 2025 increased to $75.7 million, compared to $74.4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2024, primarily due to the increase in gross profit, partially offset by the increases in SG&amp;A expenses and severance expenses, as discussed above. Income from operations as a percentage of net sales decreased to 3.5% for the nine months ended September 30, 2025, compared to 3.6% for the nine months ended September 30, 2024, primarily due to the increase in net sales, as discussed above.</w:t>
      </w:r>
    </w:p>
    <w:p>
      <w:pPr>
        <w:spacing w:after="0" w:line="18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for the nine months ended September 30, 2025 decreased to $10.8 million, compared to $14.1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2024, primarily due to a decrease in interest income of $3.3 million. The decrease in interest income is primarily a result of lower realized interest rates in the current period combined with lower cash equivalent and investment balances in the current period.</w:t>
      </w:r>
    </w:p>
    <w:p>
      <w:pPr>
        <w:spacing w:after="0" w:line="180" w:lineRule="exact"/>
        <w:rPr>
          <w:sz w:val="20"/>
          <w:szCs w:val="20"/>
          <w:color w:val="auto"/>
        </w:rPr>
      </w:pPr>
    </w:p>
    <w:p>
      <w:pPr>
        <w:jc w:val="both"/>
        <w:ind w:left="60" w:right="4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for the nine months ended September 30, 2025 was $0.1 million related to a realized gain on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investments, compared to $1.7 million for the nine months ended September 30, 2024 as a result of a legal settlement received.</w:t>
      </w:r>
    </w:p>
    <w:p>
      <w:pPr>
        <w:spacing w:after="0" w:line="173"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provision for income taxes for the nine months ended September 30, 2025 decreased to $23.6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$23.8 million for the nine months ended September 30, 2024. Our effective tax rate was 27.2% for the nine months ended September 30, 2025, compared to 26.4% for the nine months ended September 30, 2024. The increase in the effective tax rate was primarily due to non-recurring benefits included in the prior year period.</w:t>
      </w:r>
    </w:p>
    <w:p>
      <w:pPr>
        <w:spacing w:after="0" w:line="180"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nine months ended September 30, 2025 decreased to $63.0 million, compared to $66.4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primarily due to the decrease in interest income, net combined with the decrease in other income, partially offset by the increase in income from operations, as discussed above.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internally generated funds from operations and short-term investments. We have historically used and expect to use in the future those funds to meet our capital requirements, which consist primarily of working capital for operational needs, capital expenditures for computer equipment and software used in our business, repurchases of our common stock for treasury, dividend payments, and as opportunities arise, possible acquisitions of new businesses.</w:t>
      </w:r>
    </w:p>
    <w:p>
      <w:pPr>
        <w:spacing w:after="0" w:line="183"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believe that funds generated from operations and short-term investments will be sufficient to finance our working capital, capital expenditures, and other requirements for at least the next twelve calendar months and beyond such twelve calendar month period. Our investments in IT systems and infrastructure are designed to enable us to operate more efficiently and to provide our customers enhanced functionality.</w:t>
      </w:r>
    </w:p>
    <w:p>
      <w:pPr>
        <w:spacing w:after="0" w:line="180"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We expect to meet our cash requirements for the next twelve months and beyond through a combination of cash on hand, short-term investments, and cash generated from operations, as follows:</w:t>
      </w:r>
    </w:p>
    <w:p>
      <w:pPr>
        <w:spacing w:after="0" w:line="160"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As of September 30, 2025, we had $187.8 million in cash and cash equivalents.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As of September 30, 2025, we had $211.4 million in short-term investments.</w:t>
      </w:r>
    </w:p>
    <w:p>
      <w:pPr>
        <w:spacing w:after="0" w:line="157" w:lineRule="exact"/>
        <w:rPr>
          <w:rFonts w:ascii="Times New Roman" w:cs="Times New Roman" w:eastAsia="Times New Roman" w:hAnsi="Times New Roman"/>
          <w:sz w:val="18"/>
          <w:szCs w:val="18"/>
          <w:color w:val="auto"/>
        </w:rPr>
      </w:pPr>
    </w:p>
    <w:p>
      <w:pPr>
        <w:jc w:val="both"/>
        <w:ind w:left="720" w:right="219" w:hanging="319"/>
        <w:spacing w:after="0" w:line="267"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Generated from Operations</w:t>
      </w:r>
      <w:r>
        <w:rPr>
          <w:rFonts w:ascii="Times New Roman" w:cs="Times New Roman" w:eastAsia="Times New Roman" w:hAnsi="Times New Roman"/>
          <w:sz w:val="18"/>
          <w:szCs w:val="18"/>
          <w:color w:val="auto"/>
        </w:rPr>
        <w:t>. We expect to generate cash flows from operations in excess of operating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by generating earnings and managing net changes in inventories and receivables with changes in payables to generate positive cash flow.</w:t>
      </w:r>
    </w:p>
    <w:p>
      <w:pPr>
        <w:spacing w:after="0" w:line="17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Our ability to continue funding our planned growth, both internally and externally, is dependent upon our ability to generate sufficient cash flow from operations or to obtain additional funds through equity or debt financing, or from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other sources of financing, as may be required. While we do not anticipate needing any additional sources of financing to fund our operations at this time, if demand for IT products declines, or our customers are materially adversely impacted by the developing macroeconomic trends characterized by inflation and increased interest rates, our cash flows from operations may be substantially affected.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2025 dividend activity for our common stock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 Amount</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09"/>
        </w:trPr>
        <w:tc>
          <w:tcPr>
            <w:tcW w:w="1580" w:type="dxa"/>
            <w:vAlign w:val="bottom"/>
            <w:tcBorders>
              <w:top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4, 2025</w:t>
            </w:r>
          </w:p>
        </w:tc>
        <w:tc>
          <w:tcPr>
            <w:tcW w:w="3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r>
      <w:tr>
        <w:trPr>
          <w:trHeight w:val="216"/>
        </w:trPr>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April 29, 2025</w:t>
            </w:r>
          </w:p>
        </w:tc>
        <w:tc>
          <w:tcPr>
            <w:tcW w:w="2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May 13, 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30, 2025</w:t>
            </w:r>
          </w:p>
        </w:tc>
      </w:tr>
      <w:tr>
        <w:trPr>
          <w:trHeight w:val="216"/>
        </w:trPr>
        <w:tc>
          <w:tcPr>
            <w:tcW w:w="158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July 29, 2025</w:t>
            </w:r>
          </w:p>
        </w:tc>
        <w:tc>
          <w:tcPr>
            <w:tcW w:w="23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August 12, 2025</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29, 2025</w:t>
            </w:r>
          </w:p>
        </w:tc>
      </w:tr>
    </w:tbl>
    <w:p>
      <w:pPr>
        <w:spacing w:after="0" w:line="198"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October 29, 2025, we announced that our Board of Directors declared a quarterly cash dividend on our common stock of $0.15 per share. The dividend will be paid on November 28, 2025 to all stockholders of record as of the close of business on November 11, 2025. The declaration and payment of any future dividends is at the discretion of our Board of Directors and will depend upon our financial position, strategic plans, general business conditions and any other factors deemed relevant by our Board of Directors.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Summary of Sources and Uses of Cash</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for the nine months ended September 30, 2025 and 2024, as reflected in our Unaudited Condensed Consolidated Statements of Cash Flows included in Item 1 of this Quarterly Report on Form 10-Q, are summarized in the following table (in millions):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1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is summarized as follows (in millions):</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credit losses reserve</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discount on short-term investments, net</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decrease in net cash from operating activities of $110.6 million for the nine months ended September 30, 2025 was primarily attributable to changes in inventories, accounts receivable, accounts payable, and accrued expenses and other liabilities of $50.5 million, $27.4 million, $17.2 million, and $10.1 million, respectively. The decrease in cash from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operating activities attributable to inventories is primarily due to increased inventory purchases related to customer rollouts. The decrease in cash from operating activities attributable to accounts receivable is primarily driven by the timing of collections. The decrease in cash from operating activities attributable to accounts payable and accrued expenses and other liabilities is primarily due to the timing of payments.</w:t>
      </w:r>
    </w:p>
    <w:p>
      <w:pPr>
        <w:spacing w:after="0" w:line="180"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order to manage our working capital and operating cash needs, we monitor our cash conversion cycle, defined as days of sales outstanding in accounts receivable plus days of supply in inventory minus days of purchases outstanding in accounts payable, based on a rolling three-month average. Components of our cash conversion cycle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days)</w:t>
            </w:r>
          </w:p>
        </w:tc>
        <w:tc>
          <w:tcPr>
            <w:tcW w:w="17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Days of sales outstanding (DSO)</w:t>
            </w:r>
            <w:r>
              <w:rPr>
                <w:rFonts w:ascii="Times New Roman" w:cs="Times New Roman" w:eastAsia="Times New Roman" w:hAnsi="Times New Roman"/>
                <w:sz w:val="24"/>
                <w:szCs w:val="24"/>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Days of supply in inventory (DIO)</w:t>
            </w:r>
            <w:r>
              <w:rPr>
                <w:rFonts w:ascii="Times New Roman" w:cs="Times New Roman" w:eastAsia="Times New Roman" w:hAnsi="Times New Roman"/>
                <w:sz w:val="25"/>
                <w:szCs w:val="2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Days of purchases outstanding (DPO)</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conversion cycle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9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trade receivable at the end of the quarter divided by average daily net sales for the same three-month period.</w:t>
      </w:r>
    </w:p>
    <w:p>
      <w:pPr>
        <w:spacing w:after="0" w:line="161" w:lineRule="exact"/>
        <w:rPr>
          <w:rFonts w:ascii="Times New Roman" w:cs="Times New Roman" w:eastAsia="Times New Roman" w:hAnsi="Times New Roman"/>
          <w:sz w:val="18"/>
          <w:szCs w:val="18"/>
          <w:color w:val="auto"/>
        </w:rPr>
      </w:pPr>
    </w:p>
    <w:p>
      <w:pPr>
        <w:ind w:left="380" w:right="35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inventory balance at the end of the quarter divided by average daily cost of sales for the same three-month period.</w:t>
      </w:r>
    </w:p>
    <w:p>
      <w:pPr>
        <w:spacing w:after="0" w:line="161" w:lineRule="exact"/>
        <w:rPr>
          <w:rFonts w:ascii="Times New Roman" w:cs="Times New Roman" w:eastAsia="Times New Roman" w:hAnsi="Times New Roman"/>
          <w:sz w:val="18"/>
          <w:szCs w:val="18"/>
          <w:color w:val="auto"/>
        </w:rPr>
      </w:pPr>
    </w:p>
    <w:p>
      <w:pPr>
        <w:ind w:left="380" w:right="2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accounts payable balance at the end of the quarter divided by average daily cost of sales for the same three-month period.</w:t>
      </w:r>
    </w:p>
    <w:p>
      <w:pPr>
        <w:spacing w:after="0" w:line="162" w:lineRule="exact"/>
        <w:rPr>
          <w:sz w:val="20"/>
          <w:szCs w:val="20"/>
          <w:color w:val="auto"/>
        </w:rPr>
      </w:pPr>
    </w:p>
    <w:p>
      <w:pPr>
        <w:ind w:left="60" w:right="99" w:firstLine="315"/>
        <w:spacing w:after="0" w:line="256" w:lineRule="auto"/>
        <w:rPr>
          <w:sz w:val="20"/>
          <w:szCs w:val="20"/>
          <w:color w:val="auto"/>
        </w:rPr>
      </w:pPr>
      <w:r>
        <w:rPr>
          <w:rFonts w:ascii="Times New Roman" w:cs="Times New Roman" w:eastAsia="Times New Roman" w:hAnsi="Times New Roman"/>
          <w:sz w:val="18"/>
          <w:szCs w:val="18"/>
          <w:color w:val="auto"/>
        </w:rPr>
        <w:t>The cash conversion cycle increased to 46 days at September 30, 2025, compared to 40 days at September 30, 2024, as evidenced in the above cash conversion table. The increase in DSO is primarily due to the increase in trade receivables as of September 30, 2025 compared to September 30, 2024 combined with the decrease in net sales for the three months ended September 30, 2025 compared to the three months ended September 30, 2024. The increase in DIO is primarily due to the increase in inventory as of September 30, 2025 compared to September 30, 2024. The increase in DPO is primarily due to the increase in accounts payable as of September 30, 2025 compared to September 30, 2024.</w:t>
      </w:r>
    </w:p>
    <w:p>
      <w:pPr>
        <w:spacing w:after="0" w:line="185"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provided by investing activities </w:t>
      </w:r>
      <w:r>
        <w:rPr>
          <w:rFonts w:ascii="Times New Roman" w:cs="Times New Roman" w:eastAsia="Times New Roman" w:hAnsi="Times New Roman"/>
          <w:sz w:val="18"/>
          <w:szCs w:val="18"/>
          <w:color w:val="auto"/>
        </w:rPr>
        <w:t>for the nine months ended September 30, 2025 consisted of $155.6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U.S. Government treasury securities, $108.8 million of sales of U.S. Government treasury securities, $101.3 million of maturities of U.S. Government treasury securities, and $5.2 million of purchases of property and equipment. These property and equipment expenditures were primarily for computer equipment and capitalized internally developed software in connection with investments in our IT infrastructure. In the prior year period, investing activities consisted of $255.1 million of purchases of U.S. Government treasury securities, $150.6 million of maturities of U.S. Government treasury securities, and $5.2 million of purchases of property and equipment.</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used in financing activities </w:t>
      </w:r>
      <w:r>
        <w:rPr>
          <w:rFonts w:ascii="Times New Roman" w:cs="Times New Roman" w:eastAsia="Times New Roman" w:hAnsi="Times New Roman"/>
          <w:sz w:val="18"/>
          <w:szCs w:val="18"/>
          <w:color w:val="auto"/>
        </w:rPr>
        <w:t>for the nine months ended September 30, 2025 consisted primarily of $0.7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borrowings and repayments, $65.5 million of treasury purchases, $11.5 million of dividend payments, $0.6 million of issuances of stock under the Employee Stock Purchase Plan, and $1.3 million of payments of payroll taxes on stock-based compensation through shares withheld. In the prior year period, financing activities consisted of $25.2 million of aggregate borrowings and repayments, $7.7 million of treasury purchases, $7.9 million of dividend payments, $0.5 million of issuances of stock under the Employee Stock Purchase Plan, and $1.3 million of payments of payroll taxes on stock-based compensation through shares withheld.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 Contractual Agreements, and Related Covenants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Below is a summary of certain provisions of our credit facility and other contractual obligations. For more information about our obligations, commitments, and contingencies, see our condensed consolidated financial statements and the accompanying notes included in this Quarterly Report on Form 10-Q.</w:t>
      </w:r>
    </w:p>
    <w:p>
      <w:pPr>
        <w:spacing w:after="0" w:line="174" w:lineRule="exact"/>
        <w:rPr>
          <w:sz w:val="20"/>
          <w:szCs w:val="20"/>
          <w:color w:val="auto"/>
        </w:rPr>
      </w:pPr>
    </w:p>
    <w:p>
      <w:pPr>
        <w:ind w:left="6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Our credit facility collateralized by our accounts receivable expired March 31, 2025. We did not 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extend or replace this credit facility given our significant cash, cash equivalent, and short-term investment balances. Amounts outstanding under this credit facility bore interest at the greatest of (i) the prime rate (7.50% at March</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31, 2025), (ii) the federal funds effective rate plus 0.50% per annum, and (iii) the daily BSBY Rate, plus 1.00% per annum, but at no time less than 0% per annum. While we used this credit facility from time to time, we did not have borrowings outstanding at any recent quarter-end nor immediately prior to the expiration of the credit facility.</w:t>
      </w:r>
    </w:p>
    <w:p>
      <w:pPr>
        <w:spacing w:after="0" w:line="1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Cash receipts were automatically applied against any outstanding borrowings. Any excess cash on account could either remain on account to generate earned credits to offset up to 100% of cash management fees, or be invested in short-term qualified investments. Borrowings under the credit facility were classified as current in our condensed consolidated balance sheets.</w:t>
      </w:r>
    </w:p>
    <w:p>
      <w:pPr>
        <w:spacing w:after="0" w:line="17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Supplier Finance Programs. </w:t>
      </w:r>
      <w:r>
        <w:rPr>
          <w:rFonts w:ascii="Times New Roman" w:cs="Times New Roman" w:eastAsia="Times New Roman" w:hAnsi="Times New Roman"/>
          <w:sz w:val="18"/>
          <w:szCs w:val="18"/>
          <w:color w:val="auto"/>
        </w:rPr>
        <w:t>We have entered into agreements with financial institutions to facilitate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from designated suppliers under certain terms and conditions to enhance liquidity. We do not incur any interest or other incremental expenses associated with these agreements as balances are paid when they are due. See “Note 10 “Supplier Finance Programs” of our Unaudited Condensed Consolidated Financial Statements for additional information.</w:t>
      </w:r>
    </w:p>
    <w:p>
      <w:pPr>
        <w:spacing w:after="0" w:line="18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lease facilities, including our corporate headquarters and a facility adjacent to our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headquarters, from a related party, which is a company affiliated with us through common ownership. The lease agreements of these two Merrimack, New Hampshire facilities have expired. We continue to occupy the facilities on a month-to-month basis under the terms of the prior written lease agreements. It is our intention to enter into a written, long-term lease for the facilities. We also lease facilities from third parties under non-cancelable operating leases. Certain leases require us to pay real estate taxes, insurance, and common area maintenance charges. See “Item 2. Properties” in our Annual Report on Form 10-K for the year ended December 31, 2024 for additional information regarding our operating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27" w:lineRule="exact"/>
        <w:rPr>
          <w:sz w:val="20"/>
          <w:szCs w:val="20"/>
          <w:color w:val="auto"/>
        </w:rPr>
      </w:pPr>
    </w:p>
    <w:p>
      <w:pPr>
        <w:ind w:left="60" w:right="2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our ability to manage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fully achieve our operating efficiencies, timely collection of our customer receivables, and management of our inventory levels.</w:t>
      </w:r>
    </w:p>
    <w:p>
      <w:pPr>
        <w:spacing w:after="0" w:line="173" w:lineRule="exact"/>
        <w:rPr>
          <w:sz w:val="20"/>
          <w:szCs w:val="20"/>
          <w:color w:val="auto"/>
        </w:rPr>
      </w:pPr>
    </w:p>
    <w:p>
      <w:pPr>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Our credit facility collateralized by our accounts receivable expired March 31, 2025 and we elected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renew or replace the credit facility given our significant cash, cash equivalent, and short-term investment balances.</w:t>
      </w:r>
    </w:p>
    <w:p>
      <w:pPr>
        <w:spacing w:after="0" w:line="15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additional funds in the capital market depends upon,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 of the IT industry, our financial performance and stock price, and the state of the capital markets. In addition, market volatility, inflation and interest rate fluctuations may increase our cost of financing or restrict our access to potential sources of future liquidity.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estimates have not materially changed from those discussed in our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FINANCIAL ACCOUNTING STANDARDS</w:t>
      </w:r>
    </w:p>
    <w:p>
      <w:pPr>
        <w:spacing w:after="0" w:line="229" w:lineRule="exact"/>
        <w:rPr>
          <w:sz w:val="20"/>
          <w:szCs w:val="20"/>
          <w:color w:val="auto"/>
        </w:rPr>
      </w:pPr>
    </w:p>
    <w:p>
      <w:pPr>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Recently issued financial accounting standards are detailed in Note 1, “Basis of Presentation,” in the Notes to our Unaudited Condensed Consolidated Financial Statements included in Part I, Item 1 of this Quarterly Report on Form 10-Q.</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our market risks, see Item 7A. “Quantitative and Qualitative Disclosures About Market Risk” in our Annual Report on Form 10-K for the year ended December 31, 2024. No material changes related to our market risks have occurred since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Chief Financial Officer (our principal financial officer), evaluated the effectiveness of our disclosure controls and procedures as of September 30, 2025. The term “disclosure controls and procedures,” as defined in Rules 13a-15(e) and 15d-15(e) promulgated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this evaluation, our Chief Executive Officer and Chief Financial Officer concluded that, as of the end of the period covered by this report, our disclosure controls and procedures were effective at the reasonable assurance level.</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OTHER INFORMATION</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information related to legal proceedings, see the discussion in Note 8 - “Commitments and Contingencies” in the Notes to our Unaudited Condensed Consolidated Financial Statements included in Part I, Item 1 of this Quarterly Report on Form 10-Q, which information is incorporated by reference into this Part II, Item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Item 1A. “Risk Factors” in our Annual Report on Form 10-K for the year ended December 31, 2024, which could materially affect our business, financial position, and results of operations. Risk factors which could cause actual results to differ materially from those suggested by forward-looking statements include but are not limited to those discussed or identified in this document, in our other public filings with the SEC, and those contained in Item 1A. “Risk Factors” in our Annual Report on Form 10-K for the year ended December 31,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Repurchases under our stock repurchase program are made from time to time at management’s discretion in accordance with applicable federal securities laws. All repurchases of our common stock have been recorded as treasury stock. The following table summarizes information relating to purchases of common stock made by or on our behalf during the quarter ended September 30, 2025 (dollars in thousands, except per share data):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3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Number of</w:t>
            </w:r>
          </w:p>
        </w:tc>
        <w:tc>
          <w:tcPr>
            <w:tcW w:w="16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73"/>
        </w:trPr>
        <w:tc>
          <w:tcPr>
            <w:tcW w:w="338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millions) (1)(2)</w:t>
            </w: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07/01/25-07/31/25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08/01/25-08/31/25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09/01/25-09/30/25</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83,693</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4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repurchased in aggregate approximately 4.0 million shares of our common stock for approximately $125.7 million pursuant to the repurchase program approved by our Board of Directors.</w:t>
      </w:r>
    </w:p>
    <w:p>
      <w:pPr>
        <w:spacing w:after="0" w:line="161" w:lineRule="exact"/>
        <w:rPr>
          <w:rFonts w:ascii="Times New Roman" w:cs="Times New Roman" w:eastAsia="Times New Roman" w:hAnsi="Times New Roman"/>
          <w:sz w:val="18"/>
          <w:szCs w:val="18"/>
          <w:color w:val="auto"/>
        </w:rPr>
      </w:pPr>
    </w:p>
    <w:p>
      <w:pPr>
        <w:ind w:left="720" w:right="119" w:hanging="319"/>
        <w:spacing w:after="0" w:line="25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2001, we announced that our Board of Directors authorized the spending of up to $15.0 million to repurchase shares of our common stock. On each of February 11, 2014, December 17, 2018, November 22, 2022, May 1, 2024, and April 30, 2025, our Board of Directors approved increases of $15.0 million, $25.0 million, $25.0 million, $40.0 million, and $50.0 million, respectively, to the repurchase program bringing the aggregate authorized amount under the repurchase program to $170.0 million. There is no fixed termination date for this repurchase program. Purchases may be made in open-market transactions, block transactions on or off an exchange, or in privately negotiated transactions. The timing and amount of any share repurchases will be based on market conditions and other factors.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29" w:lineRule="exact"/>
        <w:rPr>
          <w:sz w:val="20"/>
          <w:szCs w:val="20"/>
          <w:color w:val="auto"/>
        </w:rPr>
      </w:pPr>
    </w:p>
    <w:p>
      <w:pPr>
        <w:jc w:val="both"/>
        <w:ind w:left="60" w:right="479" w:firstLine="315"/>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Exchange Act Rule 16a-1(f)) adopted or terminated a Rule 10b5-1 trading agreement or a non-Rule 10b5-1 trading agreement (as each term is defined in Item 408(c) of Regulation S-K) during the third quarter of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Exhibit</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6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Number</w:t>
            </w:r>
          </w:p>
        </w:tc>
        <w:tc>
          <w:tcPr>
            <w:tcW w:w="300" w:type="dxa"/>
            <w:vAlign w:val="bottom"/>
          </w:tcPr>
          <w:p>
            <w:pPr>
              <w:spacing w:after="0"/>
              <w:rPr>
                <w:sz w:val="16"/>
                <w:szCs w:val="16"/>
                <w:color w:val="auto"/>
              </w:rPr>
            </w:pPr>
          </w:p>
        </w:tc>
        <w:tc>
          <w:tcPr>
            <w:tcW w:w="78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14"/>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Certificate of Incorporation of PC Connection, Inc., as amended (incorporated by</w:t>
              </w:r>
            </w:hyperlink>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1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reference to Exhibit 3.1 to the Company’s registration statement on Form S-4 (333-63272) filed on June 19,</w:t>
              </w:r>
            </w:hyperlink>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2001)</w:t>
              </w:r>
              <w:r>
                <w:rPr>
                  <w:rFonts w:ascii="Times New Roman" w:cs="Times New Roman" w:eastAsia="Times New Roman" w:hAnsi="Times New Roman"/>
                  <w:sz w:val="18"/>
                  <w:szCs w:val="18"/>
                  <w:color w:val="000000"/>
                </w:rPr>
                <w:t>.</w:t>
              </w:r>
            </w:hyperlink>
          </w:p>
        </w:tc>
        <w:tc>
          <w:tcPr>
            <w:tcW w:w="1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1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Bylaws of PC Connection, Inc. (incorporated by reference to Exhibit 3.1 to the</w:t>
              </w:r>
            </w:hyperlink>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Company’s current report on Form 8-K, filed on January 9, 2008).</w:t>
              </w:r>
            </w:hyperlink>
          </w:p>
        </w:tc>
        <w:tc>
          <w:tcPr>
            <w:tcW w:w="2600" w:type="dxa"/>
            <w:vAlign w:val="bottom"/>
            <w:tcBorders>
              <w:top w:val="single" w:sz="8" w:color="0000EE"/>
            </w:tcBorders>
            <w:gridSpan w:val="4"/>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President and Chief Executive Officer pursuant to Section 302 of the</w:t>
            </w:r>
          </w:p>
        </w:tc>
        <w:tc>
          <w:tcPr>
            <w:tcW w:w="620" w:type="dxa"/>
            <w:vAlign w:val="bottom"/>
            <w:gridSpan w:val="6"/>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the Company’s Senior Vice President and Chief Financial Officer pursuant to Section 302 of</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6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412"/>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President and Chief Executive Officer pursuant to 18 U.S.C. Section 1350, as</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920" w:type="dxa"/>
            <w:vAlign w:val="bottom"/>
            <w:gridSpan w:val="6"/>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412"/>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the Company’s Senior Vice President and Chief Financial Officer pursuant to 18 U.S.C.</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Sarbanes-Oxley Act of 2002.</w:t>
            </w:r>
          </w:p>
        </w:tc>
        <w:tc>
          <w:tcPr>
            <w:tcW w:w="1300" w:type="dxa"/>
            <w:vAlign w:val="bottom"/>
            <w:tcBorders>
              <w:top w:val="single" w:sz="8" w:color="0000EE"/>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434"/>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101.INS *</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32"/>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7"/>
              </w:rPr>
              <w:t>101.SCH*</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6"/>
              </w:rPr>
              <w:t>101.CAL*</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32"/>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101.DEF*</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6"/>
              </w:rPr>
              <w:t>101.LAB*</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432"/>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101.PRE*</w:t>
            </w:r>
          </w:p>
        </w:tc>
        <w:tc>
          <w:tcPr>
            <w:tcW w:w="7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spacing w:after="0" w:line="198" w:lineRule="exact"/>
        <w:rPr>
          <w:sz w:val="20"/>
          <w:szCs w:val="20"/>
          <w:color w:val="auto"/>
        </w:rPr>
      </w:pPr>
    </w:p>
    <w:p>
      <w:pPr>
        <w:ind w:left="1080" w:right="939" w:hanging="822"/>
        <w:spacing w:after="0" w:line="282" w:lineRule="auto"/>
        <w:tabs>
          <w:tab w:leader="none" w:pos="7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with applicable taxonomy extension information contained in Exhibits 101).</w:t>
      </w:r>
    </w:p>
    <w:p>
      <w:pPr>
        <w:spacing w:after="0" w:line="16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Submitted electronically herewith.</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-462280</wp:posOffset>
            </wp:positionV>
            <wp:extent cx="141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Language): (i) Condensed Consolidated Balance Sheets at September 30, 2025 and December 31, 2024, (ii) Condensed Consolidated Statements of Income for the three and nine months ended September 30, 2025 and 2024, (iii) Condensed Consolidated Statements of Other Comprehensive Income for the three and nine months ended September 30, 2025 and 2024, (iv) Condensed Consolidated Statements of Stockholders’ Equity for the three and nine months ended September 30, 2025 and 2024, (v) Condensed Consolidated Statements of Cash Flows for the nine months ended September 30, 2025 and 2024, and (vi) Notes to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29, 2025</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TIMOTHY J. MCGRATH</w:t>
            </w:r>
          </w:p>
        </w:tc>
      </w:tr>
      <w:tr>
        <w:trPr>
          <w:trHeight w:val="191"/>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Timothy J. McGrath</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29, 2025</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C. BAKER</w:t>
            </w:r>
          </w:p>
        </w:tc>
      </w:tr>
      <w:tr>
        <w:trPr>
          <w:trHeight w:val="191"/>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C. Baker</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Timothy J. McGrath, certify that:</w:t>
      </w:r>
    </w:p>
    <w:p>
      <w:pPr>
        <w:spacing w:after="0" w:line="185" w:lineRule="exact"/>
        <w:rPr>
          <w:sz w:val="20"/>
          <w:szCs w:val="20"/>
          <w:color w:val="auto"/>
        </w:rPr>
      </w:pPr>
    </w:p>
    <w:p>
      <w:pPr>
        <w:ind w:left="700" w:hanging="650"/>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PC Connection, Inc.;</w:t>
      </w:r>
    </w:p>
    <w:p>
      <w:pPr>
        <w:spacing w:after="0" w:line="225" w:lineRule="exact"/>
        <w:rPr>
          <w:rFonts w:ascii="Times New Roman" w:cs="Times New Roman" w:eastAsia="Times New Roman" w:hAnsi="Times New Roman"/>
          <w:sz w:val="18"/>
          <w:szCs w:val="18"/>
          <w:color w:val="auto"/>
        </w:rPr>
      </w:pPr>
    </w:p>
    <w:p>
      <w:pPr>
        <w:ind w:left="700" w:right="299" w:hanging="650"/>
        <w:spacing w:after="0" w:line="258"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39" w:hanging="650"/>
        <w:spacing w:after="0" w:line="258"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40" w:right="79" w:hanging="642"/>
        <w:spacing w:after="0" w:line="251"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Times New Roman" w:cs="Times New Roman" w:eastAsia="Times New Roman" w:hAnsi="Times New Roman"/>
          <w:sz w:val="18"/>
          <w:szCs w:val="18"/>
          <w:color w:val="auto"/>
        </w:rPr>
      </w:pPr>
    </w:p>
    <w:p>
      <w:pPr>
        <w:ind w:left="1340" w:right="179" w:hanging="642"/>
        <w:spacing w:after="0" w:line="255"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340" w:right="179" w:hanging="642"/>
        <w:spacing w:after="0" w:line="250"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40" w:right="99" w:hanging="642"/>
        <w:spacing w:after="0" w:line="248"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Times New Roman" w:cs="Times New Roman" w:eastAsia="Times New Roman" w:hAnsi="Times New Roman"/>
          <w:sz w:val="18"/>
          <w:szCs w:val="18"/>
          <w:color w:val="auto"/>
        </w:rPr>
      </w:pPr>
    </w:p>
    <w:p>
      <w:pPr>
        <w:ind w:left="700" w:right="379" w:hanging="650"/>
        <w:spacing w:after="0" w:line="258"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1340" w:right="319" w:hanging="642"/>
        <w:spacing w:after="0" w:line="257"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40" w:right="99" w:hanging="642"/>
        <w:spacing w:after="0" w:line="260"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160"/>
        <w:spacing w:after="0"/>
        <w:tabs>
          <w:tab w:leader="none" w:pos="4600" w:val="left"/>
        </w:tabs>
        <w:rPr>
          <w:sz w:val="20"/>
          <w:szCs w:val="20"/>
          <w:color w:val="auto"/>
        </w:rPr>
      </w:pPr>
      <w:r>
        <w:rPr>
          <w:rFonts w:ascii="Times New Roman" w:cs="Times New Roman" w:eastAsia="Times New Roman" w:hAnsi="Times New Roman"/>
          <w:sz w:val="35"/>
          <w:szCs w:val="35"/>
          <w:color w:val="auto"/>
          <w:vertAlign w:val="subscript"/>
        </w:rPr>
        <w:t>Date: October 29, 2025</w:t>
      </w:r>
      <w:r>
        <w:rPr>
          <w:sz w:val="20"/>
          <w:szCs w:val="20"/>
          <w:color w:val="auto"/>
        </w:rPr>
        <w:tab/>
      </w:r>
      <w:r>
        <w:rPr>
          <w:rFonts w:ascii="Times New Roman" w:cs="Times New Roman" w:eastAsia="Times New Roman" w:hAnsi="Times New Roman"/>
          <w:sz w:val="14"/>
          <w:szCs w:val="14"/>
          <w:color w:val="auto"/>
        </w:rPr>
        <w:t>/s/ TIMOTHY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45720</wp:posOffset>
            </wp:positionV>
            <wp:extent cx="2811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Timothy J. McGrath</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Thomas C. Baker, certify that:</w:t>
      </w:r>
    </w:p>
    <w:p>
      <w:pPr>
        <w:spacing w:after="0" w:line="185" w:lineRule="exact"/>
        <w:rPr>
          <w:sz w:val="20"/>
          <w:szCs w:val="20"/>
          <w:color w:val="auto"/>
        </w:rPr>
      </w:pPr>
    </w:p>
    <w:p>
      <w:pPr>
        <w:ind w:left="700" w:hanging="650"/>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PC Connection, Inc.;</w:t>
      </w:r>
    </w:p>
    <w:p>
      <w:pPr>
        <w:spacing w:after="0" w:line="225" w:lineRule="exact"/>
        <w:rPr>
          <w:rFonts w:ascii="Times New Roman" w:cs="Times New Roman" w:eastAsia="Times New Roman" w:hAnsi="Times New Roman"/>
          <w:sz w:val="18"/>
          <w:szCs w:val="18"/>
          <w:color w:val="auto"/>
        </w:rPr>
      </w:pPr>
    </w:p>
    <w:p>
      <w:pPr>
        <w:ind w:left="700" w:right="299" w:hanging="650"/>
        <w:spacing w:after="0" w:line="258"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39" w:hanging="650"/>
        <w:spacing w:after="0" w:line="258"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40" w:right="79" w:hanging="642"/>
        <w:spacing w:after="0" w:line="252"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40" w:right="179" w:hanging="642"/>
        <w:spacing w:after="0" w:line="246"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40" w:right="179" w:hanging="642"/>
        <w:spacing w:after="0" w:line="249"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8"/>
          <w:szCs w:val="18"/>
          <w:color w:val="auto"/>
        </w:rPr>
      </w:pPr>
    </w:p>
    <w:p>
      <w:pPr>
        <w:ind w:left="1340" w:right="99" w:hanging="642"/>
        <w:spacing w:after="0" w:line="253"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19" w:hanging="642"/>
        <w:spacing w:after="0" w:line="257"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40" w:right="99" w:hanging="642"/>
        <w:spacing w:after="0" w:line="260"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tabs>
          <w:tab w:leader="none" w:pos="426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21"/>
          <w:szCs w:val="21"/>
          <w:color w:val="auto"/>
          <w:vertAlign w:val="superscript"/>
        </w:rPr>
        <w:t>/s/ THOMAS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-1270</wp:posOffset>
            </wp:positionV>
            <wp:extent cx="3025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ind w:left="4280"/>
        <w:spacing w:after="0"/>
        <w:rPr>
          <w:sz w:val="20"/>
          <w:szCs w:val="20"/>
          <w:color w:val="auto"/>
        </w:rPr>
      </w:pPr>
      <w:r>
        <w:rPr>
          <w:rFonts w:ascii="Times New Roman" w:cs="Times New Roman" w:eastAsia="Times New Roman" w:hAnsi="Times New Roman"/>
          <w:sz w:val="18"/>
          <w:szCs w:val="18"/>
          <w:color w:val="auto"/>
        </w:rPr>
        <w:t>Thomas C. Baker</w:t>
      </w:r>
    </w:p>
    <w:p>
      <w:pPr>
        <w:spacing w:after="0" w:line="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4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336" w:lineRule="exact"/>
        <w:rPr>
          <w:sz w:val="20"/>
          <w:szCs w:val="20"/>
          <w:color w:val="auto"/>
        </w:rPr>
      </w:pPr>
    </w:p>
    <w:p>
      <w:pPr>
        <w:ind w:left="60" w:right="6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PC Connection, Inc. (the “Company”) for the period ended September 30, 2025 as filed with the Securities and Exchange Commission on the date hereof (the “Report”), the undersigned, Timothy J. McGrath, President and Chief Executive Officer of the Company, hereby certifies, pursuant to 18 U.S.C. Section 1350, that to the best of his knowledge:</w:t>
      </w:r>
    </w:p>
    <w:p>
      <w:pPr>
        <w:spacing w:after="0" w:line="139" w:lineRule="exact"/>
        <w:rPr>
          <w:sz w:val="20"/>
          <w:szCs w:val="20"/>
          <w:color w:val="auto"/>
        </w:rPr>
      </w:pPr>
    </w:p>
    <w:p>
      <w:pPr>
        <w:ind w:left="1020" w:right="73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October 29, 2025</w:t>
            </w:r>
          </w:p>
        </w:tc>
        <w:tc>
          <w:tcPr>
            <w:tcW w:w="4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TIMOTHY J. MCGRATH</w:t>
            </w:r>
          </w:p>
        </w:tc>
      </w:tr>
      <w:tr>
        <w:trPr>
          <w:trHeight w:val="191"/>
        </w:trPr>
        <w:tc>
          <w:tcPr>
            <w:tcW w:w="4460" w:type="dxa"/>
            <w:vAlign w:val="bottom"/>
          </w:tcPr>
          <w:p>
            <w:pPr>
              <w:spacing w:after="0"/>
              <w:rPr>
                <w:sz w:val="16"/>
                <w:szCs w:val="16"/>
                <w:color w:val="auto"/>
              </w:rPr>
            </w:pPr>
          </w:p>
        </w:tc>
        <w:tc>
          <w:tcPr>
            <w:tcW w:w="44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Timothy J. McGrath</w:t>
            </w:r>
          </w:p>
        </w:tc>
      </w:tr>
      <w:tr>
        <w:trPr>
          <w:trHeight w:val="216"/>
        </w:trPr>
        <w:tc>
          <w:tcPr>
            <w:tcW w:w="446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tc>
      </w:tr>
      <w:tr>
        <w:trPr>
          <w:trHeight w:val="234"/>
        </w:trPr>
        <w:tc>
          <w:tcPr>
            <w:tcW w:w="4460" w:type="dxa"/>
            <w:vAlign w:val="bottom"/>
          </w:tcPr>
          <w:p>
            <w:pPr>
              <w:spacing w:after="0"/>
              <w:rPr>
                <w:sz w:val="20"/>
                <w:szCs w:val="20"/>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336" w:lineRule="exact"/>
        <w:rPr>
          <w:sz w:val="20"/>
          <w:szCs w:val="20"/>
          <w:color w:val="auto"/>
        </w:rPr>
      </w:pPr>
    </w:p>
    <w:p>
      <w:pPr>
        <w:ind w:left="60" w:right="7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PC Connection, Inc. (the “Company”) for the period ended September 30, 2025 as filed with the Securities and Exchange Commission on the date hereof (the “Report”), the undersigned, Thomas C. Baker, Senior Vice President, Chief Financial Officer and Treasurer of the Company, hereby certifies, pursuant to 18 U.S.C. Section 1350, that to the best of his knowledge:</w:t>
      </w:r>
    </w:p>
    <w:p>
      <w:pPr>
        <w:spacing w:after="0" w:line="139" w:lineRule="exact"/>
        <w:rPr>
          <w:sz w:val="20"/>
          <w:szCs w:val="20"/>
          <w:color w:val="auto"/>
        </w:rPr>
      </w:pPr>
    </w:p>
    <w:p>
      <w:pPr>
        <w:ind w:left="1020" w:right="73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137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tabs>
          <w:tab w:leader="none" w:pos="430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21"/>
          <w:szCs w:val="21"/>
          <w:color w:val="auto"/>
          <w:vertAlign w:val="superscript"/>
        </w:rPr>
        <w:t>/s/ THOMAS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-1270</wp:posOffset>
            </wp:positionV>
            <wp:extent cx="3000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18"/>
          <w:szCs w:val="18"/>
          <w:color w:val="auto"/>
        </w:rPr>
        <w:t>Thomas C. Baker</w:t>
      </w:r>
    </w:p>
    <w:p>
      <w:pPr>
        <w:spacing w:after="0" w:line="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3" Type="http://schemas.openxmlformats.org/officeDocument/2006/relationships/hyperlink" Target="https://www.sec.gov/Archives/edgar/data/1050377/000092701601501476/dex31.txt" TargetMode="External"/><Relationship Id="rId44" Type="http://schemas.openxmlformats.org/officeDocument/2006/relationships/hyperlink" Target="https://www.sec.gov/Archives/edgar/data/1050377/00011931250800393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2025-10-29T15:27:11Z</dcterms:created>
  <dcterms:modified xsi:type="dcterms:W3CDTF">2025-10-29T15:27:11Z</dcterms:modified>
</cp:coreProperties>
</file>