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4" w:lineRule="exact"/>
        <w:rPr>
          <w:sz w:val="24"/>
          <w:szCs w:val="24"/>
          <w:color w:val="auto"/>
        </w:rPr>
      </w:pPr>
    </w:p>
    <w:p>
      <w:pPr>
        <w:ind w:left="1520" w:hanging="491"/>
        <w:spacing w:after="0"/>
        <w:tabs>
          <w:tab w:leader="none" w:pos="1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1" w:lineRule="exact"/>
        <w:rPr>
          <w:sz w:val="24"/>
          <w:szCs w:val="24"/>
          <w:color w:val="auto"/>
        </w:rPr>
      </w:pPr>
    </w:p>
    <w:p>
      <w:pPr>
        <w:ind w:left="1540" w:hanging="480"/>
        <w:spacing w:after="0"/>
        <w:tabs>
          <w:tab w:leader="none" w:pos="15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7" w:lineRule="exact"/>
        <w:rPr>
          <w:sz w:val="24"/>
          <w:szCs w:val="24"/>
          <w:color w:val="auto"/>
        </w:rPr>
      </w:pPr>
    </w:p>
    <w:p>
      <w:pPr>
        <w:ind w:left="2800"/>
        <w:spacing w:after="0"/>
        <w:tabs>
          <w:tab w:leader="none" w:pos="6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0-23827</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PC CONNECTION, INC.</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31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02-0513618</w:t>
            </w:r>
          </w:p>
        </w:tc>
      </w:tr>
      <w:tr>
        <w:trPr>
          <w:trHeight w:val="216"/>
        </w:trPr>
        <w:tc>
          <w:tcPr>
            <w:tcW w:w="31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5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1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520" w:type="dxa"/>
            <w:vAlign w:val="bottom"/>
          </w:tcPr>
          <w:p>
            <w:pPr>
              <w:spacing w:after="0"/>
              <w:rPr>
                <w:sz w:val="20"/>
                <w:szCs w:val="20"/>
                <w:color w:val="auto"/>
              </w:rPr>
            </w:pPr>
          </w:p>
        </w:tc>
      </w:tr>
      <w:tr>
        <w:trPr>
          <w:trHeight w:val="302"/>
        </w:trPr>
        <w:tc>
          <w:tcPr>
            <w:tcW w:w="3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730 Milford Road</w:t>
            </w:r>
          </w:p>
        </w:tc>
        <w:tc>
          <w:tcPr>
            <w:tcW w:w="4520" w:type="dxa"/>
            <w:vAlign w:val="bottom"/>
          </w:tcPr>
          <w:p>
            <w:pPr>
              <w:spacing w:after="0"/>
              <w:rPr>
                <w:sz w:val="24"/>
                <w:szCs w:val="24"/>
                <w:color w:val="auto"/>
              </w:rPr>
            </w:pPr>
          </w:p>
        </w:tc>
      </w:tr>
      <w:tr>
        <w:trPr>
          <w:trHeight w:val="220"/>
        </w:trPr>
        <w:tc>
          <w:tcPr>
            <w:tcW w:w="3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Merrimack, New Hampshire</w:t>
            </w:r>
          </w:p>
        </w:tc>
        <w:tc>
          <w:tcPr>
            <w:tcW w:w="45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03054</w:t>
            </w:r>
          </w:p>
        </w:tc>
      </w:tr>
      <w:tr>
        <w:trPr>
          <w:trHeight w:val="234"/>
        </w:trPr>
        <w:tc>
          <w:tcPr>
            <w:tcW w:w="3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5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(Zip Code)</w:t>
            </w:r>
          </w:p>
        </w:tc>
      </w:tr>
      <w:tr>
        <w:trPr>
          <w:trHeight w:val="324"/>
        </w:trPr>
        <w:tc>
          <w:tcPr>
            <w:tcW w:w="3140" w:type="dxa"/>
            <w:vAlign w:val="bottom"/>
          </w:tcPr>
          <w:p>
            <w:pPr>
              <w:spacing w:after="0"/>
              <w:rPr>
                <w:sz w:val="24"/>
                <w:szCs w:val="24"/>
                <w:color w:val="auto"/>
              </w:rPr>
            </w:pPr>
          </w:p>
        </w:tc>
        <w:tc>
          <w:tcPr>
            <w:tcW w:w="4520" w:type="dxa"/>
            <w:vAlign w:val="bottom"/>
          </w:tcPr>
          <w:p>
            <w:pPr>
              <w:jc w:val="right"/>
              <w:ind w:right="3030"/>
              <w:spacing w:after="0"/>
              <w:rPr>
                <w:sz w:val="20"/>
                <w:szCs w:val="20"/>
                <w:color w:val="auto"/>
              </w:rPr>
            </w:pPr>
            <w:r>
              <w:rPr>
                <w:rFonts w:ascii="Times New Roman" w:cs="Times New Roman" w:eastAsia="Times New Roman" w:hAnsi="Times New Roman"/>
                <w:sz w:val="18"/>
                <w:szCs w:val="18"/>
                <w:b w:val="1"/>
                <w:bCs w:val="1"/>
                <w:color w:val="auto"/>
              </w:rPr>
              <w:t>(603) 683-2000</w:t>
            </w:r>
          </w:p>
        </w:tc>
      </w:tr>
    </w:tbl>
    <w:p>
      <w:pPr>
        <w:jc w:val="center"/>
        <w:ind w:right="-1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108585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CNXN</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63"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20"/>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17" w:lineRule="exact"/>
        <w:rPr>
          <w:sz w:val="24"/>
          <w:szCs w:val="24"/>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20"/>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2" w:lineRule="exact"/>
        <w:rPr>
          <w:sz w:val="24"/>
          <w:szCs w:val="24"/>
          <w:color w:val="auto"/>
        </w:rPr>
      </w:pPr>
    </w:p>
    <w:p>
      <w:pPr>
        <w:ind w:left="20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2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82" w:lineRule="exact"/>
        <w:rPr>
          <w:sz w:val="24"/>
          <w:szCs w:val="24"/>
          <w:color w:val="auto"/>
        </w:rPr>
      </w:pPr>
    </w:p>
    <w:p>
      <w:pPr>
        <w:sectPr>
          <w:pgSz w:w="11900" w:h="16838" w:orient="portrait"/>
          <w:cols w:equalWidth="0" w:num="2">
            <w:col w:w="4660" w:space="720"/>
            <w:col w:w="4560"/>
          </w:cols>
          <w:pgMar w:left="980" w:top="661" w:right="979" w:bottom="1440" w:gutter="0" w:footer="0" w:header="0"/>
          <w:type w:val="continuous"/>
        </w:sectPr>
      </w:pPr>
    </w:p>
    <w:p>
      <w:pPr>
        <w:ind w:right="70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49" w:lineRule="exact"/>
        <w:rPr>
          <w:sz w:val="24"/>
          <w:szCs w:val="24"/>
          <w:color w:val="auto"/>
        </w:rPr>
      </w:pPr>
    </w:p>
    <w:p>
      <w:pPr>
        <w:ind w:left="4380"/>
        <w:spacing w:after="0" w:line="207" w:lineRule="exact"/>
        <w:tabs>
          <w:tab w:leader="none" w:pos="506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highlight w:val="black"/>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issuer’s common stock as of October 21, 2026 was 25,247,910.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40" w:type="dxa"/>
            <w:vAlign w:val="bottom"/>
            <w:gridSpan w:val="13"/>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PC CONNECTION, INC. AND SUBSIDIARIES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40" w:type="dxa"/>
            <w:vAlign w:val="bottom"/>
            <w:gridSpan w:val="11"/>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line="20" w:lineRule="exact"/>
              <w:rPr>
                <w:sz w:val="1"/>
                <w:szCs w:val="1"/>
                <w:color w:val="auto"/>
              </w:rPr>
            </w:pPr>
          </w:p>
        </w:tc>
      </w:tr>
      <w:tr>
        <w:trPr>
          <w:trHeight w:val="412"/>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rPr>
              <w:t>ITEM 1.</w:t>
            </w:r>
          </w:p>
        </w:tc>
        <w:tc>
          <w:tcPr>
            <w:tcW w:w="82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Unaudited Condensed Consolidated Financial Statements:</w:t>
            </w:r>
          </w:p>
        </w:tc>
        <w:tc>
          <w:tcPr>
            <w:tcW w:w="7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gridSpan w:val="2"/>
            <w:vMerge w:val="continue"/>
          </w:tcPr>
          <w:p>
            <w:pPr>
              <w:spacing w:after="0"/>
              <w:rPr>
                <w:sz w:val="17"/>
                <w:szCs w:val="17"/>
                <w:color w:val="auto"/>
              </w:rPr>
            </w:pPr>
          </w:p>
        </w:tc>
        <w:tc>
          <w:tcPr>
            <w:tcW w:w="8220" w:type="dxa"/>
            <w:vAlign w:val="bottom"/>
            <w:gridSpan w:val="17"/>
            <w:vMerge w:val="continue"/>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Sheets–September 30, 2026 and December 31, 2025</w:t>
            </w:r>
          </w:p>
        </w:tc>
        <w:tc>
          <w:tcPr>
            <w:tcW w:w="1980" w:type="dxa"/>
            <w:vAlign w:val="bottom"/>
            <w:gridSpan w:val="6"/>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Income–Three and Nine Months Ended September 30, 2026 and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7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Other Comprehensive Income–Three and Nine Months Ended</w:t>
            </w:r>
          </w:p>
        </w:tc>
        <w:tc>
          <w:tcPr>
            <w:tcW w:w="860" w:type="dxa"/>
            <w:vAlign w:val="bottom"/>
            <w:gridSpan w:val="4"/>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2026 and 2025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Equity–Three and Nine Months Ended September 30,</w:t>
            </w:r>
          </w:p>
        </w:tc>
        <w:tc>
          <w:tcPr>
            <w:tcW w:w="4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2026 and 2025</w:t>
            </w:r>
          </w:p>
        </w:tc>
        <w:tc>
          <w:tcPr>
            <w:tcW w:w="714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Flows–Nine Months Ended September 30, 2026 and 2025</w:t>
            </w:r>
          </w:p>
        </w:tc>
        <w:tc>
          <w:tcPr>
            <w:tcW w:w="760" w:type="dxa"/>
            <w:vAlign w:val="bottom"/>
            <w:gridSpan w:val="3"/>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3420" w:type="dxa"/>
            <w:vAlign w:val="bottom"/>
            <w:gridSpan w:val="8"/>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86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b w:val="1"/>
                <w:bCs w:val="1"/>
                <w:color w:val="0000EE"/>
                <w:w w:val="97"/>
              </w:rPr>
              <w:t>PART II OTHER INFORMATION</w:t>
            </w:r>
          </w:p>
        </w:tc>
        <w:tc>
          <w:tcPr>
            <w:tcW w:w="3600" w:type="dxa"/>
            <w:vAlign w:val="bottom"/>
          </w:tcPr>
          <w:p>
            <w:pPr>
              <w:spacing w:after="0"/>
              <w:rPr>
                <w:sz w:val="18"/>
                <w:szCs w:val="18"/>
                <w:color w:val="auto"/>
              </w:rPr>
            </w:pPr>
          </w:p>
        </w:tc>
      </w:tr>
      <w:tr>
        <w:trPr>
          <w:trHeight w:val="412"/>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r>
              <w:rPr>
                <w:rFonts w:ascii="Times New Roman" w:cs="Times New Roman" w:eastAsia="Times New Roman" w:hAnsi="Times New Roman"/>
                <w:sz w:val="18"/>
                <w:szCs w:val="18"/>
                <w:color w:val="000000"/>
              </w:rPr>
              <w:t>.</w:t>
            </w: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0000EE"/>
              </w:rPr>
              <w:t>Legal Proceedings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412"/>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r>
              <w:rPr>
                <w:rFonts w:ascii="Times New Roman" w:cs="Times New Roman" w:eastAsia="Times New Roman" w:hAnsi="Times New Roman"/>
                <w:sz w:val="18"/>
                <w:szCs w:val="18"/>
                <w:color w:val="000000"/>
              </w:rPr>
              <w:t>.</w:t>
            </w: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0000EE"/>
              </w:rPr>
              <w:t>Risk Factors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412"/>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412"/>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r>
              <w:rPr>
                <w:rFonts w:ascii="Times New Roman" w:cs="Times New Roman" w:eastAsia="Times New Roman" w:hAnsi="Times New Roman"/>
                <w:sz w:val="18"/>
                <w:szCs w:val="18"/>
                <w:color w:val="000000"/>
              </w:rPr>
              <w:t>.</w:t>
            </w: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0000EE"/>
              </w:rPr>
              <w:t>Exhibits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412"/>
        </w:trPr>
        <w:tc>
          <w:tcPr>
            <w:tcW w:w="35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256"/>
        </w:trPr>
        <w:tc>
          <w:tcPr>
            <w:tcW w:w="5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ind w:left="7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6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ind w:left="3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124,597</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193,221</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213,457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648,020</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22,607</w:t>
            </w:r>
          </w:p>
        </w:tc>
        <w:tc>
          <w:tcPr>
            <w:tcW w:w="0" w:type="dxa"/>
            <w:vAlign w:val="bottom"/>
          </w:tcPr>
          <w:p>
            <w:pPr>
              <w:spacing w:after="0"/>
              <w:rPr>
                <w:sz w:val="1"/>
                <w:szCs w:val="1"/>
                <w:color w:val="auto"/>
              </w:rPr>
            </w:pPr>
          </w:p>
        </w:tc>
      </w:tr>
      <w:tr>
        <w:trPr>
          <w:trHeight w:val="20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1,220,872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1,516,298</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1,350,925</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17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413,156</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338,202</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payroll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51,251</w:t>
            </w:r>
          </w:p>
        </w:tc>
        <w:tc>
          <w:tcPr>
            <w:tcW w:w="0" w:type="dxa"/>
            <w:vAlign w:val="bottom"/>
          </w:tcPr>
          <w:p>
            <w:pPr>
              <w:spacing w:after="0"/>
              <w:rPr>
                <w:sz w:val="1"/>
                <w:szCs w:val="1"/>
                <w:color w:val="auto"/>
              </w:rPr>
            </w:pPr>
          </w:p>
        </w:tc>
      </w:tr>
      <w:tr>
        <w:trPr>
          <w:trHeight w:val="21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420,392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440,795</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144,608</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905,890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(140,741)</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981,129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910,130</w:t>
            </w:r>
          </w:p>
        </w:tc>
        <w:tc>
          <w:tcPr>
            <w:tcW w:w="0" w:type="dxa"/>
            <w:vAlign w:val="bottom"/>
          </w:tcPr>
          <w:p>
            <w:pPr>
              <w:spacing w:after="0"/>
              <w:rPr>
                <w:sz w:val="1"/>
                <w:szCs w:val="1"/>
                <w:color w:val="auto"/>
              </w:rPr>
            </w:pPr>
          </w:p>
        </w:tc>
      </w:tr>
      <w:tr>
        <w:trPr>
          <w:trHeight w:val="20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1,516,298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1,350,925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5"/>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vMerge w:val="restart"/>
          </w:tcPr>
          <w:p>
            <w:pPr>
              <w:ind w:left="5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874,313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709,068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2,450,175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712,452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570,423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1,998,104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expenses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computation of earnings per common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25,241</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bottom w:val="single" w:sz="8" w:color="CCEEFF"/>
            </w:tcBorders>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25,441</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25,489</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25,362</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OTHER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260" w:type="dxa"/>
            <w:vAlign w:val="bottom"/>
            <w:vMerge w:val="restart"/>
          </w:tcPr>
          <w:p>
            <w:pPr>
              <w:ind w:left="6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3"/>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81,849</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(losses) gains on available-for-sale investments, net of tax of $55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$131 for the three and nine months ended September 30, 2026, respectively,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net of tax of $(36) and $24 for the three and nine months ended September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 2025, respectively</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81,357</w:t>
            </w:r>
          </w:p>
        </w:tc>
        <w:tc>
          <w:tcPr>
            <w:tcW w:w="16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1700" w:right="1700" w:firstLine="1720"/>
        <w:spacing w:after="0" w:line="278" w:lineRule="auto"/>
        <w:rPr>
          <w:sz w:val="20"/>
          <w:szCs w:val="20"/>
          <w:color w:val="auto"/>
        </w:rPr>
      </w:pPr>
      <w:r>
        <w:rPr>
          <w:rFonts w:ascii="Times New Roman" w:cs="Times New Roman" w:eastAsia="Times New Roman" w:hAnsi="Times New Roman"/>
          <w:sz w:val="17"/>
          <w:szCs w:val="17"/>
          <w:b w:val="1"/>
          <w:bCs w:val="1"/>
          <w:color w:val="auto"/>
        </w:rPr>
        <w:t>PC CONNECTION, INC. AND SUBSIDIARIES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2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2"/>
                <w:szCs w:val="12"/>
                <w:color w:val="auto"/>
              </w:rPr>
            </w:pPr>
          </w:p>
        </w:tc>
        <w:tc>
          <w:tcPr>
            <w:tcW w:w="13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 Income</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3"/>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2026</w:t>
            </w: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29,584</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149,530</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$ 946,196</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(208)</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(4,346)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(143,164)</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$ 952,650</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2,658</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paid on stock</w:t>
            </w:r>
          </w:p>
        </w:tc>
        <w:tc>
          <w:tcPr>
            <w:tcW w:w="2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declaration ($0.20 per share)</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(5,048)</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31,458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31,458</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net of tax</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42"/>
        </w:trPr>
        <w:tc>
          <w:tcPr>
            <w:tcW w:w="2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2026</w:t>
            </w: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29,594</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151,805</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$ 972,606</w:t>
            </w:r>
          </w:p>
        </w:tc>
        <w:tc>
          <w:tcPr>
            <w:tcW w:w="160" w:type="dxa"/>
            <w:vAlign w:val="bottom"/>
          </w:tcPr>
          <w:p>
            <w:pPr>
              <w:spacing w:after="0"/>
              <w:rPr>
                <w:sz w:val="12"/>
                <w:szCs w:val="12"/>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(414)</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(4,346)</w:t>
            </w:r>
          </w:p>
        </w:tc>
        <w:tc>
          <w:tcPr>
            <w:tcW w:w="140" w:type="dxa"/>
            <w:vAlign w:val="bottom"/>
          </w:tcPr>
          <w:p>
            <w:pPr>
              <w:spacing w:after="0"/>
              <w:rPr>
                <w:sz w:val="12"/>
                <w:szCs w:val="12"/>
                <w:color w:val="auto"/>
              </w:rPr>
            </w:pPr>
          </w:p>
        </w:tc>
        <w:tc>
          <w:tcPr>
            <w:tcW w:w="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(143,164)</w:t>
            </w:r>
          </w:p>
        </w:tc>
        <w:tc>
          <w:tcPr>
            <w:tcW w:w="160" w:type="dxa"/>
            <w:vAlign w:val="bottom"/>
            <w:gridSpan w:val="2"/>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$ 981,129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2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2"/>
                <w:szCs w:val="12"/>
                <w:color w:val="auto"/>
              </w:rPr>
            </w:pPr>
          </w:p>
        </w:tc>
        <w:tc>
          <w:tcPr>
            <w:tcW w:w="13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 Income</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2025</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29,438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141,406</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$ 868,016</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(4,042)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(124,843)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$ 884,820</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paid on stock</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 for treasury</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(5,165)</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(5,165)</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declaration ($0.15 per share)</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24,740</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 of tax</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29,451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143,413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$ 888,957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(130,008)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$ 902,742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2"/>
                <w:szCs w:val="12"/>
                <w:color w:val="auto"/>
              </w:rPr>
            </w:pPr>
          </w:p>
        </w:tc>
        <w:tc>
          <w:tcPr>
            <w:tcW w:w="13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 Income</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3"/>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2025</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29,525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144,608</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$ 905,890</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(4,304)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(140,741)</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$ 910,130</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paid on stock</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 for treasury</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(2,423)</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(2,423)</w:t>
            </w: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declaration ($0.20 per share)</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(15,133)</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81,849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81,849</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net of tax</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42"/>
        </w:trPr>
        <w:tc>
          <w:tcPr>
            <w:tcW w:w="2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2026</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29,594</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151,805</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$ 972,606</w:t>
            </w:r>
          </w:p>
        </w:tc>
        <w:tc>
          <w:tcPr>
            <w:tcW w:w="160" w:type="dxa"/>
            <w:vAlign w:val="bottom"/>
          </w:tcPr>
          <w:p>
            <w:pPr>
              <w:spacing w:after="0"/>
              <w:rPr>
                <w:sz w:val="12"/>
                <w:szCs w:val="12"/>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(414)</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(4,346)</w:t>
            </w:r>
          </w:p>
        </w:tc>
        <w:tc>
          <w:tcPr>
            <w:tcW w:w="140" w:type="dxa"/>
            <w:vAlign w:val="bottom"/>
          </w:tcPr>
          <w:p>
            <w:pPr>
              <w:spacing w:after="0"/>
              <w:rPr>
                <w:sz w:val="12"/>
                <w:szCs w:val="12"/>
                <w:color w:val="auto"/>
              </w:rPr>
            </w:pPr>
          </w:p>
        </w:tc>
        <w:tc>
          <w:tcPr>
            <w:tcW w:w="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(143,164)</w:t>
            </w:r>
          </w:p>
        </w:tc>
        <w:tc>
          <w:tcPr>
            <w:tcW w:w="160" w:type="dxa"/>
            <w:vAlign w:val="bottom"/>
            <w:gridSpan w:val="2"/>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$ 981,129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2"/>
                <w:szCs w:val="12"/>
                <w:color w:val="auto"/>
              </w:rPr>
            </w:pPr>
          </w:p>
        </w:tc>
        <w:tc>
          <w:tcPr>
            <w:tcW w:w="13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Treasury 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 Income</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3"/>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2024</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29,390</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137,036</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$ 837,466</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(63,980)</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$ 910,990</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7,102</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7,102</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paid on stock</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 for treasury</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(66,028)</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(66,028)</w:t>
            </w: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declaration ($0.15 per share)</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(11,519)</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63,010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63,010</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net of tax</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2"/>
        </w:trPr>
        <w:tc>
          <w:tcPr>
            <w:tcW w:w="2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September 30, 2025</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29,451</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143,413</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$ 888,957</w:t>
            </w:r>
          </w:p>
        </w:tc>
        <w:tc>
          <w:tcPr>
            <w:tcW w:w="160" w:type="dxa"/>
            <w:vAlign w:val="bottom"/>
          </w:tcPr>
          <w:p>
            <w:pPr>
              <w:spacing w:after="0"/>
              <w:rPr>
                <w:sz w:val="12"/>
                <w:szCs w:val="12"/>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(4,125)</w:t>
            </w:r>
          </w:p>
        </w:tc>
        <w:tc>
          <w:tcPr>
            <w:tcW w:w="140" w:type="dxa"/>
            <w:vAlign w:val="bottom"/>
          </w:tcPr>
          <w:p>
            <w:pPr>
              <w:spacing w:after="0"/>
              <w:rPr>
                <w:sz w:val="12"/>
                <w:szCs w:val="12"/>
                <w:color w:val="auto"/>
              </w:rPr>
            </w:pPr>
          </w:p>
        </w:tc>
        <w:tc>
          <w:tcPr>
            <w:tcW w:w="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(130,008)</w:t>
            </w:r>
          </w:p>
        </w:tc>
        <w:tc>
          <w:tcPr>
            <w:tcW w:w="160" w:type="dxa"/>
            <w:vAlign w:val="bottom"/>
            <w:gridSpan w:val="2"/>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$ 902,742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5"/>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0"/>
                <w:szCs w:val="10"/>
                <w:color w:val="auto"/>
              </w:rPr>
            </w:pPr>
          </w:p>
        </w:tc>
        <w:tc>
          <w:tcPr>
            <w:tcW w:w="260" w:type="dxa"/>
            <w:vAlign w:val="bottom"/>
            <w:gridSpan w:val="2"/>
          </w:tcPr>
          <w:p>
            <w:pPr>
              <w:jc w:val="right"/>
              <w:ind w:right="56"/>
              <w:spacing w:after="0" w:line="11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2"/>
          </w:tcPr>
          <w:p>
            <w:pPr>
              <w:jc w:val="center"/>
              <w:ind w:right="9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 Operating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81,849</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Adjustments to credit losses reserve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Deferred income taxes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discount on short-term investments, net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Gain on sale of short-term investments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(39,819)</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 Investing Activities: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6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common stock for treasury shares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for excise tax on purchase of common stock for treasury shares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payments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payroll taxes on stock-based compensation through shares withheld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124,597</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purchase of treasury shares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excise tax on treasury purchases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PC CONNECTION,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PC Connection, Inc. and its subsidiaries, or the Company, have been prepared pursuant to the rules and regulations of the Securities and Exchange Commission, or SEC, regarding interim financial reporting and in accordance with accounting principles generally accepted in the United States of America, or U.S. GAAP. Such principles were applied on a basis consistent with the accounting policies described in the Company’s Annual Report on Form 10-K for the year ended December 31, 2025, filed with the SEC. The accompanying unaudited condensed consolidated financial statements should be read in conjunction with the audited consolidated financial statements contained in the Company’s Annual Report on Form 10-K for the year ended December 31, 2025.</w:t>
      </w:r>
    </w:p>
    <w:p>
      <w:pPr>
        <w:spacing w:after="0" w:line="19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financial statements. The operating results for the three and nine months ended September 30, 2026 may not be indicative of the results expected for any succeeding quarter or the entire year ending December 31, 2026.</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These estimates and assumptions affect the reported amounts and disclosures of assets and liabilities and the reported amounts and disclosures of revenue and expenses during the period. Management bases its estimates and judgments on the information available at the time and various other assumptions believed to be reasonable under the circumstances. By nature, estimates are subject to an inherent degree of uncertainty. Actual results could differ from those estimates and assumptions.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Investments</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short-term investments with original maturities of 90 days or less to be cash equivalents. The carrying value of the Company’s cash equivalents approximates fair value. Fair value is defined as the price that would be received to sell an asset or paid to transfer a liability in an orderly transaction between market participants at the measurement date.</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At the time of purchase, the Company determines the appropriate classification of investments based upon its intent with regard to such investments. All of the Company’s investments are classified as available-for-sale. The Company classifies investments as short-term when their remaining contractual maturities are one year or less from the balance sheet date, and as long-term when the investment has a remaining contractual maturity of more than one year from the balance sheet date. The Company records investments at fair value with unrealized gains and losses recorded as a component of accumulated other comprehensive (loss) income on the condensed consolidated balance sheets.</w:t>
      </w:r>
    </w:p>
    <w:p>
      <w:pPr>
        <w:spacing w:after="0" w:line="187"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Included in interest income, net on the condensed consolidated statements of income is interest income on cash equivalents and short-term investments of $2,468 and $8,132 for the three and nine months ended September 30, 2026, respectively, and $3,689 and $10,706 for the three and nine months ended September 30, 2025, respectively.</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Treasury Stock, at Cost</w:t>
      </w:r>
    </w:p>
    <w:p>
      <w:pPr>
        <w:spacing w:after="0" w:line="22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total repurchases for the nine months ended September 30, 2026 and 2025 were recorded as treasury stock of $2,423 and $66,028, respectively. Such costs reflect the applicable one percent excise tax imposed by the Inflation Reduction Act of 2022 on the net value of certain stock repurchases made after December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Severance Expenses</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severance expenses recorded for the nine months ended September 30, 2026 and 2025 were related to voluntary and involuntary reductions in the Company’s workforce to lower the Company’s cost structure. Both the voluntary and involuntary reductions included cash severance and other related termination benefits. The majority of each of these costs are expected to be paid within a year of the applicable termination. Included in accrued payroll on the condensed consolidated balance sheets as of September 30, 2026 was $427 related to unpaid severance expenses.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Financial Accounting Standards</w:t>
      </w:r>
    </w:p>
    <w:p>
      <w:pPr>
        <w:spacing w:after="0" w:line="22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w:t>
      </w:r>
      <w:r>
        <w:rPr>
          <w:rFonts w:ascii="Times New Roman" w:cs="Times New Roman" w:eastAsia="Times New Roman" w:hAnsi="Times New Roman"/>
          <w:sz w:val="18"/>
          <w:szCs w:val="18"/>
          <w:color w:val="auto"/>
        </w:rPr>
        <w:t>. This guidance is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provide more detailed disclosure about certain costs and expenses presented in the income statement, including inventory purchases, employee compensation, selling expenses, and depreciation expense. This ASU is effective for the Company’s annual reporting periods beginning January 1, 2027, and for interim reporting periods beginning January 1, 2028, with early adoption permitted. The Company is currently evaluating the impact of the adoption of this standard on its consolidated financial statements.</w:t>
      </w:r>
    </w:p>
    <w:p>
      <w:pPr>
        <w:spacing w:after="0" w:line="183" w:lineRule="exact"/>
        <w:rPr>
          <w:sz w:val="20"/>
          <w:szCs w:val="20"/>
          <w:color w:val="auto"/>
        </w:rPr>
      </w:pPr>
    </w:p>
    <w:p>
      <w:pPr>
        <w:ind w:left="60" w:right="21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for Accounts Receivable and Contract Assets</w:t>
      </w:r>
      <w:r>
        <w:rPr>
          <w:rFonts w:ascii="Times New Roman" w:cs="Times New Roman" w:eastAsia="Times New Roman" w:hAnsi="Times New Roman"/>
          <w:sz w:val="18"/>
          <w:szCs w:val="18"/>
          <w:color w:val="auto"/>
        </w:rPr>
        <w:t>. This guidance provides a practical expedient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estimating expected credit losses for accounts receivable and contract assets by assuming that current conditions remain unchanged over the life of the asset. This ASU is effective for the Company’s annual reporting periods beginning January 1, 2026, and for interim reporting periods beginning January 1, 2027, with early adoption permitted. The Company is currently evaluating the impact of the adoption of this standard on its consolidated financial statements.</w:t>
      </w:r>
    </w:p>
    <w:p>
      <w:pPr>
        <w:spacing w:after="0" w:line="18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Targeted Improvements to the Accounting for Internal-Use Software</w:t>
      </w:r>
      <w:r>
        <w:rPr>
          <w:rFonts w:ascii="Times New Roman" w:cs="Times New Roman" w:eastAsia="Times New Roman" w:hAnsi="Times New Roman"/>
          <w:sz w:val="18"/>
          <w:szCs w:val="18"/>
          <w:color w:val="auto"/>
        </w:rPr>
        <w:t>. This guidance was issued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 new criteria to be considered for capitalization of software costs under Subtopic 350-40, as well as link the disclosure requirements of Subtopic 360-10 to capitalized costs accounted for under Subtopic 350-40. This ASU is effective for the Company’s annual reporting periods beginning January 1, 2028, and for interim reporting periods beginning January 1, 2029, with early adoption permitted. The Company is currently evaluating the impact of the adoption of this standard on its consolidated financial statements.</w:t>
      </w:r>
    </w:p>
    <w:p>
      <w:pPr>
        <w:spacing w:after="0" w:line="183" w:lineRule="exact"/>
        <w:rPr>
          <w:sz w:val="20"/>
          <w:szCs w:val="20"/>
          <w:color w:val="auto"/>
        </w:rPr>
      </w:pPr>
    </w:p>
    <w:p>
      <w:pPr>
        <w:ind w:left="60" w:right="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guidance is intended to improve the navigability of required interim disclosures and clarify when the guidance is applicable, as well as provide additional guidance on what disclosures should be provided in interim reporting periods. This ASU is effective for the Company’s interim reporting periods beginning January 1, 2028, with early adoption permitted. The Company is currently evaluating the impact of the adoption of this standard on its condensed consolidated financial statement disclosures.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2–Revenue</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its arrangements with customers by type of products and services, as it believes this method best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represent a disaggregation of revenue from arrangements with customers for the three months ended September 30, 2026 and 2025, along with the segment for each category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1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780" w:type="dxa"/>
            <w:vAlign w:val="bottom"/>
            <w:gridSpan w:val="3"/>
            <w:vMerge w:val="restart"/>
          </w:tcPr>
          <w:p>
            <w:pPr>
              <w:ind w:left="16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Enterprise</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Public Sector</w:t>
            </w:r>
          </w:p>
        </w:tc>
        <w:tc>
          <w:tcPr>
            <w:tcW w:w="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gridSpan w:val="2"/>
            <w:vMerge w:val="continue"/>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Notebooks/Mobility</w:t>
            </w:r>
          </w:p>
        </w:tc>
        <w:tc>
          <w:tcPr>
            <w:tcW w:w="1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$ 109,139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$ 282,753</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Desktops</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117,183</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Servers/Storage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Net/Com Products</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66,992</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Displays and Sound</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85,964</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Hardware/Services</w:t>
            </w:r>
          </w:p>
        </w:tc>
        <w:tc>
          <w:tcPr>
            <w:tcW w:w="17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58,560</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7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$ 407,476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328,223</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$ 138,614</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$ 874,313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780" w:type="dxa"/>
            <w:vAlign w:val="bottom"/>
            <w:gridSpan w:val="3"/>
            <w:vMerge w:val="restart"/>
          </w:tcPr>
          <w:p>
            <w:pPr>
              <w:ind w:left="16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Enterprise</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Public Sector</w:t>
            </w:r>
          </w:p>
        </w:tc>
        <w:tc>
          <w:tcPr>
            <w:tcW w:w="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gridSpan w:val="2"/>
            <w:vMerge w:val="continue"/>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Notebooks/Mobility</w:t>
            </w:r>
          </w:p>
        </w:tc>
        <w:tc>
          <w:tcPr>
            <w:tcW w:w="174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$ 101,460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$ 238,791</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Desktops</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95,129</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Servers/Storage</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Net/Com Products</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46,763</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Displays and Sound</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82,412</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Hardware/Services</w:t>
            </w:r>
          </w:p>
        </w:tc>
        <w:tc>
          <w:tcPr>
            <w:tcW w:w="1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51,687</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$ 319,744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$ 709,068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represent a disaggregation of revenue from arrangements with customers for the nine months ended September 30, 2026 and 2025, along with the segment for each category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60" w:type="dxa"/>
            <w:vAlign w:val="bottom"/>
            <w:vMerge w:val="restart"/>
          </w:tcPr>
          <w:p>
            <w:pPr>
              <w:ind w:left="50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Enterprise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2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Public Sector</w:t>
            </w:r>
          </w:p>
        </w:tc>
        <w:tc>
          <w:tcPr>
            <w:tcW w:w="440" w:type="dxa"/>
            <w:vAlign w:val="bottom"/>
            <w:gridSpan w:val="2"/>
          </w:tcPr>
          <w:p>
            <w:pPr>
              <w:jc w:val="right"/>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Notebooks/Mobility</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356,787</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$ 378,425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886,600</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304,704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104,668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274,549</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Servers/Storage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55,483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177,731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Net/Com Products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80,430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177,645</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Displays and Sound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100,162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65,141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201,345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151,558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252,857</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Hardware/Services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87,579</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63,398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174,744</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$ 1,123,567</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$ 947,655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378,953</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$ 2,450,175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Enterprise</w:t>
            </w:r>
          </w:p>
        </w:tc>
        <w:tc>
          <w:tcPr>
            <w:tcW w:w="2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Public Sector</w:t>
            </w:r>
          </w:p>
        </w:tc>
        <w:tc>
          <w:tcPr>
            <w:tcW w:w="4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Solutions  ​</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4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Notebooks/Mobility</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$ 286,685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$ 295,909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174,881</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757,475</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273,602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111,218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238,098</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Servers/Storage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172,686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Net/Com Products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147,281</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Displays and Sound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182,990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240,269</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Hardware/Services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77,335</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157,406</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$ 943,758</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$ 808,394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417,655</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$ 2,169,807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25"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contract liabilities from arrangements with customers as of September 30, 2026 and December 31, 2025 (in thousands).</w:t>
      </w:r>
    </w:p>
    <w:p>
      <w:pPr>
        <w:spacing w:after="0" w:line="16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​September 30, 2026</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tabs>
          <w:tab w:leader="none" w:pos="6340" w:val="left"/>
          <w:tab w:leader="none" w:pos="7020" w:val="left"/>
          <w:tab w:leader="none" w:pos="7720" w:val="left"/>
          <w:tab w:leader="none" w:pos="8460" w:val="left"/>
        </w:tabs>
        <w:rPr>
          <w:sz w:val="20"/>
          <w:szCs w:val="20"/>
          <w:color w:val="auto"/>
        </w:rPr>
      </w:pPr>
      <w:r>
        <w:rPr>
          <w:rFonts w:ascii="Times New Roman" w:cs="Times New Roman" w:eastAsia="Times New Roman" w:hAnsi="Times New Roman"/>
          <w:sz w:val="18"/>
          <w:szCs w:val="18"/>
          <w:color w:val="auto"/>
        </w:rPr>
        <w:t>Contract liabilities, which are included in "Accrued expenses and other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11,889</w:t>
        <w:tab/>
        <w:t>$</w:t>
      </w:r>
      <w:r>
        <w:rPr>
          <w:sz w:val="20"/>
          <w:szCs w:val="20"/>
          <w:color w:val="auto"/>
        </w:rPr>
        <w:tab/>
      </w:r>
      <w:r>
        <w:rPr>
          <w:rFonts w:ascii="Times New Roman" w:cs="Times New Roman" w:eastAsia="Times New Roman" w:hAnsi="Times New Roman"/>
          <w:sz w:val="18"/>
          <w:szCs w:val="18"/>
          <w:color w:val="auto"/>
        </w:rPr>
        <w:t>8,801</w:t>
      </w:r>
    </w:p>
    <w:p>
      <w:pPr>
        <w:spacing w:after="0" w:line="205" w:lineRule="exact"/>
        <w:rPr>
          <w:sz w:val="20"/>
          <w:szCs w:val="20"/>
          <w:color w:val="auto"/>
        </w:rPr>
      </w:pPr>
    </w:p>
    <w:p>
      <w:pPr>
        <w:ind w:left="60" w:right="59" w:firstLine="270"/>
        <w:spacing w:after="0" w:line="261" w:lineRule="auto"/>
        <w:rPr>
          <w:sz w:val="20"/>
          <w:szCs w:val="20"/>
          <w:color w:val="auto"/>
        </w:rPr>
      </w:pPr>
      <w:r>
        <w:rPr>
          <w:rFonts w:ascii="Times New Roman" w:cs="Times New Roman" w:eastAsia="Times New Roman" w:hAnsi="Times New Roman"/>
          <w:sz w:val="18"/>
          <w:szCs w:val="18"/>
          <w:color w:val="auto"/>
        </w:rPr>
        <w:t>Changes in the contract liability balances during the nine months ended September 30, 2026 and 2025 are as follows (in thousands):</w:t>
      </w:r>
    </w:p>
    <w:tbl>
      <w:tblPr>
        <w:tblLayout w:type="fixed"/>
        <w:tblInd w:w="40" w:type="dxa"/>
        <w:tblCellMar>
          <w:top w:w="0" w:type="dxa"/>
          <w:left w:w="0" w:type="dxa"/>
          <w:bottom w:w="0" w:type="dxa"/>
          <w:right w:w="0" w:type="dxa"/>
        </w:tblCellMar>
      </w:tblPr>
      <w:tr>
        <w:trPr>
          <w:trHeight w:val="162"/>
        </w:trPr>
        <w:tc>
          <w:tcPr>
            <w:tcW w:w="7560" w:type="dxa"/>
            <w:vAlign w:val="bottom"/>
            <w:tcBorders>
              <w:bottom w:val="single" w:sz="8" w:color="CCEEFF"/>
            </w:tcBorders>
          </w:tcPr>
          <w:p>
            <w:pPr>
              <w:ind w:left="74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in advance and not recognized as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as revenue as performance obligations satisfied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(17,018)</w:t>
            </w: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w:t>
            </w: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75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in advance and not recognized as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27,290</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as revenue as performance obligations satisfied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(29,777)</w:t>
            </w: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w:t>
            </w: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229"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Cash equivalents and short-term investments as of September 30, 2026 and December 31, 2025 consist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Pr>
          <w:p>
            <w:pPr>
              <w:spacing w:after="0"/>
              <w:rPr>
                <w:sz w:val="10"/>
                <w:szCs w:val="10"/>
                <w:color w:val="auto"/>
              </w:rPr>
            </w:pPr>
          </w:p>
        </w:tc>
        <w:tc>
          <w:tcPr>
            <w:tcW w:w="7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0"/>
                <w:szCs w:val="10"/>
                <w:color w:val="auto"/>
              </w:rPr>
            </w:pPr>
          </w:p>
        </w:tc>
        <w:tc>
          <w:tcPr>
            <w:tcW w:w="86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34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219,241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218,717</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299,508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298,984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Pr>
          <w:p>
            <w:pPr>
              <w:spacing w:after="0"/>
              <w:rPr>
                <w:sz w:val="10"/>
                <w:szCs w:val="10"/>
                <w:color w:val="auto"/>
              </w:rPr>
            </w:pPr>
          </w:p>
        </w:tc>
        <w:tc>
          <w:tcPr>
            <w:tcW w:w="7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0"/>
                <w:szCs w:val="10"/>
                <w:color w:val="auto"/>
              </w:rPr>
            </w:pPr>
          </w:p>
        </w:tc>
        <w:tc>
          <w:tcPr>
            <w:tcW w:w="86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34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170,826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170,826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213,358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213,457</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384,184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384,283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Investments with maturities of 90 days or less from the date of purchase are classified as cash equivalents; investments with maturities of greater than 90 days from the date of purchase but less than one year are generally classified as short-term investments; and investments with maturities of one year or greater from the date of purchase are generally classified as long-term investments. All short-term investments had stated maturity dates of less than one year. The Company has recorded the securities at fair value on its condensed consolidated balance sheets and unrealized gains and losses are reported as a component of accumulated other comprehensive (loss) income. The amount of realized gains and losses reclassified into earnings and the related adjustments to deferred taxes are based on the specific identification of the securities sold or securities that reached maturity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at fair value. Fair value is determined based upon the exit price that would be received to sell an asset in an orderly transaction between market participants, as determined by either the principal market or the most advantageous market. Inputs used in the valuation techniques are classified based on a three-level hierarchy, as follows:</w:t>
      </w:r>
    </w:p>
    <w:p>
      <w:pPr>
        <w:spacing w:after="0" w:line="180"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Observable inputs other than those described as Level 1; and</w:t>
      </w:r>
    </w:p>
    <w:p>
      <w:pPr>
        <w:spacing w:after="0" w:line="225" w:lineRule="exact"/>
        <w:rPr>
          <w:rFonts w:ascii="Times New Roman" w:cs="Times New Roman" w:eastAsia="Times New Roman" w:hAnsi="Times New Roman"/>
          <w:sz w:val="18"/>
          <w:szCs w:val="18"/>
          <w:color w:val="auto"/>
        </w:rPr>
      </w:pPr>
    </w:p>
    <w:p>
      <w:pPr>
        <w:ind w:left="720" w:right="83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that are supported by little or no market activities and are based on significant assumptions and estimates.</w:t>
      </w:r>
    </w:p>
    <w:p>
      <w:pPr>
        <w:spacing w:after="0" w:line="162"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fair values of the Company’s investments were all measured using level 1 inputs.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229" w:lineRule="exact"/>
        <w:rPr>
          <w:sz w:val="20"/>
          <w:szCs w:val="20"/>
          <w:color w:val="auto"/>
        </w:rPr>
      </w:pPr>
    </w:p>
    <w:p>
      <w:pPr>
        <w:jc w:val="both"/>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using the weighted average number of shares outstanding. Diluted earnings per share is computed using the weighted average number of shares outstanding adjusted for the incremental shares attributable to non-vested stock units and stock options outstanding, if dilutive.</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nine months ended September 30, 2026 and 2025 (in thousands, except per share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660" w:type="dxa"/>
            <w:vAlign w:val="bottom"/>
            <w:vMerge w:val="restart"/>
          </w:tcPr>
          <w:p>
            <w:pPr>
              <w:ind w:left="5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63,010</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employee stock awards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Company had no outstanding non-vested stock units that were excluded from the computation of diluted earnings per share because including them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facilities from a related party, which is a company affiliated with it through common ownership. The costs for these leases are presented within short-term lease cost in the below table.</w:t>
      </w:r>
    </w:p>
    <w:p>
      <w:pPr>
        <w:spacing w:after="0" w:line="16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there were no additional significant operating leases that have not yet commenced. Refer to the following table for quantitative information related to the Company’s leases for the three and nine months ended September 30, 2026 and 2025 (dollars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6"/>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gridSpan w:val="8"/>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580" w:type="dxa"/>
            <w:vAlign w:val="bottom"/>
            <w:tcBorders>
              <w:bottom w:val="single" w:sz="8" w:color="auto"/>
            </w:tcBorders>
            <w:gridSpan w:val="8"/>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4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2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720" w:type="dxa"/>
            <w:vAlign w:val="bottom"/>
            <w:tcBorders>
              <w:top w:val="single" w:sz="8" w:color="CCEEFF"/>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Lease Cost</w:t>
            </w:r>
          </w:p>
        </w:tc>
        <w:tc>
          <w:tcPr>
            <w:tcW w:w="3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Capitalized operating lease cost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7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5"/>
                <w:szCs w:val="15"/>
                <w:color w:val="auto"/>
              </w:rPr>
            </w:pPr>
          </w:p>
        </w:tc>
        <w:tc>
          <w:tcPr>
            <w:tcW w:w="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2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of lease liabilities and capitalized</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cash flows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2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lease</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6"/>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580" w:type="dxa"/>
            <w:vAlign w:val="bottom"/>
            <w:tcBorders>
              <w:bottom w:val="single" w:sz="8" w:color="auto"/>
            </w:tcBorders>
            <w:gridSpan w:val="8"/>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4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2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720" w:type="dxa"/>
            <w:vAlign w:val="bottom"/>
            <w:tcBorders>
              <w:top w:val="single" w:sz="8" w:color="CCEEFF"/>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Lease Cost</w:t>
            </w:r>
          </w:p>
        </w:tc>
        <w:tc>
          <w:tcPr>
            <w:tcW w:w="3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Capitalized operating lease cost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7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5"/>
                <w:szCs w:val="15"/>
                <w:color w:val="auto"/>
              </w:rPr>
            </w:pPr>
          </w:p>
        </w:tc>
        <w:tc>
          <w:tcPr>
            <w:tcW w:w="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2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of lease liabilities and capitalized</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cash flows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future lease payments over the remaining term of capitalized operating leases were as follows (in thousands):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nine months ended September 30, 2026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balance at September 30, 2026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2026, the right-of-use, or ROU, asset had a balance of $7,541. The long-term lease liability was $6,712 and the short-term lease liability, which is included in accrued expenses and other liabilities on the condensed consolidated balance sheets, was $1,118. As of December 31, 2025, the ROU asset had a balance of $1,569. The long-term lease liability was $498 and the short-term lease liability, which is included in accrued expenses and other liabilities on the condensed consolidated balance sheets, was $1,290.</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6–Accumulated Other Comprehensive (Loss) Income</w:t>
      </w:r>
    </w:p>
    <w:p>
      <w:pPr>
        <w:spacing w:after="0" w:line="229" w:lineRule="exact"/>
        <w:rPr>
          <w:sz w:val="20"/>
          <w:szCs w:val="20"/>
          <w:color w:val="auto"/>
        </w:rPr>
      </w:pPr>
    </w:p>
    <w:p>
      <w:pPr>
        <w:jc w:val="both"/>
        <w:ind w:left="60" w:right="699" w:firstLine="324"/>
        <w:spacing w:after="0" w:line="266" w:lineRule="auto"/>
        <w:rPr>
          <w:sz w:val="20"/>
          <w:szCs w:val="20"/>
          <w:color w:val="auto"/>
        </w:rPr>
      </w:pPr>
      <w:r>
        <w:rPr>
          <w:rFonts w:ascii="Times New Roman" w:cs="Times New Roman" w:eastAsia="Times New Roman" w:hAnsi="Times New Roman"/>
          <w:sz w:val="18"/>
          <w:szCs w:val="18"/>
          <w:color w:val="auto"/>
        </w:rPr>
        <w:t>Accumulated other comprehensive (loss) income, which is included as a component of stockholders’ equity, is comprised of unrealized gains and losses on short-term investments, net of tax. The changes in accumulated other comprehensive (loss) income were as follows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amounts reclassified from accumulated other comprehensive (loss) income, net of tax</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7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September 30,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34"/>
        </w:trPr>
        <w:tc>
          <w:tcPr>
            <w:tcW w:w="7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amounts reclassified from accumulated other comprehensive (loss) income, net of tax</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7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Included in amounts reclassified from accumulated other comprehensive (loss) income, net of tax for the nine months ended September 30, 2025 is $76 of realized gain, which is included in “Other income” on the unaudited condensed consolidated statements of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7–Segment Information</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internal reporting structure used by the Company’s chief operating decision maker, or CODM, to assess performance and allocate resources determines the basis for the Company’s operating segments. The Company’s operations are organized under three reporting segments—the Enterprise Solutions segment, which serves primarily medium-to-large corporations; the Business Solutions segment, which serves primarily small- to medium-sized businesses; and the Public Sector Solutions segment, which serves primarily federal, state, and local government and educational institutions. In addition, the Headquarters/Other provides services in areas such as finance, human resources, IT, marketing, and product management. Most of the operating costs associated with the Headquarters/Other functions are charged to the operating segments based on their estimated usage of the underlying functions. The Company reports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these charges to the operating segments as “Allocations”. Headquarters/Other amounts that are not allocated to the operating segments are shown as reconciling items in the tables below.</w:t>
      </w:r>
    </w:p>
    <w:p>
      <w:pPr>
        <w:spacing w:after="0" w:line="16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Company’s CODM is its Chief Executive Officer, and he assesses the segments’ performance by using each segment’s operating income (which includes certain corporate overhead allocations attributable to each of the segments). Net sales presented below exclude inter-segment product revenues. The CODM uses operating income for each segment in the annual budget, periodic forecasting, and quarterly results processes.</w:t>
      </w:r>
    </w:p>
    <w:p>
      <w:pPr>
        <w:spacing w:after="0" w:line="180"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Segment information applicable to the Company’s operating segments and the related reconciliations to consolidated amounts for the three and nine months ended September 30, 2026 and 2025 are shown below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8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3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gridSpan w:val="2"/>
            <w:vMerge w:val="continue"/>
          </w:tcPr>
          <w:p>
            <w:pPr>
              <w:spacing w:after="0"/>
              <w:rPr>
                <w:sz w:val="13"/>
                <w:szCs w:val="13"/>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3"/>
                <w:szCs w:val="13"/>
                <w:color w:val="auto"/>
              </w:rPr>
            </w:pPr>
          </w:p>
        </w:tc>
        <w:tc>
          <w:tcPr>
            <w:tcW w:w="780" w:type="dxa"/>
            <w:vAlign w:val="bottom"/>
          </w:tcPr>
          <w:p>
            <w:pPr>
              <w:jc w:val="right"/>
              <w:ind w:right="92"/>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p>
        </w:tc>
        <w:tc>
          <w:tcPr>
            <w:tcW w:w="760" w:type="dxa"/>
            <w:vAlign w:val="bottom"/>
            <w:tcBorders>
              <w:bottom w:val="single" w:sz="8" w:color="CCEEFF"/>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407,476</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328,223</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right w:val="single" w:sz="8" w:color="CCEEFF"/>
            </w:tcBorders>
            <w:shd w:val="clear" w:color="auto" w:fill="CCEEFF"/>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138,614</w:t>
            </w: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874,313</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347,272</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250,051</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115,129</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9,253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corporate overhead</w:t>
            </w: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11,964</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1</w:t>
            </w: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45,021</w:t>
            </w: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Headquarters/Other expenses</w:t>
            </w:r>
          </w:p>
        </w:tc>
        <w:tc>
          <w:tcPr>
            <w:tcW w:w="10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(4,041)</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11"/>
                <w:szCs w:val="11"/>
                <w:color w:val="auto"/>
              </w:rPr>
            </w:pPr>
          </w:p>
        </w:tc>
        <w:tc>
          <w:tcPr>
            <w:tcW w:w="9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8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spacing w:after="0"/>
              <w:rPr>
                <w:sz w:val="11"/>
                <w:szCs w:val="11"/>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2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4"/>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2"/>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p>
        </w:tc>
        <w:tc>
          <w:tcPr>
            <w:tcW w:w="760" w:type="dxa"/>
            <w:vAlign w:val="bottom"/>
            <w:tcBorders>
              <w:bottom w:val="single" w:sz="8" w:color="CCEEFF"/>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319,744</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256,841</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132,483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709,068</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271,976</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188,779</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109,668</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corporate overhead</w:t>
            </w: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1</w:t>
            </w: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33,464</w:t>
            </w: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Headquarters/Other expenses</w:t>
            </w:r>
          </w:p>
        </w:tc>
        <w:tc>
          <w:tcPr>
            <w:tcW w:w="10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of the reportable segments include service contracts/subscriptions, professional fees, facilities operations, credit card fees, and other miscellaneous expenses.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gridSpan w:val="10"/>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1"/>
                <w:szCs w:val="11"/>
                <w:color w:val="auto"/>
              </w:rPr>
            </w:pPr>
          </w:p>
        </w:tc>
        <w:tc>
          <w:tcPr>
            <w:tcW w:w="8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4"/>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gridSpan w:val="2"/>
            <w:vMerge w:val="continue"/>
          </w:tcPr>
          <w:p>
            <w:pPr>
              <w:spacing w:after="0"/>
              <w:rPr>
                <w:sz w:val="13"/>
                <w:szCs w:val="13"/>
                <w:color w:val="auto"/>
              </w:rPr>
            </w:pPr>
          </w:p>
        </w:tc>
        <w:tc>
          <w:tcPr>
            <w:tcW w:w="780" w:type="dxa"/>
            <w:vAlign w:val="bottom"/>
          </w:tcPr>
          <w:p>
            <w:pPr>
              <w:jc w:val="right"/>
              <w:ind w:right="34"/>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p>
        </w:tc>
        <w:tc>
          <w:tcPr>
            <w:tcW w:w="800" w:type="dxa"/>
            <w:vAlign w:val="bottom"/>
            <w:tcBorders>
              <w:bottom w:val="single" w:sz="8" w:color="CCEEFF"/>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1,123,567</w:t>
            </w:r>
          </w:p>
        </w:tc>
        <w:tc>
          <w:tcPr>
            <w:tcW w:w="980" w:type="dxa"/>
            <w:vAlign w:val="bottom"/>
            <w:tcBorders>
              <w:bottom w:val="single" w:sz="8" w:color="CCEEFF"/>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$ 947,655</w:t>
            </w:r>
          </w:p>
        </w:tc>
        <w:tc>
          <w:tcPr>
            <w:tcW w:w="1020" w:type="dxa"/>
            <w:vAlign w:val="bottom"/>
            <w:tcBorders>
              <w:bottom w:val="single" w:sz="8" w:color="CCEEFF"/>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$ 378,953</w:t>
            </w: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2,450,175</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957,993</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722,899</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317,212</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56,852</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26,264</w:t>
            </w: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corporate overhead</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57,639</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34,647</w:t>
            </w: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1</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82,111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118,265</w:t>
            </w: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Headquarters/Other expenses</w:t>
            </w: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(14,048)</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864,737</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$ 709,215</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1,667,054</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Headquarters/Other assets</w:t>
            </w: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(150,756)</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assets</w:t>
            </w: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1,516,298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0"/>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gridSpan w:val="2"/>
          </w:tcPr>
          <w:p>
            <w:pPr>
              <w:jc w:val="right"/>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Enterprise</w:t>
            </w:r>
          </w:p>
        </w:tc>
        <w:tc>
          <w:tcPr>
            <w:tcW w:w="2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Public Sector</w:t>
            </w:r>
          </w:p>
        </w:tc>
        <w:tc>
          <w:tcPr>
            <w:tcW w:w="2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gridSpan w:val="2"/>
            <w:vMerge w:val="continue"/>
          </w:tcPr>
          <w:p>
            <w:pPr>
              <w:spacing w:after="0"/>
              <w:rPr>
                <w:sz w:val="13"/>
                <w:szCs w:val="13"/>
                <w:color w:val="auto"/>
              </w:rPr>
            </w:pPr>
          </w:p>
        </w:tc>
        <w:tc>
          <w:tcPr>
            <w:tcW w:w="780" w:type="dxa"/>
            <w:vAlign w:val="bottom"/>
          </w:tcPr>
          <w:p>
            <w:pPr>
              <w:jc w:val="right"/>
              <w:ind w:right="94"/>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92"/>
              <w:spacing w:after="0" w:line="160"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p>
        </w:tc>
        <w:tc>
          <w:tcPr>
            <w:tcW w:w="800" w:type="dxa"/>
            <w:vAlign w:val="bottom"/>
            <w:tcBorders>
              <w:bottom w:val="single" w:sz="8" w:color="CCEEFF"/>
              <w:right w:val="single" w:sz="8" w:color="CCEEFF"/>
            </w:tcBorders>
            <w:shd w:val="clear" w:color="auto" w:fill="CCEEFF"/>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943,758</w:t>
            </w:r>
          </w:p>
        </w:tc>
        <w:tc>
          <w:tcPr>
            <w:tcW w:w="2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right w:val="single" w:sz="8" w:color="CCEEFF"/>
            </w:tcBorders>
            <w:shd w:val="clear" w:color="auto" w:fill="CCEEFF"/>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808,394</w:t>
            </w:r>
          </w:p>
        </w:tc>
        <w:tc>
          <w:tcPr>
            <w:tcW w:w="26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right w:val="single" w:sz="8" w:color="CCEEFF"/>
            </w:tcBorders>
            <w:shd w:val="clear" w:color="auto" w:fill="CCEEFF"/>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417,655</w:t>
            </w: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2,169,807</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806,070</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606,076</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353,939</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49,791</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52,927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28,462</w:t>
            </w: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corporate overhead</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55,358</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65,819</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32,909</w:t>
            </w: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1</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5,293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6,043</w:t>
            </w: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25,231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67,687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86,819</w:t>
            </w: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Unallocated Headquarters/Other expenses</w:t>
            </w: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(11,134)</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86,566</w:t>
            </w: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743,554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620,098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94,832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1,458,484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Headquarters/Other assets</w:t>
            </w:r>
          </w:p>
        </w:tc>
        <w:tc>
          <w:tcPr>
            <w:tcW w:w="10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left w:val="single" w:sz="8" w:color="CCEEFF"/>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(152,964)</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assets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1,305,520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each of the reportable segments include service contracts/subscriptions, professional fees, facilities operations, credit card fees, and other miscellaneous expenses.</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assets of the Company’s three operating segments presented above consist primarily of accounts receivable, net intercompany receivables, goodwill, and other intangibles, net. Assets reported under the Headquarters/Other are managed by corporate headquarters, including cash and cash equivalents, short-term investments, inventories, property and equipment, ROU assets, and intercompany balance, net. As of September 30, 2026 and 2025, total assets for the Headquarters/Other were presented net of intercompany balance eliminations of $56,785 and $51,204, respectively. The Company’s capital expenditures consist largely of IT hardware and software purchased to maintain or upgrade its management information systems. These information systems serve all of the Company’s segments, to varying degrees, and accordingly, the CODM does not evaluate capital expenditures on a segment-by-segment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8–Commitments and Contingencies</w:t>
      </w:r>
    </w:p>
    <w:p>
      <w:pPr>
        <w:spacing w:after="0" w:line="229"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which have arisen during the ordinary course of business. The outcomes of such matters are not expected to have a material, adverse effect on the Company’s financial position, results of operations, and/or cash flows.</w:t>
      </w:r>
    </w:p>
    <w:p>
      <w:pPr>
        <w:spacing w:after="0" w:line="176"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audits by states on sales and income taxes, employment matters, and other assessments. Additional liabilities for these and other audits could be assessed, but such outcomes are not expected to have a material, adverse impact on the Company’s financial position, results of operations, and/or cash flows.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9–Bank Borrowings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previously had a $50,000 credit facility collateralized by its account receivables that expired March 31, 2025 that the Company elected not to renew or replace. Amounts outstanding under the credit facility bore interest at the daily Bloomberg Short-Term Bank Yield Index, or BSBY Rate, plus a spread based on the Company’s funded debt ratio, or in the absence of BSBY Rate, the prime rate (7.50% at March 31, 2025).</w:t>
      </w:r>
    </w:p>
    <w:p>
      <w:pPr>
        <w:spacing w:after="0" w:line="18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Cash receipts were automatically applied against any outstanding borrowings. During the three months ended March 31, 2025, the Company borrowed incremental amounts that were each repaid in full. These borrowings for the three months ended March 31, 2025 totaled $732; however, at no time were the outstanding borrowings greater than the $50,000 limit under the credit facility. The Company had no outstanding borrowings under the credit facility immediately prior to the expiration of the credit facility.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10–Supplier Finance Programs</w:t>
      </w:r>
    </w:p>
    <w:p>
      <w:pPr>
        <w:spacing w:after="0" w:line="22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 has agreements with third-party financial institutions, instituted by request of participating suppliers, that allow for the ability to finance payment obligations from the Company. The third-party financial institutions have separate arrangements with the Company’s suppliers and provide them with the option to request early payment for invoices confirmed by the Company. The Company does not determine the terms or conditions of the arrangements between the third-parties and its suppliers and receives no compensation from the third-party financial institutions. The Company’s obligation to its suppliers, including amounts due and scheduled payment dates, are not impacted by the suppliers’ decisions to finance amounts under the arrangements. The payment terms under these arrangements are typical with industry standards and range from 30 to 50 days. The agreements with the financial institutions are collateralized by the inventory purchased through the financing agreements. The Company’s outstanding payment obligations under the supplier finance programs, which are included in accounts payable on the condensed consolidated balance sheets, were $65,925 and $58,563 at September 30, 2026 and December 31, 2025,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11–Supplemental Cash Flow Information</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Income taxes paid, net of refunds received for the nine months ended September 30, 2026 was $25,172. Income taxes paid for the nine months ended September 30, 2025 was $24,837.</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On October 14, 2026, the Company announced that Matthew Zafirovski joined the Company as President and Chief Operating Officer effective October 12, 2026. In connection with Mr. Zafirovski’s appointment, Timothy J. McGrath ceased serving as President of the Company, effective October 12, 2026. Mr. McGrath continues to serve as the Company’s Chief Executive Officer. The compensation costs associated with Mr. Zafirovski’s employment were disclosed in the Company’s 8-K filed with the SEC on October 14, 2026.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0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or the Exchange Act. Forward-looking statements generally relate to future events or our future financial or operating performance and include statements concerning, among other things, our future financial results, business plans (including statements regarding new products and services we may offer and future expenditures, costs and investments), liabilities, impairment charges, competition, and the expected impact of current macroeconomic conditions on our businesses and results of operations. In some cases, you can identify forward-looking statements because they contain words such as “may,” “will,” “would,” “should,” “expects,” “plans,” “could,” “intends,” “target,” “projects,” “believes,” “estimates,” “anticipates,” “potential” or “continue” or the negative of these words or other similar terms or expressions that concern our expectations, strategy, plans or intentions. These statements reflect our current views and are based on assumptions as of the date of this report. Such assumptions are based upon internal estimates and other analyses of current market conditions and trends, management expectations, plans, and strategies, economic conditions, and other factors. These statements are subject to known and unknown risks, uncertainties and other factors that may cause our actual results, performance or achievements to be materially different from expectations or results projected or implied by forward-looking statements.</w:t>
      </w:r>
    </w:p>
    <w:p>
      <w:pPr>
        <w:spacing w:after="0" w:line="74"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Such differences may result from actions taken by us, including expense reduction or strategic initiatives (including reductions in force, capital investments and new or expanded product offerings or services), the execution of our business plans (including our inventory management, cost structure and management and other personnel decisions) or other business decisions, as well as from developments beyond our control, including:</w:t>
      </w:r>
    </w:p>
    <w:p>
      <w:pPr>
        <w:spacing w:after="0" w:line="58" w:lineRule="exact"/>
        <w:rPr>
          <w:sz w:val="20"/>
          <w:szCs w:val="20"/>
          <w:color w:val="auto"/>
        </w:rPr>
      </w:pPr>
    </w:p>
    <w:p>
      <w:pPr>
        <w:ind w:left="720" w:right="99" w:hanging="319"/>
        <w:spacing w:after="0" w:line="25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macroeconomic factors facing the global economy, including disruptions in or increased volatility of the capital markets, changes in trade policy, which may include the imposition of tariffs or other trade barriers, economic sanctions and economic slowdowns or recessions, government shutdowns, the impact of conflicts in Iran and the Middle East, changes in tax policy, rising inflation and changing interest rates modifying our potential for investment income and the timing thereof or reducing the level of investment our customers are willing to make in IT products;</w:t>
      </w:r>
    </w:p>
    <w:p>
      <w:pPr>
        <w:spacing w:after="0" w:line="2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constraints, such as the global memory (DRAM and NAND) shortage;</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substantial competition reducing our market share;</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price competition reducing our profit margins;</w:t>
      </w:r>
    </w:p>
    <w:p>
      <w:pPr>
        <w:spacing w:after="0" w:line="6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loss of any of our major vendors adversely affecting the number or type of products we may offer;</w:t>
      </w:r>
    </w:p>
    <w:p>
      <w:pPr>
        <w:spacing w:after="0" w:line="63" w:lineRule="exact"/>
        <w:rPr>
          <w:rFonts w:ascii="Times New Roman" w:cs="Times New Roman" w:eastAsia="Times New Roman" w:hAnsi="Times New Roman"/>
          <w:sz w:val="18"/>
          <w:szCs w:val="18"/>
          <w:color w:val="auto"/>
        </w:rPr>
      </w:pPr>
    </w:p>
    <w:p>
      <w:pPr>
        <w:ind w:left="720" w:right="839" w:hanging="319"/>
        <w:spacing w:after="0" w:line="28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virtualization of information technology, or IT, resources and applications, including networks, servers, applications, and data storage disrupting or altering our traditional distribution models;</w:t>
      </w:r>
    </w:p>
    <w:p>
      <w:pPr>
        <w:spacing w:after="0" w:line="1" w:lineRule="exact"/>
        <w:rPr>
          <w:rFonts w:ascii="Times New Roman" w:cs="Times New Roman" w:eastAsia="Times New Roman" w:hAnsi="Times New Roman"/>
          <w:sz w:val="18"/>
          <w:szCs w:val="18"/>
          <w:color w:val="auto"/>
        </w:rPr>
      </w:pPr>
    </w:p>
    <w:p>
      <w:pPr>
        <w:ind w:left="720" w:right="299" w:hanging="319"/>
        <w:spacing w:after="0" w:line="28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interruptions at third-party shippers negatively impacting our ability to deliver the products we offer to our customers;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increases in shipping and postage costs reducing our margins and adversely affecting our results of operations;</w:t>
      </w:r>
    </w:p>
    <w:p>
      <w:pPr>
        <w:spacing w:after="0" w:line="63" w:lineRule="exact"/>
        <w:rPr>
          <w:rFonts w:ascii="Times New Roman" w:cs="Times New Roman" w:eastAsia="Times New Roman" w:hAnsi="Times New Roman"/>
          <w:sz w:val="18"/>
          <w:szCs w:val="18"/>
          <w:color w:val="auto"/>
        </w:rPr>
      </w:pPr>
    </w:p>
    <w:p>
      <w:pPr>
        <w:ind w:left="720" w:right="239" w:hanging="319"/>
        <w:spacing w:after="0" w:line="28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of key persons or the inability to attract, train and retain qualified personnel adversely affecting our ability to operate our business; and</w:t>
      </w:r>
    </w:p>
    <w:p>
      <w:pPr>
        <w:spacing w:after="0" w:line="1"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cyberattacks or the failure to safeguard personal information and our IT systems resulting in liability and harm to our reputation.</w:t>
      </w:r>
    </w:p>
    <w:p>
      <w:pPr>
        <w:spacing w:after="0" w:line="3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Additional factors include those described in our Annual Report on Form 10-K for the year ended December 31, 2025, including under the captions “Risk Factors,” “Management’s Discussion and Analysis of Financial Condition and Results of Operations,” and “Business,” in our subsequent quarterly reports on Form 10-Q, including under the caption “Management’s Discussion and Analysis of Financial Condition and Results of Operations,” and in the other subsequent filings we make with the Securities and Exchange Commission from time to time.</w:t>
      </w:r>
    </w:p>
    <w:p>
      <w:pPr>
        <w:spacing w:after="0" w:line="62" w:lineRule="exact"/>
        <w:rPr>
          <w:sz w:val="20"/>
          <w:szCs w:val="20"/>
          <w:color w:val="auto"/>
        </w:rPr>
      </w:pPr>
    </w:p>
    <w:p>
      <w:pPr>
        <w:jc w:val="both"/>
        <w:ind w:left="60" w:right="1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 forward-looking statement is neither a prediction nor a guarantee of future events or circumstances. You should not place undue reliance on the forward-looking statements. We assume no obligation to update any of these forward-looking statements, or to update the reasons actual results could differ materially from those anticipated, to reflect circumstances or events that occur after the statements are made except as required by law.</w:t>
      </w:r>
    </w:p>
    <w:p>
      <w:pPr>
        <w:spacing w:after="0" w:line="45" w:lineRule="exact"/>
        <w:rPr>
          <w:sz w:val="20"/>
          <w:szCs w:val="20"/>
          <w:color w:val="auto"/>
        </w:rPr>
      </w:pPr>
    </w:p>
    <w:p>
      <w:pPr>
        <w:ind w:left="60" w:right="3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we use the terms “Connection”, the “Company”, “we”, “us”, and “our” in this Quarterly Report on Form 10-Q to refer to PC Connection, Inc. and its subsidiaries.</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are a Fortune 1000 Global Solutions Provider that simplifies IT, guiding the connection between people and technology. Our dedicated account managers partner with customers to design, deploy, and support cutting-edge IT environments using the latest hardware, software, and services. We provide a wide range of IT solutions, from the desktop to the cloud—including computer systems, data center solutions, security, artificial intelligence, software and peripheral equipment, networking communications, and other products and accessories that we develop internally and secure from manufacturers, distributors, and other suppliers. Our Technology Solutions and Services Organization, or TSSO, and state-of-the-art ISO 9001:2015 SOC 2 Type 2 certified Technology Integration and Distribution Center offer end-to-end services related to the design, configuration, and implementation of IT solutions. Our team also provides a comprehensive portfolio of managed services and professional services. These services are performed by our personnel and by third-party providers. Our GlobalServe offering ensures worldwide coverage for our multinational customers, delivering global procurement solutions through our network of in-country suppliers in over 150 countries.</w:t>
      </w:r>
    </w:p>
    <w:p>
      <w:pPr>
        <w:spacing w:after="0" w:line="192"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“Connection” brand includes Connection Enterprise Solutions, Connection Business Solutions, and Connection Public Sector Solutions, which provide IT solutions and services to enterprise, small- to medium-sized businesses, and public sector markets.</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Financial results for each of our segments are included in the financial statements attached hereto. We generate sales through (i) outbound inside sales and field sales contacts by sales representatives focused on the business, educational, healthcare, retail, manufacturing, and government markets, (ii) our websites, and (iii) direct responses from customers responding to our advertising media. We offer a broad selection of over 460,000 products at competitive prices, including products from vendors like Apple, Cisco, Dell Inc., HP Inc., Hewlett-Packard Enterprise, Intel, Lenovo, Microsoft Corporation, and VMware by Broadcom, and we partner with more than 1,600 suppliers. We are able to leverage our state-of-the art logistic capabilities to rapidly ship product to customers.</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As a value-added reseller in the IT supply chain, we do not manufacture IT hardware or software products. We are dependent on our suppliers—manufacturers and distributors that historically have only sold to resellers rather than directly to end users. However, certain manufacturers have, on multiple occasions, sold or attempted to sell directly to our customers, and in some cases, have restricted our ability to sell their products directly to certain customers, thereby attempting to and, in some cases successfully, eliminate our role. We believe that the success of these direct sales efforts by manufacturers will depend on their ability to meet our customers’ ongoing demands and provide solutions to meet their needs. We believe more of our customers are seeking out comprehensive and integrated IT solutions, rather than the ability to acquire specific IT products on a one-off basis. Our advantage is our ability to be product-neutral and provide a broader combination of products, services, and advice tailored to our customers’ individual needs. By providing customers with customized solutions from a variety of manufacturers, we believe we can mitigate the negative impact of continued direct sales initiatives from individual manufacturers. Through the formation of our TSSO, we are able to provide customers complete IT solutions, from identifying their needs, to designing, developing, and managing the integration of products and services to implement their IT projects. Such service offerings carry higher margins than traditional product sales. Additionally, the technical certifications of our service engineers permit us to offer higher-end, more complex products that generally carry higher gross margins. We expect these service offerings and technical certifications to continue to play a role in sales generation and gross margin improvements in this competitive environment.</w:t>
      </w:r>
    </w:p>
    <w:p>
      <w:pPr>
        <w:spacing w:after="0" w:line="195"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primary challenges we continue to face in effectively managing our business are (1) increasing our product and service revenues while at the same time improving our gross margin in all three segments, (2) recruiting, retaining, and improving the productivity of our sales and technical support personnel, and (3) effectively controlling our selling, general and administrative, or SG&amp;A, expenses while making major investments in our IT systems and solution selling personnel, especially in relation to changing revenue levels.</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To support future growth, we have invested and expect to continue to invest in our IT solutions business, which requires the addition of highly skilled service engineers. Although we expect to realize the ultimate benefit of higher-margin service revenues under this multi-year initiative, we believe that our cost of services will increase as we add additional service engineers. If our service revenues do not grow enough to offset the cost of these headcount additions, our operating results may be negatively impacted.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Market conditions and technology advances significantly affect the demand for our products and services. Virtual delivery of software products and advanced Internet technology providing customers enhanced functionality have substantially increased customer expectations, requiring us to invest on an ongoing basis in our own IT infrastructure to meet these new demands.</w:t>
      </w:r>
    </w:p>
    <w:p>
      <w:pPr>
        <w:spacing w:after="0" w:line="18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Our investments in IT infrastructure are designed to enable us to operate more efficiently and provide our customers enhanced functionality.</w:t>
      </w:r>
    </w:p>
    <w:p>
      <w:pPr>
        <w:spacing w:after="0" w:line="16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ongoing global memory shortage (DRAM and NAND) could result in increased inventory costs, which may reduce our margins or require us to raise prices. The memory shortage could additionally result in a lack of availability of products, which could negatively impact our results of operations. As a result of these ongoing and anticipated shortages, we have purchased and may continue to purchase product in advance of customer orders, while customers may accelerate or delay purchasing depending on their capital resources.</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U.S. administration has announced or imposed a series of tariffs on U.S. trading partners. In response, several countries have threatened or imposed retaliatory measures. The imposition of new tariffs or increases in existing tariffs on goods imported from countries where our suppliers operate could result in increased inventory costs. These cost increases may reduce our margins or require us to raise prices. We continue to assess the impact of the tariffs on our supply chain. In addition, these actions and threatened actions and increased volatility in financial markets may affect customer decisions about the timing or size of IT investments.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OPERATING METRIC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Billings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utilize key operating metrics to track and assess the performance of our business, including gross billings. Gross billings is the total dollar value of goods and services billed during the period, net of customer returns, credit memos, and any applicable sales or other taxes and includes agency fees, and freight. As certain transactions are recognized on a net basis, gross billings include amounts not recognized in net sales.</w:t>
      </w:r>
    </w:p>
    <w:p>
      <w:pPr>
        <w:spacing w:after="0" w:line="180"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We use the gross billings operating metric for planning, forecasting, and evaluating the sales performance of our operating segments by providing insight into the total value of our business transactions. We believe that gross billings provides the same insight to investors.</w:t>
      </w:r>
    </w:p>
    <w:p>
      <w:pPr>
        <w:spacing w:after="0" w:line="176"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gross billings for each of our operating segments and our consolidated entity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billings</w:t>
            </w:r>
          </w:p>
        </w:tc>
        <w:tc>
          <w:tcPr>
            <w:tcW w:w="1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Solutions</w:t>
            </w:r>
          </w:p>
        </w:tc>
        <w:tc>
          <w:tcPr>
            <w:tcW w:w="20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Solutions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billings</w:t>
            </w:r>
          </w:p>
        </w:tc>
        <w:tc>
          <w:tcPr>
            <w:tcW w:w="1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0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0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derived from our statements of income expressed as a percentage of net sales for the periods indicated (dollars in millions):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80" w:type="dxa"/>
            <w:vAlign w:val="bottom"/>
            <w:gridSpan w:val="6"/>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62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00" w:type="dxa"/>
            <w:vAlign w:val="bottom"/>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$ 874.3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$ 709.1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$ 2,450.2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$ 2,169.8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vMerge w:val="restart"/>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vMerge w:val="restart"/>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2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Net sales of $874.3 million for the third quarter of 2026 reflect an increase of $165.2 million, or 23.3% compared to the third quarter of 2025. The increase was primarily driven by increases in net sales of notebooks/mobility, desktops, servers/storage, software, net/com products, other hardware/services, displays and sound, and accessories of $44.0 million, $40.8 million, $23.1 million, $22.1 million, $20.2 million, $6.9 million, $4.6 million, and $3.6 million, respectively, as shown in the table in Note 2, “Revenue,” in the Notes to our Unaudited Condensed Consolidated Financial Statements. Gross profit for the third quarter of 2026 increased year-over-year by $23.3 million, or 16.8%, to $161.9 million as illustrated in the table and the discussion beginning on page 21 of this Quarterly Report on Form 10-Q. Gross margin decreased to 18.5% from 19.6% a year ago. The decrease in gross margin was primarily driven by a decrease in the amount of software sales recognized on a net basis relative to total net sales as these sales are recognized in the financial statements at 100% margin, as well as a decrease in invoice margins in net/com products primarily due to changes in customer mix. SG&amp;A expenses as a percentage of net sales decreased to 13.8% compared to 15.3% a year ago, primarily due to the increase in net sales as discussed above. Operating income as a percentage of net sales increased to 4.7% compared to 4.3% a year ago, primarily due to the increases in net sales and gross profit as discussed above.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Sales Distribution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percentage of net sales by segment and product mix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64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20" w:type="dxa"/>
            <w:vAlign w:val="bottom"/>
            <w:gridSpan w:val="5"/>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Operating Segment</w:t>
            </w: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Enterprise Solutions</w:t>
            </w:r>
          </w:p>
        </w:tc>
        <w:tc>
          <w:tcPr>
            <w:tcW w:w="6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47 %</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45 %</w:t>
            </w:r>
          </w:p>
        </w:tc>
        <w:tc>
          <w:tcPr>
            <w:tcW w:w="660" w:type="dxa"/>
            <w:vAlign w:val="bottom"/>
          </w:tcPr>
          <w:p>
            <w:pPr>
              <w:spacing w:after="0"/>
              <w:rPr>
                <w:sz w:val="18"/>
                <w:szCs w:val="18"/>
                <w:color w:val="auto"/>
              </w:rPr>
            </w:pPr>
          </w:p>
        </w:tc>
        <w:tc>
          <w:tcPr>
            <w:tcW w:w="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46 %</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Solutions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Public Sector Solutions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6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4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Product Mix</w:t>
            </w: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Notebooks/Mobility</w:t>
            </w:r>
          </w:p>
        </w:tc>
        <w:tc>
          <w:tcPr>
            <w:tcW w:w="6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32 %</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34 %</w:t>
            </w:r>
          </w:p>
        </w:tc>
        <w:tc>
          <w:tcPr>
            <w:tcW w:w="660" w:type="dxa"/>
            <w:vAlign w:val="bottom"/>
          </w:tcPr>
          <w:p>
            <w:pPr>
              <w:spacing w:after="0"/>
              <w:rPr>
                <w:sz w:val="18"/>
                <w:szCs w:val="18"/>
                <w:color w:val="auto"/>
              </w:rPr>
            </w:pPr>
          </w:p>
        </w:tc>
        <w:tc>
          <w:tcPr>
            <w:tcW w:w="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36 %</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Desktops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Servers/Storage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Net/Com Products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Displays and Sound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Accessories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Hardware/Services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82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 Margin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gross margin, as a percentage of net sales,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6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2"/>
                <w:szCs w:val="12"/>
                <w:color w:val="auto"/>
              </w:rPr>
            </w:pPr>
          </w:p>
        </w:tc>
      </w:tr>
      <w:tr>
        <w:trPr>
          <w:trHeight w:val="20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Enterprise Solutions</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14.8 %</w:t>
            </w:r>
          </w:p>
        </w:tc>
        <w:tc>
          <w:tcPr>
            <w:tcW w:w="13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14.9 %</w:t>
            </w:r>
          </w:p>
        </w:tc>
        <w:tc>
          <w:tcPr>
            <w:tcW w:w="66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14.7 %</w:t>
            </w:r>
          </w:p>
        </w:tc>
        <w:tc>
          <w:tcPr>
            <w:tcW w:w="13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14.6 %</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Solutions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Sector Solutions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18"/>
                <w:szCs w:val="18"/>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18.5 %</w:t>
            </w:r>
          </w:p>
        </w:tc>
        <w:tc>
          <w:tcPr>
            <w:tcW w:w="13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19.6 %</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18.5 %</w:t>
            </w:r>
          </w:p>
        </w:tc>
        <w:tc>
          <w:tcPr>
            <w:tcW w:w="1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18.6 %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our SG&amp;A expenses for the periods indicated (dollars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0" w:type="dxa"/>
            <w:vAlign w:val="bottom"/>
            <w:gridSpan w:val="7"/>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2560" w:type="dxa"/>
            <w:vAlign w:val="bottom"/>
            <w:gridSpan w:val="7"/>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contracts/subscriptions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Facilities operations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fees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SG&amp;A expense</w:t>
            </w: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29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Severance Expenses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There were no severance expenses incurred during the three months ended September 30, 2026 and 2025. During the nine months ended September 30, 2026 and 2025, we undertook actions to lower our cost structure. In connection with these initiatives, we incurred severance expenses of $3.1 million and $2.9 million for the nine months ended September 30, 2026 and 2025, respectively. The severance expenses were related to voluntary and involuntary reductions in our workforce. Both the voluntary and involuntary reductions included cash severance and other related termination benefits. The majority of each of these costs are expected to be paid within a year of the applicable termination and any unpaid balances are included in accrued payroll on the condensed consolidated balance sheets as of September 30,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Year-Over-Year Comparisons</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this section and elsewhere in this Quarterly Report on Form 10-Q we refer to changes in year-over-year results. Unless context otherwise requires, such references refer to changes between the three months ended September 30, 2026 and the three months ended September 30, 2025, and changes between the nine months ended September 30, 2026 and the nine months ended September 30, 2025.</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2026 Compared to Three Months Ended September 30, 2025</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Changes in net sales and gross profit by segment are shown in the following table (dollars in millions):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gridSpan w:val="10"/>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3"/>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vMerge w:val="restart"/>
          </w:tcPr>
          <w:p>
            <w:pPr>
              <w:ind w:left="36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7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4"/>
                <w:szCs w:val="14"/>
                <w:color w:val="auto"/>
              </w:rPr>
            </w:pP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xml:space="preserve">  ​​​</w:t>
            </w: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xml:space="preserve">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 Solutions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46.6 %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Solutions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1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r>
              <w:rPr>
                <w:rFonts w:ascii="Times New Roman" w:cs="Times New Roman" w:eastAsia="Times New Roman" w:hAnsi="Times New Roman"/>
                <w:sz w:val="18"/>
                <w:szCs w:val="18"/>
                <w:u w:val="single" w:color="auto"/>
                <w:color w:val="auto"/>
              </w:rPr>
              <w:t>1</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$ 165.2</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Enterprise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1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Solutions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40" w:type="dxa"/>
            <w:vAlign w:val="bottom"/>
            <w:tcBorders>
              <w:top w:val="single" w:sz="8" w:color="auto"/>
              <w:bottom w:val="single" w:sz="8" w:color="auto"/>
            </w:tcBorders>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r>
              <w:rPr>
                <w:rFonts w:ascii="Times New Roman" w:cs="Times New Roman" w:eastAsia="Times New Roman" w:hAnsi="Times New Roman"/>
                <w:sz w:val="18"/>
                <w:szCs w:val="18"/>
                <w:u w:val="single" w:color="auto"/>
                <w:color w:val="auto"/>
              </w:rPr>
              <w:t>6</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19.6 %</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19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increased for the third quarter of 2026 compared to the third quarter of 2025, as explained by the year-over-year changes discussed below:</w:t>
      </w:r>
    </w:p>
    <w:p>
      <w:pPr>
        <w:spacing w:after="0" w:line="160" w:lineRule="exact"/>
        <w:rPr>
          <w:sz w:val="20"/>
          <w:szCs w:val="20"/>
          <w:color w:val="auto"/>
        </w:rPr>
      </w:pPr>
    </w:p>
    <w:p>
      <w:pPr>
        <w:ind w:left="720" w:right="119" w:hanging="319"/>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$407.5 million for the Enterprise Solutions segment reflect an increase of $87.7 million, or 27.4%. The increase in net sales is primarily due to increases in net sales of desktops, net/com products, software, accessories, notebooks/mobility, displays and sound, and other hardware/services of $39.9 million, $16.6 million, $9.3 million, $7.9 million, $7.7 million, $4.9 million, and $4.7 million, respectively. These increases were partially offset by a decrease in net sales of servers/storage products of $3.2 million.</w:t>
      </w:r>
    </w:p>
    <w:p>
      <w:pPr>
        <w:spacing w:after="0" w:line="183" w:lineRule="exact"/>
        <w:rPr>
          <w:rFonts w:ascii="Times New Roman" w:cs="Times New Roman" w:eastAsia="Times New Roman" w:hAnsi="Times New Roman"/>
          <w:sz w:val="18"/>
          <w:szCs w:val="18"/>
          <w:color w:val="auto"/>
        </w:rPr>
      </w:pPr>
    </w:p>
    <w:p>
      <w:pPr>
        <w:ind w:left="720" w:right="79" w:hanging="319"/>
        <w:spacing w:after="0" w:line="226" w:lineRule="auto"/>
        <w:tabs>
          <w:tab w:leader="none" w:pos="72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of $328.2 million for the Business Solutions segment reflect an increase of $71.4 million, or 27.8%. The increase in net sales is primarily due to increases in net sales of notebooks/mobility, servers/storage, software, desktops, other hardware/services, and net/com products of $31.7 million, $22.2 million, $7.9 million, $5.3 million, $3.4 million, and $3.3 million, respectively. These increases were partially offset by a decrease in net sales of accessories of $2.7 million.</w:t>
      </w:r>
    </w:p>
    <w:p>
      <w:pPr>
        <w:spacing w:after="0" w:line="134" w:lineRule="exact"/>
        <w:rPr>
          <w:rFonts w:ascii="Times New Roman" w:cs="Times New Roman" w:eastAsia="Times New Roman" w:hAnsi="Times New Roman"/>
          <w:sz w:val="29"/>
          <w:szCs w:val="29"/>
          <w:color w:val="auto"/>
          <w:vertAlign w:val="superscript"/>
        </w:rPr>
      </w:pPr>
    </w:p>
    <w:p>
      <w:pPr>
        <w:ind w:left="720" w:right="179" w:hanging="319"/>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$138.6 million for the Public Sector Solutions segment reflect an increase of $6.1 million, or 4.6%. Sales to the state and local government increased by $10.5 million, or 10.2%, compared to the prior year quarter, while sales to federal government and educational institutions decreased by $4.4 million, or 15.3%. The increase in net sales is primarily due to increases in net sales of software, notebooks/mobility, and servers/storage of $4.9 million, $4.6 million, and $4.1 million, respectively. These increases were partially offset by decreases in net sales of desktops, accessories, and other hardware/services of $4.3 million, $1.7 million, and $1.3 million, respectively.</w:t>
      </w:r>
    </w:p>
    <w:p>
      <w:pPr>
        <w:spacing w:after="0" w:line="187" w:lineRule="exact"/>
        <w:rPr>
          <w:sz w:val="20"/>
          <w:szCs w:val="20"/>
          <w:color w:val="auto"/>
        </w:rPr>
      </w:pPr>
    </w:p>
    <w:p>
      <w:pPr>
        <w:ind w:left="60" w:right="7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for the third quarter of 2026 increased year-over-year, as explained by the year-over-year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below:</w:t>
      </w:r>
    </w:p>
    <w:p>
      <w:pPr>
        <w:spacing w:after="0" w:line="160" w:lineRule="exact"/>
        <w:rPr>
          <w:sz w:val="20"/>
          <w:szCs w:val="20"/>
          <w:color w:val="auto"/>
        </w:rPr>
      </w:pPr>
    </w:p>
    <w:p>
      <w:pPr>
        <w:ind w:left="720" w:right="2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Enterprise Solutions segment increased by $12.4 million year-over-year primarily due to the increase in net sales as discussed in the preceding paragraph.</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Business Solutions segment increased by $10.2 million year-over-year primarily due to the increase in net sales as discussed in the preceding paragraph.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right="2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Public Sector Solutions segment increased by $0.7 million primarily as a result of improved invoice margins in notebooks/mobility primarily due to changes in customer mix.</w:t>
      </w:r>
    </w:p>
    <w:p>
      <w:pPr>
        <w:spacing w:after="0" w:line="160" w:lineRule="exact"/>
        <w:rPr>
          <w:sz w:val="20"/>
          <w:szCs w:val="20"/>
          <w:color w:val="auto"/>
        </w:rPr>
      </w:pPr>
    </w:p>
    <w:p>
      <w:pPr>
        <w:ind w:left="60" w:right="5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for the third quarter of 2026 decreased year-over-year, as explained by the year-over-year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below:</w:t>
      </w:r>
    </w:p>
    <w:p>
      <w:pPr>
        <w:spacing w:after="0" w:line="160"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Enterprise Solutions segment remained substantially the same year-over-year.</w:t>
      </w:r>
    </w:p>
    <w:p>
      <w:pPr>
        <w:spacing w:after="0" w:line="225"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Business Solutions segment decreased by 270 basis points primarily as a result of a decrease in the amount of software sales recognized on a net basis relative to total net sales in the segment, as well as a decrease in invoice margins in notebooks/mobility primarily due to changes in customer mix.</w:t>
      </w:r>
    </w:p>
    <w:p>
      <w:pPr>
        <w:spacing w:after="0" w:line="108"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Public Sector Solutions segment decreased by 30 basis points primarily as a result of a decrease in invoice margins in notebooks/mobility primarily due to changes in customer mix.</w:t>
      </w:r>
    </w:p>
    <w:p>
      <w:pPr>
        <w:spacing w:after="0" w:line="160" w:lineRule="exact"/>
        <w:rPr>
          <w:sz w:val="20"/>
          <w:szCs w:val="20"/>
          <w:color w:val="auto"/>
        </w:rPr>
      </w:pPr>
    </w:p>
    <w:p>
      <w:pPr>
        <w:ind w:left="60" w:right="2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for the third quarter of 2026 increased in dollars but decreased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net sales compared to the third quarter of 2025. SG&amp;A expenses attributable to our three segments and the remaining unallocated Headquarters/Other expenses are summarized in the table below (dollars in millions):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8"/>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5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36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 Net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Segment Net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2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9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Sales</w:t>
            </w: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Sales</w:t>
            </w:r>
          </w:p>
        </w:tc>
        <w:tc>
          <w:tcPr>
            <w:tcW w:w="260" w:type="dxa"/>
            <w:vAlign w:val="bottom"/>
            <w:vMerge w:val="continue"/>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Solutions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Solutions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9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9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Headquarters/Other, unallocated</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120.9</w:t>
            </w:r>
          </w:p>
        </w:tc>
        <w:tc>
          <w:tcPr>
            <w:tcW w:w="11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8"/>
                <w:szCs w:val="18"/>
                <w:u w:val="single" w:color="auto"/>
                <w:color w:val="auto"/>
              </w:rPr>
              <w:t>4</w:t>
            </w:r>
          </w:p>
        </w:tc>
        <w:tc>
          <w:tcPr>
            <w:tcW w:w="1240" w:type="dxa"/>
            <w:vAlign w:val="bottom"/>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15.3 %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179" w:hanging="319"/>
        <w:spacing w:after="0" w:line="25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Enterprise Solutions segment increased year-over-year in dollars but decreased as a percentage of net sales. The year-over-year change in SG&amp;A dollars was primarily attributable to increases in personnel costs, use of shared Headquarter services, marketing, and other expenses of $4.3 million, $0.9 million, $0.4 million, and $0.4 million, respectively. SG&amp;A expenses as a percentage of net sales were 10.7% for the Enterprise Solutions segment for the third quarter of 2026, which reflects a decrease of 100 basis points and is primarily due to the increase in net sales as discussed above.</w:t>
      </w:r>
    </w:p>
    <w:p>
      <w:pPr>
        <w:spacing w:after="0" w:line="187" w:lineRule="exact"/>
        <w:rPr>
          <w:rFonts w:ascii="Times New Roman" w:cs="Times New Roman" w:eastAsia="Times New Roman" w:hAnsi="Times New Roman"/>
          <w:sz w:val="18"/>
          <w:szCs w:val="18"/>
          <w:color w:val="auto"/>
        </w:rPr>
      </w:pPr>
    </w:p>
    <w:p>
      <w:pPr>
        <w:ind w:left="720" w:right="179" w:hanging="319"/>
        <w:spacing w:after="0" w:line="25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Business Solutions segment increased year-over-year in dollars but decreased as a percentage of net sales. The year-over-year change in SG&amp;A dollars was primarily attributable to increases in personnel costs, marketing, use of shared Headquarter services, and other expenses of $2.1 million, $1.7 million, $1.1 million, and $0.4 million, respectively. SG&amp;A expenses as a percentage of net sales were 15.1% for the Business Solutions segment for the third quarter of 2026, which reflects a decrease of 220 basis points and is primarily due to the increase in net sales as discussed above.</w:t>
      </w:r>
    </w:p>
    <w:p>
      <w:pPr>
        <w:spacing w:after="0" w:line="187" w:lineRule="exact"/>
        <w:rPr>
          <w:rFonts w:ascii="Times New Roman" w:cs="Times New Roman" w:eastAsia="Times New Roman" w:hAnsi="Times New Roman"/>
          <w:sz w:val="18"/>
          <w:szCs w:val="18"/>
          <w:color w:val="auto"/>
        </w:rPr>
      </w:pPr>
    </w:p>
    <w:p>
      <w:pPr>
        <w:ind w:left="720" w:right="9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Public Sector Solutions segment increased year-over-year in dollars but decreased as a percentage of net sales. The year-over-year change in SG&amp;A dollars was primarily attributable to increases in other expenses, use of shared Headquarter services, and marketing of $0.7 million, $0.6 million, and $0.1 million, respectively, partially offset by decreases in professional fees and personnel costs of $0.7 million and $0.4 million, respectively. SG&amp;A expenses as a percentage of net sales were 17.2% for the Public Sector Solutions segment for the third quarter of 2026, which reflects a decrease of 50 basis points and is primarily due to the increase in net sales as discussed above.</w:t>
      </w:r>
    </w:p>
    <w:p>
      <w:pPr>
        <w:spacing w:after="0" w:line="188"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Headquarters/Other increased year-over-year by $0.8 million primarily due to an increase in personnel costs, service contracts/subscriptions, and other expenses of $1.5 million, $1.3 million, and $0.5 million, respectively, partially offset by an increase in the allocated amounts to the operating segments of $2.6 million. The Headquarters/Other provides services to the three segments in areas such as finance,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spacing w:after="0" w:line="266" w:lineRule="auto"/>
        <w:rPr>
          <w:sz w:val="20"/>
          <w:szCs w:val="20"/>
          <w:color w:val="auto"/>
        </w:rPr>
      </w:pPr>
      <w:r>
        <w:rPr>
          <w:rFonts w:ascii="Times New Roman" w:cs="Times New Roman" w:eastAsia="Times New Roman" w:hAnsi="Times New Roman"/>
          <w:sz w:val="18"/>
          <w:szCs w:val="18"/>
          <w:color w:val="auto"/>
        </w:rPr>
        <w:t>distribution center, human resources, IT, marketing, and product management. Most of the operating costs associated with such corporate Headquarters/Other services are charged to the segments based on their estimated allocation usage of the underlying services.</w:t>
      </w:r>
    </w:p>
    <w:p>
      <w:pPr>
        <w:spacing w:after="0" w:line="174"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for the third quarter of 2026 was $41.0 million, compared to $30.3 million for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Income from operations as a percentage of net sales increased to 4.7% for the third quarter of 2026, compared to 4.3% for the prior year quarter. The increase in income from operations both in dollars and as a percentage of net sales is primarily due to the increases in net sales and gross profit as discussed above.</w:t>
      </w:r>
    </w:p>
    <w:p>
      <w:pPr>
        <w:spacing w:after="0" w:line="18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for the third quarter of 2026 decreased to $2.5 million, compared to $3.7 million for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2025, primarily due to a decrease in interest income of $1.2 million. The decrease in interest income is primarily a result of lower cash equivalent balances in the current period combined with lower realized interest rates in the current period.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provision for income taxes for the third quarter of 2026 increased to $12.0 million, compared to</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$9.2 million for the third quarter of 2025. The increase in our provision for income taxes was primarily due to the increase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income before taxes. Our effective tax rate was 27.6% for the quarter ended September 30, 2026, compared to 27.1%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quarter ended September 30, 2025.</w:t>
      </w:r>
    </w:p>
    <w:p>
      <w:pPr>
        <w:spacing w:after="0" w:line="205" w:lineRule="exact"/>
        <w:rPr>
          <w:sz w:val="20"/>
          <w:szCs w:val="20"/>
          <w:color w:val="auto"/>
        </w:rPr>
      </w:pPr>
    </w:p>
    <w:p>
      <w:pPr>
        <w:jc w:val="both"/>
        <w:ind w:left="6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for the third quarter of 2026 increased to $31.5 million, compared to $24.7 million for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primarily due to the increase in income from operations, partially offset by the decrease in interest income, net and the increase in our provision for income taxes, as discussed above.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2026 Compared to Nine Months Ended September 30, 2025</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Changes in net sales and gross profit by segment are shown in the following table (dollars in millions):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3"/>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vMerge w:val="restart"/>
          </w:tcPr>
          <w:p>
            <w:pPr>
              <w:ind w:left="3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6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5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xml:space="preserve">  ​​​</w:t>
            </w: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xml:space="preserve">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 Solutions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43.5 %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$ 179.8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432"/>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Solutions</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r>
              <w:rPr>
                <w:rFonts w:ascii="Times New Roman" w:cs="Times New Roman" w:eastAsia="Times New Roman" w:hAnsi="Times New Roman"/>
                <w:sz w:val="18"/>
                <w:szCs w:val="18"/>
                <w:u w:val="single" w:color="auto"/>
                <w:color w:val="auto"/>
              </w:rPr>
              <w:t>8</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$ 280.4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Enterprise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Solutions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Public Sector Solutions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r>
              <w:rPr>
                <w:rFonts w:ascii="Times New Roman" w:cs="Times New Roman" w:eastAsia="Times New Roman" w:hAnsi="Times New Roman"/>
                <w:sz w:val="18"/>
                <w:szCs w:val="18"/>
                <w:u w:val="single" w:color="auto"/>
                <w:color w:val="auto"/>
              </w:rPr>
              <w:t>7</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1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increased for the nine months ended September 30, 2026 compared to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explained by the year-over-year changes discussed below:</w:t>
      </w:r>
    </w:p>
    <w:p>
      <w:pPr>
        <w:spacing w:after="0" w:line="160" w:lineRule="exact"/>
        <w:rPr>
          <w:sz w:val="20"/>
          <w:szCs w:val="20"/>
          <w:color w:val="auto"/>
        </w:rPr>
      </w:pPr>
    </w:p>
    <w:p>
      <w:pPr>
        <w:ind w:left="720" w:right="79" w:hanging="319"/>
        <w:spacing w:after="0" w:line="258"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$1,123.6 million for the Enterprise Solutions segment reflect an increase of $179.8 million, or 19.1%. The increase in net sales is primarily due to increases in net sales of notebooks/mobility, desktops, accessories, net/com products, displays and sound, software, and other hardware/services of $70.1 million, $33.6 million, $18.9 million, $18.8 million, $17.4 million, $12.7 million, and $10.2 million, respectively. These increases were partially offset by a decrease in net sales of servers/storage of $1.9 million.</w:t>
      </w:r>
    </w:p>
    <w:p>
      <w:pPr>
        <w:spacing w:after="0" w:line="183" w:lineRule="exact"/>
        <w:rPr>
          <w:rFonts w:ascii="Times New Roman" w:cs="Times New Roman" w:eastAsia="Times New Roman" w:hAnsi="Times New Roman"/>
          <w:sz w:val="18"/>
          <w:szCs w:val="18"/>
          <w:color w:val="auto"/>
        </w:rPr>
      </w:pPr>
    </w:p>
    <w:p>
      <w:pPr>
        <w:ind w:left="720" w:right="259" w:hanging="319"/>
        <w:spacing w:after="0" w:line="221" w:lineRule="auto"/>
        <w:tabs>
          <w:tab w:leader="none" w:pos="72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of $947.7 million for the Business Solutions segment reflect an increase of $139.3 million, or 17.2%. The increase in net sales is primarily due to increases in net sales of notebooks/mobility, software, servers/storage, net/com products, other hardware/services, desktops, and displays and sounds of $82.5 million, $15.8 million, $14.1 million, $13.8 million, $7.0 million, $5.0 million, and $1.0 million, respectively.</w:t>
      </w:r>
    </w:p>
    <w:p>
      <w:pPr>
        <w:sectPr>
          <w:pgSz w:w="11900" w:h="16838" w:orient="portrait"/>
          <w:cols w:equalWidth="0" w:num="1">
            <w:col w:w="9019"/>
          </w:cols>
          <w:pgMar w:left="1440" w:top="513" w:right="1440" w:bottom="10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068"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55"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$378.9 million for the Public Sector Solutions segment reflect a decrease of $38.7 million, or 9.3%. Sales to the federal government decreased by $53.3 million, or 46.7%, compared to the prior year period, primarily due to a few large orders in the prior period that did not repeat. Sales to state and local government and educational institutions increased by $14.6 million, or 4.8%. The decrease in net sales is primarily due to decreases in net sales of notebooks/mobility, desktops, servers/storage, accessories, and net/com products of $23.5 million, $7.5 million, $7.2 million, $6.3 million, and $2.3 million, respectively. These decreases were partially offset by an increase in net sales of software of $8.0 million.</w:t>
      </w:r>
    </w:p>
    <w:p>
      <w:pPr>
        <w:spacing w:after="0" w:line="187" w:lineRule="exact"/>
        <w:rPr>
          <w:sz w:val="20"/>
          <w:szCs w:val="20"/>
          <w:color w:val="auto"/>
        </w:rPr>
      </w:pPr>
    </w:p>
    <w:p>
      <w:pPr>
        <w:ind w:left="60" w:right="29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for the nine months ended September 30, 2026 increased year-over-year, as explained by the year-over-year changes discussed below:</w:t>
      </w:r>
    </w:p>
    <w:p>
      <w:pPr>
        <w:spacing w:after="0" w:line="160" w:lineRule="exact"/>
        <w:rPr>
          <w:sz w:val="20"/>
          <w:szCs w:val="20"/>
          <w:color w:val="auto"/>
        </w:rPr>
      </w:pPr>
    </w:p>
    <w:p>
      <w:pPr>
        <w:ind w:left="720" w:right="2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Enterprise Solutions segment increased by $27.9 million year-over-year primarily due to the increase in net sales as discussed in the preceding paragraph.</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Business Solutions segment increased by $22.5 million year-over-year primarily due to the increase in net sales as discussed in the preceding paragraph.</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Public Sector Solutions segment decreased by $2.0 million year-over-year primarily due to the decrease in net sales as discussed in the preceding paragraph.</w:t>
      </w:r>
    </w:p>
    <w:p>
      <w:pPr>
        <w:spacing w:after="0" w:line="160" w:lineRule="exact"/>
        <w:rPr>
          <w:sz w:val="20"/>
          <w:szCs w:val="20"/>
          <w:color w:val="auto"/>
        </w:rPr>
      </w:pPr>
    </w:p>
    <w:p>
      <w:pPr>
        <w:ind w:left="60" w:right="1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for the nine months ended September 30, 2026 decreased year-over-year, as explained by the year-over-year changes discussed below:</w:t>
      </w:r>
    </w:p>
    <w:p>
      <w:pPr>
        <w:spacing w:after="0" w:line="160"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Enterprise Solutions segment remained substantially the same year-over-year.</w:t>
      </w:r>
    </w:p>
    <w:p>
      <w:pPr>
        <w:spacing w:after="0" w:line="22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Business Solutions segment decreased by 130 basis points primarily as a result of decreases in invoice margins in desktops and notebooks/mobility primarily due to changes in customer mix.</w:t>
      </w:r>
    </w:p>
    <w:p>
      <w:pPr>
        <w:spacing w:after="0" w:line="94"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Public Sector Solutions segment increased by 100 basis points primarily due to an increase in the amount of software sales recognized on a net basis relative to total net sales in the segment, as well as a few low-margin deals in the prior period that did not repeat.</w:t>
      </w:r>
    </w:p>
    <w:p>
      <w:pPr>
        <w:spacing w:after="0" w:line="174"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for the nine months ended September 30, 2026 increased in dollars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as a percentage of net sales compared to the nine months ended September 30, 2025. SG&amp;A expenses attributable to our three segments and the remaining unallocated Headquarters/Other expenses are summarized in the table below (dollars in millions):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w w:val="78"/>
              </w:rPr>
              <w:t>2025</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vMerge w:val="restart"/>
          </w:tcPr>
          <w:p>
            <w:pPr>
              <w:ind w:left="36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 Net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Segment Net</w:t>
            </w:r>
          </w:p>
        </w:tc>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Sales</w:t>
            </w:r>
          </w:p>
        </w:tc>
        <w:tc>
          <w:tcPr>
            <w:tcW w:w="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Sales</w:t>
            </w:r>
          </w:p>
        </w:tc>
        <w:tc>
          <w:tcPr>
            <w:tcW w:w="260" w:type="dxa"/>
            <w:vAlign w:val="bottom"/>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Solutions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$ 122.8</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7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 $ 10.3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432"/>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Solutions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Sector Solutions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Headquarters/Other, unallocated</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$ 344.8</w:t>
            </w:r>
          </w:p>
        </w:tc>
        <w:tc>
          <w:tcPr>
            <w:tcW w:w="11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r>
              <w:rPr>
                <w:rFonts w:ascii="Times New Roman" w:cs="Times New Roman" w:eastAsia="Times New Roman" w:hAnsi="Times New Roman"/>
                <w:sz w:val="18"/>
                <w:szCs w:val="18"/>
                <w:u w:val="single" w:color="auto"/>
                <w:color w:val="auto"/>
              </w:rPr>
              <w:t>1</w:t>
            </w:r>
          </w:p>
        </w:tc>
        <w:tc>
          <w:tcPr>
            <w:tcW w:w="12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15.0 %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399" w:hanging="319"/>
        <w:spacing w:after="0" w:line="25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Enterprise Solutions segment increased year-over-year in dollars but decreased as a percentage of net sales. The year-over-year change in SG&amp;A dollars was primarily attributable to increases in personnel costs, use of shared Headquarter services, and marketing of $7.1 million, $2.3 million, and $0.9 million, respectively. SG&amp;A expenses as a percentage of net sales were 10.9% for the Enterprise Solutions segment for the nine months ended September 30, 2026, which reflects a decrease of 100 basis points and is primarily due to the increase in net sales as discussed above.</w:t>
      </w:r>
    </w:p>
    <w:p>
      <w:pPr>
        <w:spacing w:after="0" w:line="187" w:lineRule="exact"/>
        <w:rPr>
          <w:rFonts w:ascii="Times New Roman" w:cs="Times New Roman" w:eastAsia="Times New Roman" w:hAnsi="Times New Roman"/>
          <w:sz w:val="18"/>
          <w:szCs w:val="18"/>
          <w:color w:val="auto"/>
        </w:rPr>
      </w:pPr>
    </w:p>
    <w:p>
      <w:pPr>
        <w:ind w:left="720" w:right="399" w:hanging="319"/>
        <w:spacing w:after="0" w:line="312" w:lineRule="auto"/>
        <w:tabs>
          <w:tab w:leader="none" w:pos="7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SG&amp;A expenses for the Business Solutions segment increased year-over-year in dollars but decreased as a percentage of net sales. The year-over-year change in SG&amp;A dollars was primarily attributable to increases in</w:t>
      </w:r>
    </w:p>
    <w:p>
      <w:pPr>
        <w:sectPr>
          <w:pgSz w:w="11900" w:h="16838" w:orient="portrait"/>
          <w:cols w:equalWidth="0" w:num="1">
            <w:col w:w="9019"/>
          </w:cols>
          <w:pgMar w:left="1440" w:top="513" w:right="1440" w:bottom="1163"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163"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spacing w:after="0" w:line="261" w:lineRule="auto"/>
        <w:rPr>
          <w:sz w:val="20"/>
          <w:szCs w:val="20"/>
          <w:color w:val="auto"/>
        </w:rPr>
      </w:pPr>
      <w:r>
        <w:rPr>
          <w:rFonts w:ascii="Times New Roman" w:cs="Times New Roman" w:eastAsia="Times New Roman" w:hAnsi="Times New Roman"/>
          <w:sz w:val="18"/>
          <w:szCs w:val="18"/>
          <w:color w:val="auto"/>
        </w:rPr>
        <w:t>use of shared Headquarter services, personnel costs, marketing, and other expenses of $3.5 million, $2.5 million, $2.1 million, and $1.1 million, respectively. SG&amp;A expenses as a percentage of net sales were 15.0% for the Business Solutions segment for the nine months ended September 30, 2026, which reflects a decrease of 150 basis points and is primarily due to the increase in net sales as discussed above.</w:t>
      </w:r>
    </w:p>
    <w:p>
      <w:pPr>
        <w:spacing w:after="0" w:line="180" w:lineRule="exact"/>
        <w:rPr>
          <w:sz w:val="20"/>
          <w:szCs w:val="20"/>
          <w:color w:val="auto"/>
        </w:rPr>
      </w:pPr>
    </w:p>
    <w:p>
      <w:pPr>
        <w:ind w:left="720" w:right="79" w:hanging="319"/>
        <w:spacing w:after="0" w:line="255"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Public Sector Solutions segment decreased year-over-year in dollars but increased as a percentage of net sales. The year-over-year change in SG&amp;A dollars was primarily attributable to decreases in professional fees and personnel costs of $2.9 million and $2.2 million, respectively, partially offset by increases in use of shared Headquarter services and other expenses of $1.7 million and $1.0 million, respectively. SG&amp;A expenses as a percentage of net sales were 17.8% for the Public Sector Solutions segment for the nine months ended September 30, 2026, which reflects an increase of 110 basis points and is primarily due to the decrease in net sales as discussed above.</w:t>
      </w:r>
    </w:p>
    <w:p>
      <w:pPr>
        <w:spacing w:after="0" w:line="188" w:lineRule="exact"/>
        <w:rPr>
          <w:rFonts w:ascii="Times New Roman" w:cs="Times New Roman" w:eastAsia="Times New Roman" w:hAnsi="Times New Roman"/>
          <w:sz w:val="18"/>
          <w:szCs w:val="18"/>
          <w:color w:val="auto"/>
        </w:rPr>
      </w:pPr>
    </w:p>
    <w:p>
      <w:pPr>
        <w:ind w:left="720" w:right="119" w:hanging="319"/>
        <w:spacing w:after="0" w:line="255"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for the Headquarters/Other increased year-over-year by $2.2 million primarily due to increases in personnel costs, service contracts/subscriptions, other expenses, marketing, and facility operations of $6.3 million, $2.1 million, $0.5 million, $0.4 million, and $0.4 million, respectively, partially offset by an increase in the allocated amounts to the operating segments of $7.5 million. The Headquarters/Other provides services to the three segments in areas such as finance, distribution center, human resources, IT, marketing, and product management. Most of the operating costs associated with such corporate Headquarters/Other services are charged to the segments based on their estimated allocation usage of the underlying services.</w:t>
      </w:r>
    </w:p>
    <w:p>
      <w:pPr>
        <w:spacing w:after="0" w:line="187" w:lineRule="exact"/>
        <w:rPr>
          <w:sz w:val="20"/>
          <w:szCs w:val="20"/>
          <w:color w:val="auto"/>
        </w:rPr>
      </w:pPr>
    </w:p>
    <w:p>
      <w:pPr>
        <w:ind w:left="60" w:right="219"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Severance expenses </w:t>
      </w:r>
      <w:r>
        <w:rPr>
          <w:rFonts w:ascii="Times New Roman" w:cs="Times New Roman" w:eastAsia="Times New Roman" w:hAnsi="Times New Roman"/>
          <w:sz w:val="17"/>
          <w:szCs w:val="17"/>
          <w:color w:val="auto"/>
        </w:rPr>
        <w:t>for the nine months ended September 30, 2026 were $3.1 million, compared to $2.9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nine months ended September 30, 2025. The severance expenses were related to voluntary and involuntary reductions in our workforce to lower our cost structure and included cash severance and other related termination benefits.</w:t>
      </w:r>
    </w:p>
    <w:p>
      <w:pPr>
        <w:spacing w:after="0" w:line="155"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for the nine months ended September 30, 2026 was $104.2 million, compared to $75.7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2025. Income from operations as a percentage of net sales increased to 4.3% for the nine months ended September 30, 2026, compared to 3.5% for the prior year period. The increase in income from operations both in dollars and as a percentage of net sales is primarily due to the increases in net sales and gross profit as discussed above.</w:t>
      </w:r>
    </w:p>
    <w:p>
      <w:pPr>
        <w:spacing w:after="0" w:line="183"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for the nine months ended September 30, 2026 decreased to $8.4 million, compared to $10.8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2025, primarily due to a decrease in interest income of $2.4 million. The decrease in interest income is primarily a result of lower cash equivalent balances in the current period combined with lower realized interest rates in the current period.</w:t>
      </w:r>
    </w:p>
    <w:p>
      <w:pPr>
        <w:spacing w:after="0" w:line="180" w:lineRule="exact"/>
        <w:rPr>
          <w:sz w:val="20"/>
          <w:szCs w:val="20"/>
          <w:color w:val="auto"/>
        </w:rPr>
      </w:pPr>
    </w:p>
    <w:p>
      <w:pPr>
        <w:jc w:val="both"/>
        <w:ind w:left="60" w:right="579"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Our provision for income taxes for the nine months ended September 30, 2026 increased to $30.7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compared to $23.6 million for the nine months ended September 30, 2025. The increase in our provision for income taxes was primarily due to the increase in income before taxes. Our effective tax rate was 27.3% for the nine months ended September 30, 2026, compared to 27.2% for the nine months ended September 30, 2025.</w:t>
      </w:r>
    </w:p>
    <w:p>
      <w:pPr>
        <w:spacing w:after="0" w:line="164" w:lineRule="exact"/>
        <w:rPr>
          <w:sz w:val="20"/>
          <w:szCs w:val="20"/>
          <w:color w:val="auto"/>
        </w:rPr>
      </w:pPr>
    </w:p>
    <w:p>
      <w:pPr>
        <w:ind w:left="60" w:right="1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for the nine months ended September 30, 2026 increased to $81.8 million, compared to $63.0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2025, primarily due to the increase in income from operations, partially offset by the decrease in interest income, net and the increase in our provision for income taxes, as discussed above.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internally generated funds from operations and short-term investments. We have historically used and expect to use in the future those funds to meet our capital requirements, which consist primarily of working capital for operational needs, capital expenditures for computer equipment and software used in our business, repurchases of our common stock for treasury, dividend payments, and as opportunities arise, possible acquisitions of new businesses.</w:t>
      </w:r>
    </w:p>
    <w:p>
      <w:pPr>
        <w:spacing w:after="0" w:line="183"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We believe that funds generated from operations and short-term investments will be sufficient to finance our working capital, capital expenditures, and other requirements for at least the next twelve calendar months and beyond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such twelve calendar month period. Our investments in IT systems and infrastructure are designed to enable us to operate more efficiently and to provide our customers enhanced functionality.</w:t>
      </w:r>
    </w:p>
    <w:p>
      <w:pPr>
        <w:spacing w:after="0" w:line="162"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We expect to meet our cash requirements for the next twelve months and beyond through a combination of cash on hand, short-term investments, and cash generated from operations, as follows:</w:t>
      </w:r>
    </w:p>
    <w:p>
      <w:pPr>
        <w:spacing w:after="0" w:line="160"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As of September 30, 2026, we had $124.6 million in cash and cash equivalents.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As of September 30, 2026, we had $218.7 million in short-term investments.</w:t>
      </w:r>
    </w:p>
    <w:p>
      <w:pPr>
        <w:spacing w:after="0" w:line="157" w:lineRule="exact"/>
        <w:rPr>
          <w:rFonts w:ascii="Times New Roman" w:cs="Times New Roman" w:eastAsia="Times New Roman" w:hAnsi="Times New Roman"/>
          <w:sz w:val="18"/>
          <w:szCs w:val="18"/>
          <w:color w:val="auto"/>
        </w:rPr>
      </w:pPr>
    </w:p>
    <w:p>
      <w:pPr>
        <w:jc w:val="both"/>
        <w:ind w:left="720" w:right="219" w:hanging="319"/>
        <w:spacing w:after="0" w:line="267"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Generated from Operations</w:t>
      </w:r>
      <w:r>
        <w:rPr>
          <w:rFonts w:ascii="Times New Roman" w:cs="Times New Roman" w:eastAsia="Times New Roman" w:hAnsi="Times New Roman"/>
          <w:sz w:val="18"/>
          <w:szCs w:val="18"/>
          <w:color w:val="auto"/>
        </w:rPr>
        <w:t>. We expect to generate cash flows from operations in excess of operating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by generating earnings and managing net changes in inventories and receivables with changes in payables to generate positive cash flow.</w:t>
      </w:r>
    </w:p>
    <w:p>
      <w:pPr>
        <w:spacing w:after="0" w:line="175"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we do not anticipate needing any additional sources of financing to fund our operations at this time, if demand for IT products declines, or our customers are materially adversely impacted by the developing macroeconomic trends characterized by inflation and increased interest rates, our cash flows from operations may be substantially affected.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2026 dividend activity for our common stock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 Amount</w:t>
            </w: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r>
      <w:tr>
        <w:trPr>
          <w:trHeight w:val="210"/>
        </w:trPr>
        <w:tc>
          <w:tcPr>
            <w:tcW w:w="1580" w:type="dxa"/>
            <w:vAlign w:val="bottom"/>
            <w:shd w:val="clear" w:color="auto" w:fill="CCEEFF"/>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3, 2026</w:t>
            </w:r>
          </w:p>
        </w:tc>
        <w:tc>
          <w:tcPr>
            <w:tcW w:w="3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6, 2026</w:t>
            </w:r>
          </w:p>
        </w:tc>
      </w:tr>
      <w:tr>
        <w:trPr>
          <w:trHeight w:val="216"/>
        </w:trPr>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28, 2026</w:t>
            </w:r>
          </w:p>
        </w:tc>
        <w:tc>
          <w:tcPr>
            <w:tcW w:w="3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12, 2026</w:t>
            </w:r>
          </w:p>
        </w:tc>
        <w:tc>
          <w:tcPr>
            <w:tcW w:w="3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29, 2026</w:t>
            </w:r>
          </w:p>
        </w:tc>
      </w:tr>
      <w:tr>
        <w:trPr>
          <w:trHeight w:val="216"/>
        </w:trPr>
        <w:tc>
          <w:tcPr>
            <w:tcW w:w="1580" w:type="dxa"/>
            <w:vAlign w:val="bottom"/>
            <w:shd w:val="clear" w:color="auto" w:fill="CCEEFF"/>
          </w:tcPr>
          <w:p>
            <w:pPr>
              <w:jc w:val="right"/>
              <w:ind w:right="13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28, 2026</w:t>
            </w:r>
          </w:p>
        </w:tc>
        <w:tc>
          <w:tcPr>
            <w:tcW w:w="3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11, 2026</w:t>
            </w: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28, 2026</w:t>
            </w:r>
          </w:p>
        </w:tc>
      </w:tr>
    </w:tbl>
    <w:p>
      <w:pPr>
        <w:spacing w:after="0" w:line="200" w:lineRule="exact"/>
        <w:rPr>
          <w:sz w:val="20"/>
          <w:szCs w:val="20"/>
          <w:color w:val="auto"/>
        </w:rPr>
      </w:pPr>
    </w:p>
    <w:p>
      <w:pPr>
        <w:spacing w:after="0" w:line="214"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On October 28, 2026, we announced that our Board of Directors declared a quarterly cash dividend on our common stock of $0.20 per share. The dividend will be paid on November 27, 2026 to all stockholders of record as of the close of business on November 10, 2026. The declaration and payment of any future dividends is at the discretion of our Board of Directors and will depend upon our financial position, strategic plans, general business conditions and any other factors deemed relevant by our Board of Directors.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Summary of Sources and Uses of Cash</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for the nine months ended September 30, 2026 and 2025, as reflected in our Unaudited Condensed Consolidated Statements of Cash Flows included in Item 1 of this Quarterly Report on Form 10-Q, are summarized in the following table (in millions):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940" w:type="dxa"/>
            <w:vAlign w:val="bottom"/>
            <w:gridSpan w:val="2"/>
          </w:tcPr>
          <w:p>
            <w:pPr>
              <w:ind w:left="26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7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20" w:type="dxa"/>
            <w:vAlign w:val="bottom"/>
            <w:vMerge w:val="restart"/>
          </w:tcPr>
          <w:p>
            <w:pPr>
              <w:jc w:val="right"/>
              <w:ind w:right="2099"/>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Cash (used in) provided by operating activities </w:t>
      </w:r>
      <w:r>
        <w:rPr>
          <w:rFonts w:ascii="Times New Roman" w:cs="Times New Roman" w:eastAsia="Times New Roman" w:hAnsi="Times New Roman"/>
          <w:sz w:val="18"/>
          <w:szCs w:val="18"/>
          <w:color w:val="auto"/>
        </w:rPr>
        <w:t>is summarized as follows (in millions):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6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198"/>
        </w:trPr>
        <w:tc>
          <w:tcPr>
            <w:tcW w:w="6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credit losses reserve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discount on short-term investments, net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(144.8)</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8"/>
                <w:szCs w:val="18"/>
                <w:u w:val="single" w:color="auto"/>
                <w:color w:val="auto"/>
              </w:rPr>
              <w:t>8)</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decrease in net cash from operating activities of $77.8 million for the nine months ended September 30, 2026 was primarily attributable to changes in accounts receivable, accounts payable, and inventories of $138.3 million, $62.6 million, and $43.0 million, respectively. The change in cash from operating activities attributable to accounts receivable is primarily driven by the timing of customer deliveries. The change in cash from operating activities attributable to accounts payable is primarily due to the timing of payments. The change in cash from operating activities attributable to inventories is primarily due to bringing in inventory for several large scale customer deployments.</w:t>
      </w:r>
    </w:p>
    <w:p>
      <w:pPr>
        <w:spacing w:after="0" w:line="187"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In order to manage our working capital and operating cash needs, we monitor our cash conversion cycle, defined as days of sales outstanding in accounts receivable plus days of supply in inventory minus days of purchases outstanding in accounts payable, based on a rolling three-month average. Components of our cash conversion cycle are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days)</w:t>
            </w:r>
          </w:p>
        </w:tc>
        <w:tc>
          <w:tcPr>
            <w:tcW w:w="174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Days of sales outstanding (DSO)</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71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Days of supply in inventory (DIO)</w:t>
            </w:r>
            <w:r>
              <w:rPr>
                <w:rFonts w:ascii="Times New Roman" w:cs="Times New Roman" w:eastAsia="Times New Roman" w:hAnsi="Times New Roman"/>
                <w:sz w:val="25"/>
                <w:szCs w:val="25"/>
                <w:color w:val="auto"/>
                <w:vertAlign w:val="superscript"/>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Days of purchases outstanding (DPO)</w:t>
            </w:r>
            <w:r>
              <w:rPr>
                <w:rFonts w:ascii="Times New Roman" w:cs="Times New Roman" w:eastAsia="Times New Roman" w:hAnsi="Times New Roman"/>
                <w:sz w:val="25"/>
                <w:szCs w:val="25"/>
                <w:color w:val="auto"/>
                <w:vertAlign w:val="superscript"/>
              </w:rPr>
              <w:t>(3)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conversion cycle</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29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trade receivable at the end of the quarter divided by average daily net sales for the same three-month period.</w:t>
      </w:r>
    </w:p>
    <w:p>
      <w:pPr>
        <w:spacing w:after="0" w:line="161" w:lineRule="exact"/>
        <w:rPr>
          <w:rFonts w:ascii="Times New Roman" w:cs="Times New Roman" w:eastAsia="Times New Roman" w:hAnsi="Times New Roman"/>
          <w:sz w:val="18"/>
          <w:szCs w:val="18"/>
          <w:color w:val="auto"/>
        </w:rPr>
      </w:pPr>
    </w:p>
    <w:p>
      <w:pPr>
        <w:ind w:left="380" w:right="35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inventory balance at the end of the quarter divided by average daily cost of sales for the same three-month period.</w:t>
      </w:r>
    </w:p>
    <w:p>
      <w:pPr>
        <w:spacing w:after="0" w:line="161" w:lineRule="exact"/>
        <w:rPr>
          <w:rFonts w:ascii="Times New Roman" w:cs="Times New Roman" w:eastAsia="Times New Roman" w:hAnsi="Times New Roman"/>
          <w:sz w:val="18"/>
          <w:szCs w:val="18"/>
          <w:color w:val="auto"/>
        </w:rPr>
      </w:pPr>
    </w:p>
    <w:p>
      <w:pPr>
        <w:ind w:left="380" w:right="27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accounts payable balance at the end of the quarter divided by average daily cost of sales for the same three-month period.</w:t>
      </w:r>
    </w:p>
    <w:p>
      <w:pPr>
        <w:spacing w:after="0" w:line="16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cash conversion cycle increased to 50 days at September 30, 2026, compared to 46 days at September 30, 2025, as evidenced in the above cash conversion table. The increase in DIO is primarily due to the increase in inventory as of September 30, 2026 compared to September 30, 2025. The increase in DPO is primarily due to the increase in accounts payable as of September 30, 2026 compared to September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(used in) provided by investing activities </w:t>
      </w:r>
      <w:r>
        <w:rPr>
          <w:rFonts w:ascii="Times New Roman" w:cs="Times New Roman" w:eastAsia="Times New Roman" w:hAnsi="Times New Roman"/>
          <w:sz w:val="18"/>
          <w:szCs w:val="18"/>
          <w:color w:val="auto"/>
        </w:rPr>
        <w:t>for the nine months ended September 30, 2026 consisted of $161.2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purchases of U.S. Government treasury securities, $157.4 million of maturities of U.S. Government treasury securities, and $6.0 million of purchases of property and equipment. The property and equipment expenditures were primarily for computer equipment and capitalized internally developed software in connection with investments in our IT infrastructure. In the prior year period, investing activities consisted of $155.6 million of purchases of U.S. Government treasury securities, $108.8 million of sales of U.S. Government treasury securities, $101.3 million of maturities of U.S. Government treasury securities, and $5.2 million of purchases of property and equipment.</w:t>
      </w:r>
    </w:p>
    <w:p>
      <w:pPr>
        <w:spacing w:after="0" w:line="183"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used in financing activities </w:t>
      </w:r>
      <w:r>
        <w:rPr>
          <w:rFonts w:ascii="Times New Roman" w:cs="Times New Roman" w:eastAsia="Times New Roman" w:hAnsi="Times New Roman"/>
          <w:sz w:val="18"/>
          <w:szCs w:val="18"/>
          <w:color w:val="auto"/>
        </w:rPr>
        <w:t>for the nine months ended September 30, 2026 consisted of $15.1 million of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$2.5 million of treasury purchases, $0.7 million of excise tax payments on treasury purchases, $0.6 million of issuances of stock under the Employee Stock Purchase Plan, and $1.4 million of payments of payroll taxes on stock-based compensation through shares withheld. In the prior year period, financing activities consisted of $0.7 million of aggregate borrowings and repayments, $65.5 million of treasury purchases, $11.5 million of dividend payments, $0.6 million of issuances of stock under the Employee Stock Purchase Plan, and $1.3 million of payments of payroll taxes on stock-based compensation through shares withheld.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Agreements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Below is a summary of our contractual obligations. For more information about our obligations, commitments, and contingencies, see our condensed consolidated financial statements and the accompanying notes included in this Quarterly Report on Form 10-Q.</w:t>
      </w:r>
    </w:p>
    <w:p>
      <w:pPr>
        <w:spacing w:after="0" w:line="174"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Supplier Finance Programs. </w:t>
      </w:r>
      <w:r>
        <w:rPr>
          <w:rFonts w:ascii="Times New Roman" w:cs="Times New Roman" w:eastAsia="Times New Roman" w:hAnsi="Times New Roman"/>
          <w:sz w:val="18"/>
          <w:szCs w:val="18"/>
          <w:color w:val="auto"/>
        </w:rPr>
        <w:t>We have entered into agreements with financial institutions to facilitate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from designated suppliers under certain terms and conditions to enhance liquidity. We do not incur any interest or other incremental expenses associated with these agreements as balances are paid when they are due. See Note 10, “Supplier Finance Programs,” of our Unaudited Condensed Consolidated Financial Statements for additional information.</w:t>
      </w:r>
    </w:p>
    <w:p>
      <w:pPr>
        <w:spacing w:after="0" w:line="18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We lease facilities, including our corporate headquarters, from a related party, which is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affiliated with us through common ownership. The lease agreement of our corporate headquarters has expired. We continue to occupy the facility on a month-to-month basis under the terms of the prior written lease agreement. It is our intention to enter into a written, long-term lease for our corporate headquarters. We also lease facilities from third parties under non-cancelable operating leases. Certain leases require us to pay real estate taxes, insurance, and common area maintenance charges. See “Item 2. Properties” in our Annual Report on Form 10-K for the year ended December 31, 2025 for additional information regarding our operating leases.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27" w:lineRule="exact"/>
        <w:rPr>
          <w:sz w:val="20"/>
          <w:szCs w:val="20"/>
          <w:color w:val="auto"/>
        </w:rPr>
      </w:pPr>
    </w:p>
    <w:p>
      <w:pPr>
        <w:ind w:left="60" w:right="2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our internally generated funds are our ability to manage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fully achieve our operating efficiencies, timely collection of our customer receivables, and management of our inventory levels.</w:t>
      </w:r>
    </w:p>
    <w:p>
      <w:pPr>
        <w:spacing w:after="0" w:line="17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Markets. </w:t>
      </w:r>
      <w:r>
        <w:rPr>
          <w:rFonts w:ascii="Times New Roman" w:cs="Times New Roman" w:eastAsia="Times New Roman" w:hAnsi="Times New Roman"/>
          <w:sz w:val="18"/>
          <w:szCs w:val="18"/>
          <w:color w:val="auto"/>
        </w:rPr>
        <w:t>Our ability to raise additional funds in the capital market depends upon, among other things,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the condition of the IT industry, our financial performance and stock price, and the state of the capital markets. In addition, market volatility, inflation and interest rate fluctuations may increase our cost of financing or restrict our access to potential sources of future liquidity.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estimates have not materially changed from those discussed in our Annual Report on Form 10-K for the year ended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FINANCIAL ACCOUNTING STANDARDS</w:t>
      </w:r>
    </w:p>
    <w:p>
      <w:pPr>
        <w:spacing w:after="0" w:line="229" w:lineRule="exact"/>
        <w:rPr>
          <w:sz w:val="20"/>
          <w:szCs w:val="20"/>
          <w:color w:val="auto"/>
        </w:rPr>
      </w:pPr>
    </w:p>
    <w:p>
      <w:pPr>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Recently issued financial accounting standards are detailed in Note 1, “Basis of Presentation,” in the Notes to our Unaudited Condensed Consolidated Financial Statements included in Part I, Item 1 of this Quarterly Report on Form 10-Q.</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our market risks, see Item 7A. “Quantitative and Qualitative Disclosures About Market Risk” in our Annual Report on Form 10-K for the year ended December 31, 2025. No material changes related to our market risks have occurred since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Chief Financial Officer (our principal financial officer), evaluated the effectiveness of our disclosure controls and procedures as of September 30, 2026. The term “disclosure controls and procedures,” as defined in Rules 13a-15(e) and 15d-15(e) promulgated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this evaluation, our Chief Executive Officer and Chief Financial Officer concluded that, as of the end of the period covered by this report, our disclosure controls and procedures were effective at the reasonable assurance level.</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 xml:space="preserve">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information related to legal proceedings, see the discussion in Note 8, “Commitments and Contingencies,” in the Notes to our Unaudited Condensed Consolidated Financial Statements included in Part I, Item 1 of this Quarterly Report on Form 10-Q, which information is incorporated by reference into this Part II, Item 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Item 1A. “Risk Factors” in our Annual Report on Form 10-K for the year ended December 31, 2025, which could materially affect our business, financial position, and results of operations. Risk factors which could cause actual results to differ materially from those suggested by forward-looking statements include but are not limited to those discussed or identified in this document, in our other public filings with the SEC, and those contained in Item 1A. “Risk Factors” in our Annual Report on Form 10-K for the year ended December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(as defined in Exchange Act Rule 16a-1(f)) adopted or terminated a Rule 10b5-1 trading arrangement or a non-Rule 10b5-1 trading arrangement (as each term is defined in Item 408(c) of Regulation S-K) during the third quarter of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Exhibit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6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Number</w:t>
            </w:r>
          </w:p>
        </w:tc>
        <w:tc>
          <w:tcPr>
            <w:tcW w:w="300" w:type="dxa"/>
            <w:vAlign w:val="bottom"/>
          </w:tcPr>
          <w:p>
            <w:pPr>
              <w:spacing w:after="0"/>
              <w:rPr>
                <w:sz w:val="16"/>
                <w:szCs w:val="16"/>
                <w:color w:val="auto"/>
              </w:rPr>
            </w:pPr>
          </w:p>
        </w:tc>
        <w:tc>
          <w:tcPr>
            <w:tcW w:w="780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gridSpan w:val="13"/>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Certificate of Incorporation of PC Connection, Inc., as amended (incorporated by</w:t>
              </w:r>
            </w:hyperlink>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0" w:type="dxa"/>
            <w:vAlign w:val="bottom"/>
            <w:gridSpan w:val="1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reference to Exhibit 3.1 to the Company’s registration statement on Form S-4 (333-63272) filed on June 19,</w:t>
              </w:r>
            </w:hyperlink>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2001)</w:t>
              </w:r>
              <w:r>
                <w:rPr>
                  <w:rFonts w:ascii="Times New Roman" w:cs="Times New Roman" w:eastAsia="Times New Roman" w:hAnsi="Times New Roman"/>
                  <w:sz w:val="18"/>
                  <w:szCs w:val="18"/>
                  <w:color w:val="000000"/>
                </w:rPr>
                <w:t>.</w:t>
              </w:r>
            </w:hyperlink>
          </w:p>
        </w:tc>
        <w:tc>
          <w:tcPr>
            <w:tcW w:w="2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4"/>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gridSpan w:val="13"/>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Bylaws of PC Connection, Inc. (incorporated by reference to Exhibit 3.1 to the</w:t>
              </w:r>
            </w:hyperlink>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Company’s current report on Form 8-K, filed on January 9, 2008).</w:t>
              </w:r>
            </w:hyperlink>
          </w:p>
        </w:tc>
        <w:tc>
          <w:tcPr>
            <w:tcW w:w="2600" w:type="dxa"/>
            <w:vAlign w:val="bottom"/>
            <w:tcBorders>
              <w:top w:val="single" w:sz="8" w:color="0000EE"/>
            </w:tcBorders>
            <w:gridSpan w:val="2"/>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345"/>
        </w:trPr>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7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302 of the Sarbanes-Oxley Act</w:t>
            </w:r>
          </w:p>
        </w:tc>
        <w:tc>
          <w:tcPr>
            <w:tcW w:w="80" w:type="dxa"/>
            <w:vAlign w:val="bottom"/>
            <w:gridSpan w:val="2"/>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44"/>
        </w:trPr>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Senior Vice President and Chief Financial Officer pursuant to Section 302 of</w:t>
            </w: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45"/>
        </w:trPr>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18 U.S.C. Section 1350, as adopted</w:t>
            </w:r>
          </w:p>
        </w:tc>
        <w:tc>
          <w:tcPr>
            <w:tcW w:w="340" w:type="dxa"/>
            <w:vAlign w:val="bottom"/>
            <w:gridSpan w:val="4"/>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300" w:type="dxa"/>
            <w:vAlign w:val="bottom"/>
            <w:gridSpan w:val="5"/>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44"/>
        </w:trPr>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Company’s Senior Vice President and Chief Financial Officer pursuant to 18 U.S.C.</w:t>
            </w: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 pursuant to Section 906 of the Sarbanes-Oxley Act of 2002.</w:t>
            </w:r>
          </w:p>
        </w:tc>
        <w:tc>
          <w:tcPr>
            <w:tcW w:w="1300" w:type="dxa"/>
            <w:vAlign w:val="bottom"/>
            <w:tcBorders>
              <w:top w:val="single" w:sz="8" w:color="0000EE"/>
            </w:tcBorders>
            <w:gridSpan w:val="2"/>
          </w:tcPr>
          <w:p>
            <w:pPr>
              <w:spacing w:after="0"/>
              <w:rPr>
                <w:sz w:val="17"/>
                <w:szCs w:val="17"/>
                <w:color w:val="auto"/>
              </w:rPr>
            </w:pPr>
          </w:p>
        </w:tc>
        <w:tc>
          <w:tcPr>
            <w:tcW w:w="340" w:type="dxa"/>
            <w:vAlign w:val="bottom"/>
            <w:gridSpan w:val="4"/>
          </w:tcPr>
          <w:p>
            <w:pPr>
              <w:spacing w:after="0"/>
              <w:rPr>
                <w:sz w:val="17"/>
                <w:szCs w:val="17"/>
                <w:color w:val="auto"/>
              </w:rPr>
            </w:pPr>
          </w:p>
        </w:tc>
      </w:tr>
      <w:tr>
        <w:trPr>
          <w:trHeight w:val="367"/>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9"/>
              </w:rPr>
              <w:t>101.INS *</w:t>
            </w: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364"/>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7"/>
              </w:rPr>
              <w:t>101.SCH*</w:t>
            </w: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6"/>
              </w:rPr>
              <w:t>101.CAL*</w:t>
            </w: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65"/>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9"/>
              </w:rPr>
              <w:t>101.DEF*</w:t>
            </w: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5"/>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6"/>
              </w:rPr>
              <w:t>101.LAB*</w:t>
            </w: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364"/>
        </w:trPr>
        <w:tc>
          <w:tcPr>
            <w:tcW w:w="1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101.PRE*</w:t>
            </w:r>
          </w:p>
        </w:tc>
        <w:tc>
          <w:tcPr>
            <w:tcW w:w="7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bl>
    <w:p>
      <w:pPr>
        <w:spacing w:after="0" w:line="130" w:lineRule="exact"/>
        <w:rPr>
          <w:sz w:val="20"/>
          <w:szCs w:val="20"/>
          <w:color w:val="auto"/>
        </w:rPr>
      </w:pPr>
    </w:p>
    <w:p>
      <w:pPr>
        <w:ind w:left="1080" w:right="939" w:hanging="822"/>
        <w:spacing w:after="0" w:line="282" w:lineRule="auto"/>
        <w:tabs>
          <w:tab w:leader="none" w:pos="72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with applicable taxonomy extension information contained in Exhibits 101).</w:t>
      </w:r>
    </w:p>
    <w:p>
      <w:pPr>
        <w:spacing w:after="0" w:line="16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Submitted electronically herewith.</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-462280</wp:posOffset>
            </wp:positionV>
            <wp:extent cx="1414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Language): (i) Condensed Consolidated Balance Sheets at September 30, 2026 and December 31, 2025, (ii) Condensed Consolidated Statements of Income for the three and nine months ended September 30, 2026 and 2025, (iii) Condensed Consolidated Statements of Other Comprehensive Income for the three and nine months ended September 30, 2026 and 2025, (iv) Condensed Consolidated Statements of Stockholders’ Equity for the three and nine months ended September 30, 2026 and 2025, (v) Condensed Consolidated Statements of Cash Flows for the nine months ended September 30, 2026 and 2025, and (vi) Notes to Unaudited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PC CONNECTION,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28, 2026</w:t>
            </w:r>
          </w:p>
        </w:tc>
        <w:tc>
          <w:tcPr>
            <w:tcW w:w="1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MCGRATH</w:t>
            </w:r>
          </w:p>
        </w:tc>
      </w:tr>
      <w:tr>
        <w:trPr>
          <w:trHeight w:val="191"/>
        </w:trPr>
        <w:tc>
          <w:tcPr>
            <w:tcW w:w="5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Timothy J. McGrath</w:t>
            </w:r>
          </w:p>
        </w:tc>
      </w:tr>
      <w:tr>
        <w:trPr>
          <w:trHeight w:val="216"/>
        </w:trPr>
        <w:tc>
          <w:tcPr>
            <w:tcW w:w="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432"/>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28, 2026</w:t>
            </w:r>
          </w:p>
        </w:tc>
        <w:tc>
          <w:tcPr>
            <w:tcW w:w="14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C. BAKER</w:t>
            </w:r>
          </w:p>
        </w:tc>
      </w:tr>
      <w:tr>
        <w:trPr>
          <w:trHeight w:val="191"/>
        </w:trPr>
        <w:tc>
          <w:tcPr>
            <w:tcW w:w="5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C. Baker</w:t>
            </w:r>
          </w:p>
        </w:tc>
      </w:tr>
      <w:tr>
        <w:trPr>
          <w:trHeight w:val="216"/>
        </w:trPr>
        <w:tc>
          <w:tcPr>
            <w:tcW w:w="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34"/>
        </w:trPr>
        <w:tc>
          <w:tcPr>
            <w:tcW w:w="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64"/>
        </w:trPr>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r>
      <w:tr>
        <w:trPr>
          <w:trHeight w:val="560"/>
        </w:trPr>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Timothy J. McGrath, certify that:</w:t>
      </w:r>
    </w:p>
    <w:p>
      <w:pPr>
        <w:spacing w:after="0" w:line="185" w:lineRule="exact"/>
        <w:rPr>
          <w:sz w:val="20"/>
          <w:szCs w:val="20"/>
          <w:color w:val="auto"/>
        </w:rPr>
      </w:pPr>
    </w:p>
    <w:p>
      <w:pPr>
        <w:ind w:left="700" w:hanging="650"/>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PC Connection, Inc.;</w:t>
      </w:r>
    </w:p>
    <w:p>
      <w:pPr>
        <w:spacing w:after="0" w:line="225" w:lineRule="exact"/>
        <w:rPr>
          <w:rFonts w:ascii="Times New Roman" w:cs="Times New Roman" w:eastAsia="Times New Roman" w:hAnsi="Times New Roman"/>
          <w:sz w:val="18"/>
          <w:szCs w:val="18"/>
          <w:color w:val="auto"/>
        </w:rPr>
      </w:pPr>
    </w:p>
    <w:p>
      <w:pPr>
        <w:ind w:left="700" w:right="299" w:hanging="650"/>
        <w:spacing w:after="0" w:line="258"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700" w:right="139" w:hanging="650"/>
        <w:spacing w:after="0" w:line="258"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40" w:right="79" w:hanging="642"/>
        <w:spacing w:after="0" w:line="251"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Times New Roman" w:cs="Times New Roman" w:eastAsia="Times New Roman" w:hAnsi="Times New Roman"/>
          <w:sz w:val="18"/>
          <w:szCs w:val="18"/>
          <w:color w:val="auto"/>
        </w:rPr>
      </w:pPr>
    </w:p>
    <w:p>
      <w:pPr>
        <w:ind w:left="1340" w:right="179" w:hanging="642"/>
        <w:spacing w:after="0" w:line="255"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1340" w:right="179" w:hanging="642"/>
        <w:spacing w:after="0" w:line="250"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40" w:right="99" w:hanging="642"/>
        <w:spacing w:after="0" w:line="248"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Times New Roman" w:cs="Times New Roman" w:eastAsia="Times New Roman" w:hAnsi="Times New Roman"/>
          <w:sz w:val="18"/>
          <w:szCs w:val="18"/>
          <w:color w:val="auto"/>
        </w:rPr>
      </w:pPr>
    </w:p>
    <w:p>
      <w:pPr>
        <w:ind w:left="700" w:right="379" w:hanging="650"/>
        <w:spacing w:after="0" w:line="258"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1340" w:right="319" w:hanging="642"/>
        <w:spacing w:after="0" w:line="257"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40" w:right="99" w:hanging="642"/>
        <w:spacing w:after="0" w:line="260" w:lineRule="auto"/>
        <w:tabs>
          <w:tab w:leader="none" w:pos="13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tabs>
          <w:tab w:leader="none" w:pos="460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21"/>
          <w:szCs w:val="21"/>
          <w:color w:val="auto"/>
          <w:vertAlign w:val="superscript"/>
        </w:rPr>
        <w:t>/s/ TIMOTHY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-1270</wp:posOffset>
            </wp:positionV>
            <wp:extent cx="28117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4620"/>
        <w:spacing w:after="0"/>
        <w:rPr>
          <w:sz w:val="20"/>
          <w:szCs w:val="20"/>
          <w:color w:val="auto"/>
        </w:rPr>
      </w:pPr>
      <w:r>
        <w:rPr>
          <w:rFonts w:ascii="Times New Roman" w:cs="Times New Roman" w:eastAsia="Times New Roman" w:hAnsi="Times New Roman"/>
          <w:sz w:val="18"/>
          <w:szCs w:val="18"/>
          <w:color w:val="auto"/>
        </w:rPr>
        <w:t>Timothy J. McGrath</w:t>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Thomas C. Baker, certify that:</w:t>
      </w:r>
    </w:p>
    <w:p>
      <w:pPr>
        <w:spacing w:after="0" w:line="185" w:lineRule="exact"/>
        <w:rPr>
          <w:sz w:val="20"/>
          <w:szCs w:val="20"/>
          <w:color w:val="auto"/>
        </w:rPr>
      </w:pPr>
    </w:p>
    <w:p>
      <w:pPr>
        <w:ind w:left="700" w:hanging="650"/>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PC Connection, Inc.;</w:t>
      </w:r>
    </w:p>
    <w:p>
      <w:pPr>
        <w:spacing w:after="0" w:line="225" w:lineRule="exact"/>
        <w:rPr>
          <w:rFonts w:ascii="Times New Roman" w:cs="Times New Roman" w:eastAsia="Times New Roman" w:hAnsi="Times New Roman"/>
          <w:sz w:val="18"/>
          <w:szCs w:val="18"/>
          <w:color w:val="auto"/>
        </w:rPr>
      </w:pPr>
    </w:p>
    <w:p>
      <w:pPr>
        <w:ind w:left="700" w:right="299" w:hanging="650"/>
        <w:spacing w:after="0" w:line="258"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700" w:right="139" w:hanging="650"/>
        <w:spacing w:after="0" w:line="258"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40" w:right="79" w:hanging="642"/>
        <w:spacing w:after="0" w:line="252"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40" w:right="179" w:hanging="642"/>
        <w:spacing w:after="0" w:line="246"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40" w:right="179" w:hanging="642"/>
        <w:spacing w:after="0" w:line="249"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18"/>
          <w:szCs w:val="18"/>
          <w:color w:val="auto"/>
        </w:rPr>
      </w:pPr>
    </w:p>
    <w:p>
      <w:pPr>
        <w:ind w:left="1340" w:right="99" w:hanging="642"/>
        <w:spacing w:after="0" w:line="253"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40" w:right="319" w:hanging="642"/>
        <w:spacing w:after="0" w:line="257"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40" w:right="99" w:hanging="642"/>
        <w:spacing w:after="0" w:line="260"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tabs>
          <w:tab w:leader="none" w:pos="426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21"/>
          <w:szCs w:val="21"/>
          <w:color w:val="auto"/>
          <w:vertAlign w:val="superscript"/>
        </w:rPr>
        <w:t>/s/ THOMAS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-1270</wp:posOffset>
            </wp:positionV>
            <wp:extent cx="3025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ind w:left="4280"/>
        <w:spacing w:after="0"/>
        <w:rPr>
          <w:sz w:val="20"/>
          <w:szCs w:val="20"/>
          <w:color w:val="auto"/>
        </w:rPr>
      </w:pPr>
      <w:r>
        <w:rPr>
          <w:rFonts w:ascii="Times New Roman" w:cs="Times New Roman" w:eastAsia="Times New Roman" w:hAnsi="Times New Roman"/>
          <w:sz w:val="18"/>
          <w:szCs w:val="18"/>
          <w:color w:val="auto"/>
        </w:rPr>
        <w:t>Thomas C. Baker</w:t>
      </w:r>
    </w:p>
    <w:p>
      <w:pPr>
        <w:spacing w:after="0" w:line="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ind w:left="4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336" w:lineRule="exact"/>
        <w:rPr>
          <w:sz w:val="20"/>
          <w:szCs w:val="20"/>
          <w:color w:val="auto"/>
        </w:rPr>
      </w:pPr>
    </w:p>
    <w:p>
      <w:pPr>
        <w:ind w:left="60" w:right="6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PC Connection, Inc. (the “Company”) for the period ended September 30, 2026 as filed with the Securities and Exchange Commission on the date hereof (the “Report”), the undersigned, Timothy J. McGrath, Chief Executive Officer of the Company, hereby certifies, pursuant to 18 U.S.C. Section 1350, that to the best of his knowledge:</w:t>
      </w:r>
    </w:p>
    <w:p>
      <w:pPr>
        <w:spacing w:after="0" w:line="139" w:lineRule="exact"/>
        <w:rPr>
          <w:sz w:val="20"/>
          <w:szCs w:val="20"/>
          <w:color w:val="auto"/>
        </w:rPr>
      </w:pPr>
    </w:p>
    <w:p>
      <w:pPr>
        <w:ind w:left="1020" w:right="73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65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October 28, 2026</w:t>
            </w:r>
          </w:p>
        </w:tc>
        <w:tc>
          <w:tcPr>
            <w:tcW w:w="4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TIMOTHY J. MCGRATH</w:t>
            </w:r>
          </w:p>
        </w:tc>
      </w:tr>
      <w:tr>
        <w:trPr>
          <w:trHeight w:val="191"/>
        </w:trPr>
        <w:tc>
          <w:tcPr>
            <w:tcW w:w="4460" w:type="dxa"/>
            <w:vAlign w:val="bottom"/>
          </w:tcPr>
          <w:p>
            <w:pPr>
              <w:spacing w:after="0"/>
              <w:rPr>
                <w:sz w:val="16"/>
                <w:szCs w:val="16"/>
                <w:color w:val="auto"/>
              </w:rPr>
            </w:pPr>
          </w:p>
        </w:tc>
        <w:tc>
          <w:tcPr>
            <w:tcW w:w="44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Timothy J. McGrath</w:t>
            </w:r>
          </w:p>
        </w:tc>
      </w:tr>
      <w:tr>
        <w:trPr>
          <w:trHeight w:val="234"/>
        </w:trPr>
        <w:tc>
          <w:tcPr>
            <w:tcW w:w="4460" w:type="dxa"/>
            <w:vAlign w:val="bottom"/>
          </w:tcPr>
          <w:p>
            <w:pPr>
              <w:spacing w:after="0"/>
              <w:rPr>
                <w:sz w:val="20"/>
                <w:szCs w:val="20"/>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336" w:lineRule="exact"/>
        <w:rPr>
          <w:sz w:val="20"/>
          <w:szCs w:val="20"/>
          <w:color w:val="auto"/>
        </w:rPr>
      </w:pPr>
    </w:p>
    <w:p>
      <w:pPr>
        <w:ind w:left="60" w:right="77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PC Connection, Inc. (the “Company”) for the period ended September 30, 2026 as filed with the Securities and Exchange Commission on the date hereof (the “Report”), the undersigned, Thomas C. Baker, Senior Vice President, Chief Financial Officer and Treasurer of the Company, hereby certifies, pursuant to 18 U.S.C. Section 1350, that to the best of his knowledge:</w:t>
      </w:r>
    </w:p>
    <w:p>
      <w:pPr>
        <w:spacing w:after="0" w:line="139" w:lineRule="exact"/>
        <w:rPr>
          <w:sz w:val="20"/>
          <w:szCs w:val="20"/>
          <w:color w:val="auto"/>
        </w:rPr>
      </w:pPr>
    </w:p>
    <w:p>
      <w:pPr>
        <w:ind w:left="1020" w:right="739" w:hanging="322"/>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020" w:right="1379" w:hanging="322"/>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0"/>
        <w:spacing w:after="0"/>
        <w:tabs>
          <w:tab w:leader="none" w:pos="430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21"/>
          <w:szCs w:val="21"/>
          <w:color w:val="auto"/>
          <w:vertAlign w:val="superscript"/>
        </w:rPr>
        <w:t>/s/ THOMAS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-1270</wp:posOffset>
            </wp:positionV>
            <wp:extent cx="3000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4320"/>
        <w:spacing w:after="0"/>
        <w:rPr>
          <w:sz w:val="20"/>
          <w:szCs w:val="20"/>
          <w:color w:val="auto"/>
        </w:rPr>
      </w:pPr>
      <w:r>
        <w:rPr>
          <w:rFonts w:ascii="Times New Roman" w:cs="Times New Roman" w:eastAsia="Times New Roman" w:hAnsi="Times New Roman"/>
          <w:sz w:val="18"/>
          <w:szCs w:val="18"/>
          <w:color w:val="auto"/>
        </w:rPr>
        <w:t>Thomas C. Baker</w:t>
      </w:r>
    </w:p>
    <w:p>
      <w:pPr>
        <w:spacing w:after="0" w:line="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lvl w:ilvl="1">
      <w:lvlJc w:val="left"/>
      <w:lvlText w:val="%2"/>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1" Type="http://schemas.openxmlformats.org/officeDocument/2006/relationships/hyperlink" Target="https://www.sec.gov/Archives/edgar/data/1050377/000092701601501476/dex31.txt" TargetMode="External"/><Relationship Id="rId42" Type="http://schemas.openxmlformats.org/officeDocument/2006/relationships/hyperlink" Target="https://www.sec.gov/Archives/edgar/data/1050377/00011931250800393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2026-10-28T15:16:22Z</dcterms:created>
  <dcterms:modified xsi:type="dcterms:W3CDTF">2026-10-28T15:16:22Z</dcterms:modified>
</cp:coreProperties>
</file>