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 2008</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spacing w:after="0"/>
              <w:rPr>
                <w:sz w:val="18"/>
                <w:szCs w:val="18"/>
                <w:color w:val="auto"/>
              </w:rPr>
            </w:pP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03054</w:t>
            </w: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1, 2008, PC Connection, Inc. announced its financial results for the quarter ended March 31, 2008. The full text of the press release issued in connection with the announcement is furnished as Exhibit 99.1 to this Current Report on Form 8-K.</w:t>
      </w:r>
    </w:p>
    <w:p>
      <w:pPr>
        <w:spacing w:after="0" w:line="13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1160" w:hanging="463"/>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The following exhibit relating to Item 2.02 shall be deemed to be furnished, and not filed:</w:t>
      </w:r>
    </w:p>
    <w:p>
      <w:pPr>
        <w:spacing w:after="0" w:line="279" w:lineRule="exact"/>
        <w:rPr>
          <w:sz w:val="20"/>
          <w:szCs w:val="20"/>
          <w:color w:val="auto"/>
        </w:rPr>
      </w:pPr>
    </w:p>
    <w:p>
      <w:pPr>
        <w:ind w:left="1160"/>
        <w:spacing w:after="0"/>
        <w:tabs>
          <w:tab w:leader="none" w:pos="2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PC Connection, Inc. on May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2008</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40" w:type="dxa"/>
            <w:vAlign w:val="bottom"/>
          </w:tcPr>
          <w:p>
            <w:pPr>
              <w:ind w:left="1340"/>
              <w:spacing w:after="0"/>
              <w:rPr>
                <w:sz w:val="20"/>
                <w:szCs w:val="20"/>
                <w:color w:val="auto"/>
              </w:rPr>
            </w:pPr>
            <w:r>
              <w:rPr>
                <w:rFonts w:ascii="Arial" w:cs="Arial" w:eastAsia="Arial" w:hAnsi="Arial"/>
                <w:sz w:val="18"/>
                <w:szCs w:val="18"/>
                <w:color w:val="auto"/>
              </w:rPr>
              <w:t>EXHIBIT INDEX</w:t>
            </w:r>
          </w:p>
        </w:tc>
      </w:tr>
      <w:tr>
        <w:trPr>
          <w:trHeight w:val="405"/>
        </w:trPr>
        <w:tc>
          <w:tcPr>
            <w:tcW w:w="28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43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04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88"/>
              </w:rPr>
              <w:t>Press release issued by PC Connection, Inc. on May 1, 2008.</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PC Connection, Inc. Reports First Quarter Results</w:t>
      </w:r>
    </w:p>
    <w:p>
      <w:pPr>
        <w:spacing w:after="0" w:line="212" w:lineRule="exact"/>
        <w:rPr>
          <w:sz w:val="20"/>
          <w:szCs w:val="20"/>
          <w:color w:val="auto"/>
        </w:rPr>
      </w:pPr>
    </w:p>
    <w:p>
      <w:pPr>
        <w:ind w:left="2380"/>
        <w:spacing w:after="0"/>
        <w:rPr>
          <w:sz w:val="20"/>
          <w:szCs w:val="20"/>
          <w:color w:val="auto"/>
        </w:rPr>
      </w:pPr>
      <w:r>
        <w:rPr>
          <w:rFonts w:ascii="Arial" w:cs="Arial" w:eastAsia="Arial" w:hAnsi="Arial"/>
          <w:sz w:val="22"/>
          <w:szCs w:val="22"/>
          <w:b w:val="1"/>
          <w:bCs w:val="1"/>
          <w:i w:val="1"/>
          <w:iCs w:val="1"/>
          <w:color w:val="auto"/>
        </w:rPr>
        <w:t>Company Announces Record Revenue and Continued Growth in Earnings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HIGHLIGHTS</w:t>
      </w:r>
      <w:r>
        <w:rPr>
          <w:rFonts w:ascii="Arial" w:cs="Arial" w:eastAsia="Arial" w:hAnsi="Arial"/>
          <w:sz w:val="22"/>
          <w:szCs w:val="22"/>
          <w:b w:val="1"/>
          <w:bCs w:val="1"/>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Record Q1 net sales: $423.7 million, up 6.4%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Operating margin: 1.7%, up from 1.4%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Net income: $4.8 million, up 41%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Diluted earnings per share: $.18, up from $.13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300"/>
        <w:spacing w:after="0" w:line="251" w:lineRule="auto"/>
        <w:rPr>
          <w:sz w:val="20"/>
          <w:szCs w:val="20"/>
          <w:color w:val="auto"/>
        </w:rPr>
      </w:pPr>
      <w:r>
        <w:rPr>
          <w:rFonts w:ascii="Arial" w:cs="Arial" w:eastAsia="Arial" w:hAnsi="Arial"/>
          <w:sz w:val="21"/>
          <w:szCs w:val="21"/>
          <w:color w:val="auto"/>
        </w:rPr>
        <w:t xml:space="preserve">MERRIMACK, N.H.--(BUSINESS WIRE)--PC Connection, Inc. </w:t>
      </w:r>
      <w:r>
        <w:rPr>
          <w:rFonts w:ascii="Arial" w:cs="Arial" w:eastAsia="Arial" w:hAnsi="Arial"/>
          <w:sz w:val="21"/>
          <w:szCs w:val="21"/>
          <w:b w:val="1"/>
          <w:bCs w:val="1"/>
          <w:color w:val="auto"/>
        </w:rPr>
        <w:t>(NASDAQ: PCCC)</w:t>
      </w:r>
      <w:r>
        <w:rPr>
          <w:rFonts w:ascii="Arial" w:cs="Arial" w:eastAsia="Arial" w:hAnsi="Arial"/>
          <w:sz w:val="21"/>
          <w:szCs w:val="21"/>
          <w:color w:val="auto"/>
        </w:rPr>
        <w:t>, a leading direct marketer of information technology (IT) products and services, today announced results for the quarter ended March 31, 2008. Net sales for the three months ended March 31, 2008 increased by $25.5 million, or 6.4%, to $423.7 million from $398.2 million for the three months ended March 31, 2007. Net income for the quarter increased by $1.4 million to $4.8 million, or $.18 per share, compared to $3.4 million, or $.13 per share, for the corresponding prior year quarter.</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are pleased with the Company’s overall performance during the first quarter of 2008, especially in light of this challenging market,” said Patricia Gallup, Chairman and Chief Executive Officer. “The PC Connection team delivered another quarter of record sales, and achieved significant increases in both operating income and earnings per share, largely due to our sales growth and our success in managing overall operating costs.”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Growth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180"/>
        <w:spacing w:after="0"/>
        <w:rPr>
          <w:sz w:val="20"/>
          <w:szCs w:val="20"/>
          <w:color w:val="auto"/>
        </w:rPr>
      </w:pPr>
      <w:r>
        <w:rPr>
          <w:rFonts w:ascii="Arial" w:cs="Arial" w:eastAsia="Arial" w:hAnsi="Arial"/>
          <w:sz w:val="22"/>
          <w:szCs w:val="22"/>
          <w:color w:val="auto"/>
        </w:rPr>
        <w:t>Net sales for the small- and medium-sized business (SMB) segment increased by 2.7% to $240.1 million compared to the first quarter of 2007. Corporate outbound sales within the segment grew 8.7% year over year. Sales to consumers continued to decline, reflecting our focus on business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20"/>
        <w:spacing w:after="0"/>
        <w:rPr>
          <w:sz w:val="20"/>
          <w:szCs w:val="20"/>
          <w:color w:val="auto"/>
        </w:rPr>
      </w:pPr>
      <w:r>
        <w:rPr>
          <w:rFonts w:ascii="Arial" w:cs="Arial" w:eastAsia="Arial" w:hAnsi="Arial"/>
          <w:sz w:val="22"/>
          <w:szCs w:val="22"/>
          <w:color w:val="auto"/>
        </w:rPr>
        <w:t>Net sales for MoreDirect, Inc., our Large Account segment, increased by 6.2% to $117.2 million compared to the first quarter of 2007. Revenue growth resulted primarily from the acquisition of several new enterprise customers and a greater share of existing customers’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380"/>
        <w:spacing w:after="0" w:line="328" w:lineRule="auto"/>
        <w:rPr>
          <w:sz w:val="20"/>
          <w:szCs w:val="20"/>
          <w:color w:val="auto"/>
        </w:rPr>
      </w:pPr>
      <w:r>
        <w:rPr>
          <w:rFonts w:ascii="Arial" w:cs="Arial" w:eastAsia="Arial" w:hAnsi="Arial"/>
          <w:sz w:val="19"/>
          <w:szCs w:val="19"/>
          <w:color w:val="auto"/>
        </w:rPr>
        <w:t>Net sales to government and education customers (Public Sector segment) increased by $12.4 million, or 23.1%, to $66.4 million compared to the first quarter of 2007. Strong federal contract sales drove this double-digit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Quarterly Sales Growth by Product Mix</w:t>
      </w:r>
      <w:r>
        <w:rPr>
          <w:rFonts w:ascii="Arial" w:cs="Arial" w:eastAsia="Arial" w:hAnsi="Arial"/>
          <w:sz w:val="22"/>
          <w:szCs w:val="22"/>
          <w:i w:val="1"/>
          <w:iCs w:val="1"/>
          <w:color w:val="auto"/>
        </w:rPr>
        <w:t>:</w:t>
      </w:r>
    </w:p>
    <w:p>
      <w:pPr>
        <w:spacing w:after="0" w:line="207" w:lineRule="exact"/>
        <w:rPr>
          <w:sz w:val="20"/>
          <w:szCs w:val="20"/>
          <w:color w:val="auto"/>
        </w:rPr>
      </w:pPr>
    </w:p>
    <w:p>
      <w:pPr>
        <w:ind w:left="540" w:right="320"/>
        <w:spacing w:after="0"/>
        <w:rPr>
          <w:sz w:val="20"/>
          <w:szCs w:val="20"/>
          <w:color w:val="auto"/>
        </w:rPr>
      </w:pPr>
      <w:r>
        <w:rPr>
          <w:rFonts w:ascii="Arial" w:cs="Arial" w:eastAsia="Arial" w:hAnsi="Arial"/>
          <w:sz w:val="22"/>
          <w:szCs w:val="22"/>
          <w:color w:val="auto"/>
        </w:rPr>
        <w:t>Video, Imaging and Sound sales increased 30% year over year, accounting for 15% of net sales in the first quarter of 2008 compared to 12% for the corresponding prior year quarter. Strong video product sales drove the majority of this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40"/>
        <w:spacing w:after="0" w:line="251" w:lineRule="auto"/>
        <w:rPr>
          <w:sz w:val="20"/>
          <w:szCs w:val="20"/>
          <w:color w:val="auto"/>
        </w:rPr>
      </w:pPr>
      <w:r>
        <w:rPr>
          <w:rFonts w:ascii="Arial" w:cs="Arial" w:eastAsia="Arial" w:hAnsi="Arial"/>
          <w:sz w:val="22"/>
          <w:szCs w:val="22"/>
          <w:color w:val="auto"/>
        </w:rPr>
        <w:t>Software sales increased 16% year over year, accounting for 13% of net sales in the first quarter of 2008 compared to 12% of net sales for the first quarter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100"/>
        <w:spacing w:after="0" w:line="251" w:lineRule="auto"/>
        <w:rPr>
          <w:sz w:val="20"/>
          <w:szCs w:val="20"/>
          <w:color w:val="auto"/>
        </w:rPr>
      </w:pPr>
      <w:r>
        <w:rPr>
          <w:rFonts w:ascii="Arial" w:cs="Arial" w:eastAsia="Arial" w:hAnsi="Arial"/>
          <w:sz w:val="22"/>
          <w:szCs w:val="22"/>
          <w:color w:val="auto"/>
        </w:rPr>
        <w:t>Storage Devices sales increased 22% year over year, accounting for 10% of net sales in the first quarter of 2008 compared to 9% of net sales for the corresponding period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Net/Com Products sales increased 20% year over year, accounting for 8% of net sales in the first quarter of 2008 compared to 7% of net sales for the corresponding period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120"/>
        <w:spacing w:after="0"/>
        <w:rPr>
          <w:sz w:val="20"/>
          <w:szCs w:val="20"/>
          <w:color w:val="auto"/>
        </w:rPr>
      </w:pPr>
      <w:r>
        <w:rPr>
          <w:rFonts w:ascii="Arial" w:cs="Arial" w:eastAsia="Arial" w:hAnsi="Arial"/>
          <w:sz w:val="22"/>
          <w:szCs w:val="22"/>
          <w:color w:val="auto"/>
        </w:rPr>
        <w:t>Sales of Computer Systems, consisting of Notebooks, PDAs, Desktops, and Servers, decreased 7% year over year, accounting for 29% of net sales in the first quarter of 2008 compared to 33% of net sales for the corresponding period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Gross profit dollars increased by $2.8 million, or 5.7%, in the first quarter of 2008 from the corresponding period a year ago primarily due to larger revenues in 2008. Gross profit margin, as a percentage of net sales, was down 10 basis-points to 12.4% in the first quarter of 2008 compared to the first quarter of 2007, primarily due to lower agency fee revenues in 2008 which are recorded on a net basis.</w:t>
      </w:r>
    </w:p>
    <w:p>
      <w:pPr>
        <w:spacing w:after="0" w:line="185"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Overall annualized sales productivity increased 5% in the first quarter of 2008 compared to the first quarter of 2007. Sales productivity in our Large Account segment increased 16% in the first quarter of 2008 compared to the first quarter of 2007. Sales productivity in our Public Sector segment increased 17% year over year primarily due to increased Federal contract sales in 2008. For our SMB segment, productivity was level year over year. On a consolidated basis, the total number of sales representatives was 698 at March 31, 2008, compared to 675 at March 31, 2007 and 692 at December 31, 2007.</w:t>
      </w:r>
    </w:p>
    <w:p>
      <w:pPr>
        <w:spacing w:after="0" w:line="179" w:lineRule="exact"/>
        <w:rPr>
          <w:sz w:val="20"/>
          <w:szCs w:val="20"/>
          <w:color w:val="auto"/>
        </w:rPr>
      </w:pPr>
    </w:p>
    <w:p>
      <w:pPr>
        <w:jc w:val="both"/>
        <w:ind w:right="40"/>
        <w:spacing w:after="0" w:line="236" w:lineRule="auto"/>
        <w:rPr>
          <w:sz w:val="20"/>
          <w:szCs w:val="20"/>
          <w:color w:val="auto"/>
        </w:rPr>
      </w:pPr>
      <w:r>
        <w:rPr>
          <w:rFonts w:ascii="Arial" w:cs="Arial" w:eastAsia="Arial" w:hAnsi="Arial"/>
          <w:sz w:val="22"/>
          <w:szCs w:val="22"/>
          <w:color w:val="auto"/>
        </w:rPr>
        <w:t>Total selling, general and administrative expenses (“SG&amp;A”) for the quarter increased year over year by $1.2 million, or 2.7%, but decreased as a percentage of net sales to 10.7% for the first quarter of 2008 from 11.1% for the first quarter of 2007. The year-over-year dollar increase was primarily attributable to the incremental variable compensation associated with higher revenues and gross profits. Improved leverage of our cost structure decreased our SG&amp;A expenses as a percentage of net sales in Q1 2008 compared to Q1 2007.</w:t>
      </w:r>
    </w:p>
    <w:p>
      <w:pPr>
        <w:spacing w:after="0" w:line="188"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Ms. Gallup concluded, "The investments we are making to increase sales and improve efficiencies are producing positive results. Our first quarter performance reflects a solid team effort to run our business more effectively while continuing to offer the best customer service in our marketplace. We believe we have the right strategies, resources, and talent in place to continue to improve our operating performance and enhance long-term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PC Connection, Inc., a Fortune 1000 company, has three sales subsidiaries: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right="60"/>
        <w:spacing w:after="0" w:line="235" w:lineRule="auto"/>
        <w:rPr>
          <w:sz w:val="20"/>
          <w:szCs w:val="20"/>
          <w:color w:val="auto"/>
        </w:rPr>
      </w:pPr>
      <w:r>
        <w:rPr>
          <w:rFonts w:ascii="Arial" w:cs="Arial" w:eastAsia="Arial" w:hAnsi="Arial"/>
          <w:sz w:val="22"/>
          <w:szCs w:val="22"/>
          <w:color w:val="auto"/>
        </w:rPr>
        <w:t xml:space="preserve">PC Connection Sales Corporation (1-800-800-5555), the original business of PC Connection, Inc. serving the small- and medium-sized business sector (SMB), is a rapid-response provider of information technology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22"/>
          <w:szCs w:val="22"/>
          <w:u w:val="single" w:color="auto"/>
          <w:color w:val="auto"/>
        </w:rPr>
        <w:t>www.pcconnection.com</w:t>
      </w:r>
      <w:r>
        <w:rPr>
          <w:rFonts w:ascii="Arial" w:cs="Arial" w:eastAsia="Arial" w:hAnsi="Arial"/>
          <w:sz w:val="22"/>
          <w:szCs w:val="22"/>
          <w:color w:val="auto"/>
        </w:rPr>
        <w:t xml:space="preserve">. The subsidiary serves the Apple/Macintosh community through its MacConnection division (1-800-800-2222), which also publishes specialized catalogs and is online at </w:t>
      </w:r>
      <w:r>
        <w:rPr>
          <w:rFonts w:ascii="Arial" w:cs="Arial" w:eastAsia="Arial" w:hAnsi="Arial"/>
          <w:sz w:val="22"/>
          <w:szCs w:val="22"/>
          <w:u w:val="single" w:color="auto"/>
          <w:color w:val="auto"/>
        </w:rPr>
        <w:t>www.macconnection.com</w:t>
      </w:r>
      <w:r>
        <w:rPr>
          <w:rFonts w:ascii="Arial" w:cs="Arial" w:eastAsia="Arial" w:hAnsi="Arial"/>
          <w:sz w:val="22"/>
          <w:szCs w:val="22"/>
          <w:color w:val="auto"/>
        </w:rPr>
        <w:t>.</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MoreDirect, Inc. (561-237-3300),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or in the level of business investment in information technology products, competitive products and pricing, product availability and market acceptance, new products, fluctuations in operating results, and the ability of the Company to hire and retain essential personnel, and other risks that could cause actual results to differ materially from these detailed under the caption “Risk Factors” in the Company’s Annual Report on Form 10-K filed with the Securities and Exchange Commission for the year ended December 31, 2007. More specifically, the statements in this release concerning the Company’s outlook for 2008 and the statements concerning the Company’s gross margin percentage, productivity, and selling and administrative costs and other statements of a non-historical basis (including statements regarding implementing strategies for future growth and the ability of the Company to improve sales productivity)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CONSOLIDATED SELECTED FINANCIAL HIGHLIGHTS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or for the Three Months Ended March 31,</w:t>
            </w: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rPr>
                <w:sz w:val="20"/>
                <w:szCs w:val="20"/>
                <w:color w:val="auto"/>
              </w:rPr>
            </w:pPr>
            <w:r>
              <w:rPr>
                <w:rFonts w:ascii="Arial" w:cs="Arial" w:eastAsia="Arial" w:hAnsi="Arial"/>
                <w:sz w:val="14"/>
                <w:szCs w:val="14"/>
                <w:i w:val="1"/>
                <w:iCs w:val="1"/>
                <w:color w:val="auto"/>
                <w:w w:val="95"/>
              </w:rPr>
              <w:t>(Dollars and shares in thousands, except operating data, price/earnings ratio, and per share data)</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9"/>
              </w:rPr>
              <w:t>% of Net Sales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9"/>
              </w:rPr>
              <w:t>% of Net Sales</w:t>
            </w: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339"/>
        </w:trPr>
        <w:tc>
          <w:tcPr>
            <w:tcW w:w="542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380" w:type="dxa"/>
            <w:vAlign w:val="bottom"/>
          </w:tcPr>
          <w:p>
            <w:pPr>
              <w:spacing w:after="0"/>
              <w:rPr>
                <w:sz w:val="24"/>
                <w:szCs w:val="24"/>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423,724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20" w:type="dxa"/>
            <w:vAlign w:val="bottom"/>
          </w:tcPr>
          <w:p>
            <w:pPr>
              <w:ind w:left="280"/>
              <w:spacing w:after="0"/>
              <w:rPr>
                <w:sz w:val="20"/>
                <w:szCs w:val="20"/>
                <w:color w:val="auto"/>
              </w:rPr>
            </w:pPr>
            <w:r>
              <w:rPr>
                <w:rFonts w:ascii="Arial" w:cs="Arial" w:eastAsia="Arial" w:hAnsi="Arial"/>
                <w:sz w:val="14"/>
                <w:szCs w:val="14"/>
                <w:color w:val="auto"/>
              </w:rPr>
              <w:t>Net sales</w:t>
            </w:r>
          </w:p>
        </w:tc>
        <w:tc>
          <w:tcPr>
            <w:tcW w:w="3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398,180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Diluted earnings per share</w:t>
            </w:r>
          </w:p>
        </w:tc>
        <w:tc>
          <w:tcPr>
            <w:tcW w:w="3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.18</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40"/>
        </w:trPr>
        <w:tc>
          <w:tcPr>
            <w:tcW w:w="5420" w:type="dxa"/>
            <w:vAlign w:val="bottom"/>
          </w:tcPr>
          <w:p>
            <w:pPr>
              <w:ind w:left="280"/>
              <w:spacing w:after="0"/>
              <w:rPr>
                <w:sz w:val="20"/>
                <w:szCs w:val="20"/>
                <w:color w:val="auto"/>
              </w:rPr>
            </w:pPr>
            <w:r>
              <w:rPr>
                <w:rFonts w:ascii="Arial" w:cs="Arial" w:eastAsia="Arial" w:hAnsi="Arial"/>
                <w:sz w:val="14"/>
                <w:szCs w:val="14"/>
                <w:color w:val="auto"/>
              </w:rPr>
              <w:t>Gross profit margin</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Operating margin</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1.7</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8.5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420" w:type="dxa"/>
            <w:vAlign w:val="bottom"/>
          </w:tcPr>
          <w:p>
            <w:pPr>
              <w:ind w:left="280"/>
              <w:spacing w:after="0"/>
              <w:rPr>
                <w:sz w:val="20"/>
                <w:szCs w:val="20"/>
                <w:color w:val="auto"/>
              </w:rPr>
            </w:pPr>
            <w:r>
              <w:rPr>
                <w:rFonts w:ascii="Arial" w:cs="Arial" w:eastAsia="Arial" w:hAnsi="Arial"/>
                <w:sz w:val="14"/>
                <w:szCs w:val="14"/>
                <w:color w:val="auto"/>
              </w:rPr>
              <w:t>Catalogs distributed</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3"/>
              </w:rPr>
              <w:t>3,059,000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w w:val="96"/>
              </w:rPr>
              <w:t>3,638,000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9"/>
        </w:trPr>
        <w:tc>
          <w:tcPr>
            <w:tcW w:w="5420" w:type="dxa"/>
            <w:vAlign w:val="bottom"/>
          </w:tcPr>
          <w:p>
            <w:pPr>
              <w:ind w:left="28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377,500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384,000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13"/>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3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1,267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1,190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81"/>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Days sales outstanding</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44</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5420" w:type="dxa"/>
            <w:vAlign w:val="bottom"/>
          </w:tcPr>
          <w:p>
            <w:pPr>
              <w:spacing w:after="0"/>
              <w:rPr>
                <w:sz w:val="20"/>
                <w:szCs w:val="20"/>
                <w:color w:val="auto"/>
              </w:rPr>
            </w:pPr>
            <w:r>
              <w:rPr>
                <w:rFonts w:ascii="Arial" w:cs="Arial" w:eastAsia="Arial" w:hAnsi="Arial"/>
                <w:sz w:val="14"/>
                <w:szCs w:val="14"/>
                <w:b w:val="1"/>
                <w:bCs w:val="1"/>
                <w:color w:val="auto"/>
              </w:rPr>
              <w:t>Product Mix:</w:t>
            </w:r>
          </w:p>
        </w:tc>
        <w:tc>
          <w:tcPr>
            <w:tcW w:w="380" w:type="dxa"/>
            <w:vAlign w:val="bottom"/>
          </w:tcPr>
          <w:p>
            <w:pPr>
              <w:spacing w:after="0"/>
              <w:rPr>
                <w:sz w:val="24"/>
                <w:szCs w:val="24"/>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64,101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20" w:type="dxa"/>
            <w:vAlign w:val="bottom"/>
          </w:tcPr>
          <w:p>
            <w:pPr>
              <w:ind w:left="280"/>
              <w:spacing w:after="0"/>
              <w:rPr>
                <w:sz w:val="20"/>
                <w:szCs w:val="20"/>
                <w:color w:val="auto"/>
              </w:rPr>
            </w:pPr>
            <w:r>
              <w:rPr>
                <w:rFonts w:ascii="Arial" w:cs="Arial" w:eastAsia="Arial" w:hAnsi="Arial"/>
                <w:sz w:val="14"/>
                <w:szCs w:val="14"/>
                <w:color w:val="auto"/>
              </w:rPr>
              <w:t>Notebooks &amp; PDAs</w:t>
            </w:r>
          </w:p>
        </w:tc>
        <w:tc>
          <w:tcPr>
            <w:tcW w:w="3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73,643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Desktops/Servers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58,409</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57,528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14</w:t>
            </w:r>
          </w:p>
        </w:tc>
        <w:tc>
          <w:tcPr>
            <w:tcW w:w="740" w:type="dxa"/>
            <w:vAlign w:val="bottom"/>
            <w:gridSpan w:val="3"/>
          </w:tcPr>
          <w:p>
            <w:pPr>
              <w:jc w:val="right"/>
              <w:ind w:right="2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Storage Devices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42,562</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34,808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9</w:t>
            </w:r>
          </w:p>
        </w:tc>
        <w:tc>
          <w:tcPr>
            <w:tcW w:w="740" w:type="dxa"/>
            <w:vAlign w:val="bottom"/>
            <w:gridSpan w:val="3"/>
          </w:tcPr>
          <w:p>
            <w:pPr>
              <w:jc w:val="right"/>
              <w:ind w:right="20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Software</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56,146</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48,286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12</w:t>
            </w:r>
          </w:p>
        </w:tc>
        <w:tc>
          <w:tcPr>
            <w:tcW w:w="740" w:type="dxa"/>
            <w:vAlign w:val="bottom"/>
            <w:gridSpan w:val="3"/>
          </w:tcPr>
          <w:p>
            <w:pPr>
              <w:jc w:val="right"/>
              <w:ind w:right="2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Net/Com Products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35,794</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29,819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7</w:t>
            </w:r>
          </w:p>
        </w:tc>
        <w:tc>
          <w:tcPr>
            <w:tcW w:w="740" w:type="dxa"/>
            <w:vAlign w:val="bottom"/>
            <w:gridSpan w:val="3"/>
          </w:tcPr>
          <w:p>
            <w:pPr>
              <w:jc w:val="right"/>
              <w:ind w:right="2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Printers &amp; Printer Supplies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40,839</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41,653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11</w:t>
            </w:r>
          </w:p>
        </w:tc>
        <w:tc>
          <w:tcPr>
            <w:tcW w:w="740" w:type="dxa"/>
            <w:vAlign w:val="bottom"/>
            <w:gridSpan w:val="3"/>
          </w:tcPr>
          <w:p>
            <w:pPr>
              <w:jc w:val="right"/>
              <w:ind w:right="1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Video, Imaging &amp; Sound</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62,291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48,101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12</w:t>
            </w:r>
          </w:p>
        </w:tc>
        <w:tc>
          <w:tcPr>
            <w:tcW w:w="740" w:type="dxa"/>
            <w:vAlign w:val="bottom"/>
            <w:gridSpan w:val="3"/>
          </w:tcPr>
          <w:p>
            <w:pPr>
              <w:jc w:val="right"/>
              <w:ind w:right="20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Memory &amp; System Enhancements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15,094</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19,949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5</w:t>
            </w:r>
          </w:p>
        </w:tc>
        <w:tc>
          <w:tcPr>
            <w:tcW w:w="740" w:type="dxa"/>
            <w:vAlign w:val="bottom"/>
            <w:gridSpan w:val="3"/>
          </w:tcPr>
          <w:p>
            <w:pPr>
              <w:jc w:val="right"/>
              <w:ind w:right="1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5"/>
        </w:trPr>
        <w:tc>
          <w:tcPr>
            <w:tcW w:w="5420" w:type="dxa"/>
            <w:vAlign w:val="bottom"/>
          </w:tcPr>
          <w:p>
            <w:pPr>
              <w:ind w:left="280"/>
              <w:spacing w:after="0"/>
              <w:rPr>
                <w:sz w:val="20"/>
                <w:szCs w:val="20"/>
                <w:color w:val="auto"/>
              </w:rPr>
            </w:pPr>
            <w:r>
              <w:rPr>
                <w:rFonts w:ascii="Arial" w:cs="Arial" w:eastAsia="Arial" w:hAnsi="Arial"/>
                <w:sz w:val="14"/>
                <w:szCs w:val="14"/>
                <w:color w:val="auto"/>
              </w:rPr>
              <w:t>Accessories/Other</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48,488</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44,393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11</w:t>
            </w:r>
          </w:p>
        </w:tc>
        <w:tc>
          <w:tcPr>
            <w:tcW w:w="740" w:type="dxa"/>
            <w:vAlign w:val="bottom"/>
            <w:gridSpan w:val="3"/>
          </w:tcPr>
          <w:p>
            <w:pPr>
              <w:jc w:val="right"/>
              <w:ind w:right="20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423,724</w:t>
            </w: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100%</w:t>
            </w:r>
          </w:p>
        </w:tc>
        <w:tc>
          <w:tcPr>
            <w:tcW w:w="2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398,180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Net Sales of Enterprise Server and Networking Products (included in the above Product Mix):</w:t>
            </w: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143,344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34%</w:t>
            </w:r>
          </w:p>
        </w:tc>
        <w:tc>
          <w:tcPr>
            <w:tcW w:w="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122,832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740" w:type="dxa"/>
            <w:vAlign w:val="bottom"/>
            <w:gridSpan w:val="3"/>
          </w:tcPr>
          <w:p>
            <w:pPr>
              <w:jc w:val="right"/>
              <w:ind w:right="8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26,803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20" w:type="dxa"/>
            <w:vAlign w:val="bottom"/>
          </w:tcPr>
          <w:p>
            <w:pPr>
              <w:ind w:left="280"/>
              <w:spacing w:after="0"/>
              <w:rPr>
                <w:sz w:val="20"/>
                <w:szCs w:val="20"/>
                <w:color w:val="auto"/>
              </w:rPr>
            </w:pPr>
            <w:r>
              <w:rPr>
                <w:rFonts w:ascii="Arial" w:cs="Arial" w:eastAsia="Arial" w:hAnsi="Arial"/>
                <w:sz w:val="14"/>
                <w:szCs w:val="14"/>
                <w:color w:val="auto"/>
              </w:rPr>
              <w:t>Actual shares outstanding</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26,802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Total book value per share</w:t>
            </w:r>
          </w:p>
        </w:tc>
        <w:tc>
          <w:tcPr>
            <w:tcW w:w="3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8.52</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7.59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Tangible book value per share</w:t>
            </w:r>
          </w:p>
        </w:tc>
        <w:tc>
          <w:tcPr>
            <w:tcW w:w="3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6.29</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5.31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Closing price</w:t>
            </w:r>
          </w:p>
        </w:tc>
        <w:tc>
          <w:tcPr>
            <w:tcW w:w="3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7.92</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14.30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Market capitalization</w:t>
            </w:r>
          </w:p>
        </w:tc>
        <w:tc>
          <w:tcPr>
            <w:tcW w:w="3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212,280</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383,269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420" w:type="dxa"/>
            <w:vAlign w:val="bottom"/>
          </w:tcPr>
          <w:p>
            <w:pPr>
              <w:spacing w:after="0"/>
              <w:rPr>
                <w:sz w:val="20"/>
                <w:szCs w:val="20"/>
                <w:color w:val="auto"/>
              </w:rPr>
            </w:pPr>
            <w:r>
              <w:rPr>
                <w:rFonts w:ascii="Arial" w:cs="Arial" w:eastAsia="Arial" w:hAnsi="Arial"/>
                <w:sz w:val="14"/>
                <w:szCs w:val="14"/>
                <w:color w:val="auto"/>
              </w:rPr>
              <w:t>(1) Annualized</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420" w:type="dxa"/>
            <w:vAlign w:val="bottom"/>
          </w:tcPr>
          <w:p>
            <w:pPr>
              <w:spacing w:after="0"/>
              <w:rPr>
                <w:sz w:val="20"/>
                <w:szCs w:val="20"/>
                <w:color w:val="auto"/>
              </w:rPr>
            </w:pPr>
            <w:r>
              <w:rPr>
                <w:rFonts w:ascii="Arial" w:cs="Arial" w:eastAsia="Arial" w:hAnsi="Arial"/>
                <w:sz w:val="14"/>
                <w:szCs w:val="14"/>
                <w:color w:val="auto"/>
              </w:rPr>
              <w:t>(2) Does not reflect cancellations or returns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rPr>
                <w:sz w:val="20"/>
                <w:szCs w:val="20"/>
                <w:color w:val="auto"/>
              </w:rPr>
            </w:pPr>
            <w:r>
              <w:rPr>
                <w:rFonts w:ascii="Arial" w:cs="Arial" w:eastAsia="Arial" w:hAnsi="Arial"/>
                <w:sz w:val="14"/>
                <w:szCs w:val="14"/>
                <w:color w:val="auto"/>
              </w:rPr>
              <w:t>(3) Earnings is based on the last four quarters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SEGMENT INFORMATION</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3"/>
          </w:tcPr>
          <w:p>
            <w:pPr>
              <w:jc w:val="right"/>
              <w:ind w:right="568"/>
              <w:spacing w:after="0" w:line="160"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3"/>
                <w:szCs w:val="13"/>
                <w:color w:val="auto"/>
              </w:rPr>
            </w:pPr>
          </w:p>
        </w:tc>
        <w:tc>
          <w:tcPr>
            <w:tcW w:w="1140" w:type="dxa"/>
            <w:vAlign w:val="bottom"/>
            <w:gridSpan w:val="3"/>
          </w:tcPr>
          <w:p>
            <w:pPr>
              <w:jc w:val="center"/>
              <w:ind w:left="268"/>
              <w:spacing w:after="0" w:line="160"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5"/>
          </w:tcPr>
          <w:p>
            <w:pPr>
              <w:jc w:val="center"/>
              <w:ind w:right="680"/>
              <w:spacing w:after="0" w:line="160" w:lineRule="exact"/>
              <w:rPr>
                <w:sz w:val="20"/>
                <w:szCs w:val="20"/>
                <w:color w:val="auto"/>
              </w:rPr>
            </w:pPr>
            <w:r>
              <w:rPr>
                <w:rFonts w:ascii="Arial" w:cs="Arial" w:eastAsia="Arial" w:hAnsi="Arial"/>
                <w:sz w:val="14"/>
                <w:szCs w:val="14"/>
                <w:b w:val="1"/>
                <w:bCs w:val="1"/>
                <w:color w:val="auto"/>
                <w:w w:val="97"/>
              </w:rPr>
              <w:t>Net</w:t>
            </w:r>
          </w:p>
        </w:tc>
        <w:tc>
          <w:tcPr>
            <w:tcW w:w="1380" w:type="dxa"/>
            <w:vAlign w:val="bottom"/>
            <w:gridSpan w:val="4"/>
          </w:tcPr>
          <w:p>
            <w:pPr>
              <w:jc w:val="right"/>
              <w:ind w:right="508"/>
              <w:spacing w:after="0" w:line="16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w w:val="81"/>
              </w:rPr>
              <w:t>Sales</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288"/>
              <w:spacing w:after="0"/>
              <w:rPr>
                <w:sz w:val="20"/>
                <w:szCs w:val="20"/>
                <w:color w:val="auto"/>
              </w:rPr>
            </w:pPr>
            <w:r>
              <w:rPr>
                <w:rFonts w:ascii="Arial" w:cs="Arial" w:eastAsia="Arial" w:hAnsi="Arial"/>
                <w:sz w:val="14"/>
                <w:szCs w:val="14"/>
                <w:b w:val="1"/>
                <w:bCs w:val="1"/>
                <w:color w:val="auto"/>
              </w:rPr>
              <w:t>Margin (%)</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87"/>
              </w:rPr>
              <w:t>Sales</w:t>
            </w:r>
          </w:p>
        </w:tc>
        <w:tc>
          <w:tcPr>
            <w:tcW w:w="13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335"/>
        </w:trPr>
        <w:tc>
          <w:tcPr>
            <w:tcW w:w="5420" w:type="dxa"/>
            <w:vAlign w:val="bottom"/>
          </w:tcPr>
          <w:p>
            <w:pPr>
              <w:ind w:left="140"/>
              <w:spacing w:after="0"/>
              <w:rPr>
                <w:sz w:val="20"/>
                <w:szCs w:val="20"/>
                <w:color w:val="auto"/>
              </w:rPr>
            </w:pPr>
            <w:r>
              <w:rPr>
                <w:rFonts w:ascii="Arial" w:cs="Arial" w:eastAsia="Arial" w:hAnsi="Arial"/>
                <w:sz w:val="14"/>
                <w:szCs w:val="14"/>
                <w:color w:val="auto"/>
              </w:rPr>
              <w:t>PC Connection Sales Corporation (SMB)</w:t>
            </w:r>
          </w:p>
        </w:tc>
        <w:tc>
          <w:tcPr>
            <w:tcW w:w="3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240,149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ind w:left="740"/>
              <w:spacing w:after="0"/>
              <w:rPr>
                <w:sz w:val="20"/>
                <w:szCs w:val="20"/>
                <w:color w:val="auto"/>
              </w:rPr>
            </w:pPr>
            <w:r>
              <w:rPr>
                <w:rFonts w:ascii="Arial" w:cs="Arial" w:eastAsia="Arial" w:hAnsi="Arial"/>
                <w:sz w:val="14"/>
                <w:szCs w:val="14"/>
                <w:b w:val="1"/>
                <w:bCs w:val="1"/>
                <w:color w:val="auto"/>
              </w:rPr>
              <w:t>13.9%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233,933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6"/>
        </w:trPr>
        <w:tc>
          <w:tcPr>
            <w:tcW w:w="5420" w:type="dxa"/>
            <w:vAlign w:val="bottom"/>
          </w:tcPr>
          <w:p>
            <w:pPr>
              <w:ind w:left="140"/>
              <w:spacing w:after="0"/>
              <w:rPr>
                <w:sz w:val="20"/>
                <w:szCs w:val="20"/>
                <w:color w:val="auto"/>
              </w:rPr>
            </w:pPr>
            <w:r>
              <w:rPr>
                <w:rFonts w:ascii="Arial" w:cs="Arial" w:eastAsia="Arial" w:hAnsi="Arial"/>
                <w:sz w:val="14"/>
                <w:szCs w:val="14"/>
                <w:color w:val="auto"/>
              </w:rPr>
              <w:t>MoreDirect (Large Account)</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117,208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4"/>
          </w:tcPr>
          <w:p>
            <w:pPr>
              <w:ind w:left="740"/>
              <w:spacing w:after="0"/>
              <w:rPr>
                <w:sz w:val="20"/>
                <w:szCs w:val="20"/>
                <w:color w:val="auto"/>
              </w:rPr>
            </w:pPr>
            <w:r>
              <w:rPr>
                <w:rFonts w:ascii="Arial" w:cs="Arial" w:eastAsia="Arial" w:hAnsi="Arial"/>
                <w:sz w:val="14"/>
                <w:szCs w:val="14"/>
                <w:b w:val="1"/>
                <w:bCs w:val="1"/>
                <w:color w:val="auto"/>
              </w:rPr>
              <w:t>10.8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110,315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GovConnection (Public Sector)</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66,367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ind w:left="740"/>
              <w:spacing w:after="0"/>
              <w:rPr>
                <w:sz w:val="20"/>
                <w:szCs w:val="20"/>
                <w:color w:val="auto"/>
              </w:rPr>
            </w:pPr>
            <w:r>
              <w:rPr>
                <w:rFonts w:ascii="Arial" w:cs="Arial" w:eastAsia="Arial" w:hAnsi="Arial"/>
                <w:sz w:val="14"/>
                <w:szCs w:val="14"/>
                <w:b w:val="1"/>
                <w:bCs w:val="1"/>
                <w:color w:val="auto"/>
              </w:rPr>
              <w:t>10.2</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53,932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color w:val="auto"/>
              </w:rPr>
              <w:t>Total</w:t>
            </w: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423,724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12.4%</w:t>
            </w:r>
          </w:p>
        </w:tc>
        <w:tc>
          <w:tcPr>
            <w:tcW w:w="34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398,180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CONSOLIDATED INCOME STATEMENTS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3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26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3"/>
              </w:rPr>
              <w:t>% of Net Sales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335"/>
        </w:trPr>
        <w:tc>
          <w:tcPr>
            <w:tcW w:w="5420" w:type="dxa"/>
            <w:vAlign w:val="bottom"/>
          </w:tcPr>
          <w:p>
            <w:pPr>
              <w:ind w:left="140"/>
              <w:spacing w:after="0"/>
              <w:rPr>
                <w:sz w:val="20"/>
                <w:szCs w:val="20"/>
                <w:color w:val="auto"/>
              </w:rPr>
            </w:pPr>
            <w:r>
              <w:rPr>
                <w:rFonts w:ascii="Arial" w:cs="Arial" w:eastAsia="Arial" w:hAnsi="Arial"/>
                <w:sz w:val="14"/>
                <w:szCs w:val="14"/>
                <w:color w:val="auto"/>
              </w:rPr>
              <w:t>Net sales</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423,724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308"/>
              <w:spacing w:after="0"/>
              <w:rPr>
                <w:sz w:val="20"/>
                <w:szCs w:val="20"/>
                <w:color w:val="auto"/>
              </w:rPr>
            </w:pPr>
            <w:r>
              <w:rPr>
                <w:rFonts w:ascii="Arial" w:cs="Arial" w:eastAsia="Arial" w:hAnsi="Arial"/>
                <w:sz w:val="14"/>
                <w:szCs w:val="14"/>
                <w:b w:val="1"/>
                <w:bCs w:val="1"/>
                <w:color w:val="auto"/>
              </w:rPr>
              <w:t>100.0%</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398,180</w:t>
            </w:r>
          </w:p>
        </w:tc>
        <w:tc>
          <w:tcPr>
            <w:tcW w:w="1820" w:type="dxa"/>
            <w:vAlign w:val="bottom"/>
            <w:gridSpan w:val="2"/>
          </w:tcPr>
          <w:p>
            <w:pPr>
              <w:jc w:val="right"/>
              <w:ind w:right="28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370,980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68"/>
              <w:spacing w:after="0"/>
              <w:rPr>
                <w:sz w:val="20"/>
                <w:szCs w:val="20"/>
                <w:color w:val="auto"/>
              </w:rPr>
            </w:pPr>
            <w:r>
              <w:rPr>
                <w:rFonts w:ascii="Arial" w:cs="Arial" w:eastAsia="Arial" w:hAnsi="Arial"/>
                <w:sz w:val="14"/>
                <w:szCs w:val="14"/>
                <w:b w:val="1"/>
                <w:bCs w:val="1"/>
                <w:color w:val="auto"/>
              </w:rPr>
              <w:t>87.6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348,265</w:t>
            </w:r>
          </w:p>
        </w:tc>
        <w:tc>
          <w:tcPr>
            <w:tcW w:w="1820" w:type="dxa"/>
            <w:vAlign w:val="bottom"/>
            <w:gridSpan w:val="2"/>
          </w:tcPr>
          <w:p>
            <w:pPr>
              <w:jc w:val="right"/>
              <w:ind w:right="408"/>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0"/>
        </w:trPr>
        <w:tc>
          <w:tcPr>
            <w:tcW w:w="5420" w:type="dxa"/>
            <w:vAlign w:val="bottom"/>
          </w:tcPr>
          <w:p>
            <w:pPr>
              <w:ind w:left="420"/>
              <w:spacing w:after="0"/>
              <w:rPr>
                <w:sz w:val="20"/>
                <w:szCs w:val="20"/>
                <w:color w:val="auto"/>
              </w:rPr>
            </w:pPr>
            <w:r>
              <w:rPr>
                <w:rFonts w:ascii="Arial" w:cs="Arial" w:eastAsia="Arial" w:hAnsi="Arial"/>
                <w:sz w:val="14"/>
                <w:szCs w:val="14"/>
                <w:b w:val="1"/>
                <w:bCs w:val="1"/>
                <w:color w:val="auto"/>
              </w:rPr>
              <w:t>Gross Profit</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52,744</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12.4</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49,915</w:t>
            </w:r>
          </w:p>
        </w:tc>
        <w:tc>
          <w:tcPr>
            <w:tcW w:w="120" w:type="dxa"/>
            <w:vAlign w:val="bottom"/>
          </w:tcPr>
          <w:p>
            <w:pPr>
              <w:spacing w:after="0"/>
              <w:rPr>
                <w:sz w:val="15"/>
                <w:szCs w:val="15"/>
                <w:color w:val="auto"/>
              </w:rPr>
            </w:pPr>
          </w:p>
        </w:tc>
        <w:tc>
          <w:tcPr>
            <w:tcW w:w="170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340"/>
        </w:trPr>
        <w:tc>
          <w:tcPr>
            <w:tcW w:w="542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45,393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468"/>
              <w:spacing w:after="0"/>
              <w:rPr>
                <w:sz w:val="20"/>
                <w:szCs w:val="20"/>
                <w:color w:val="auto"/>
              </w:rPr>
            </w:pPr>
            <w:r>
              <w:rPr>
                <w:rFonts w:ascii="Arial" w:cs="Arial" w:eastAsia="Arial" w:hAnsi="Arial"/>
                <w:sz w:val="14"/>
                <w:szCs w:val="14"/>
                <w:b w:val="1"/>
                <w:bCs w:val="1"/>
                <w:color w:val="auto"/>
              </w:rPr>
              <w:t>10.7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44,193</w:t>
            </w:r>
          </w:p>
        </w:tc>
        <w:tc>
          <w:tcPr>
            <w:tcW w:w="1820" w:type="dxa"/>
            <w:vAlign w:val="bottom"/>
            <w:gridSpan w:val="2"/>
          </w:tcPr>
          <w:p>
            <w:pPr>
              <w:jc w:val="right"/>
              <w:ind w:right="40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0"/>
        </w:trPr>
        <w:tc>
          <w:tcPr>
            <w:tcW w:w="5420" w:type="dxa"/>
            <w:vAlign w:val="bottom"/>
          </w:tcPr>
          <w:p>
            <w:pPr>
              <w:ind w:left="420"/>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7,351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5,722</w:t>
            </w:r>
          </w:p>
        </w:tc>
        <w:tc>
          <w:tcPr>
            <w:tcW w:w="120" w:type="dxa"/>
            <w:vAlign w:val="bottom"/>
          </w:tcPr>
          <w:p>
            <w:pPr>
              <w:spacing w:after="0"/>
              <w:rPr>
                <w:sz w:val="15"/>
                <w:szCs w:val="15"/>
                <w:color w:val="auto"/>
              </w:rPr>
            </w:pPr>
          </w:p>
        </w:tc>
        <w:tc>
          <w:tcPr>
            <w:tcW w:w="170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31"/>
        </w:trPr>
        <w:tc>
          <w:tcPr>
            <w:tcW w:w="542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1820" w:type="dxa"/>
            <w:vAlign w:val="bottom"/>
            <w:gridSpan w:val="2"/>
          </w:tcPr>
          <w:p>
            <w:pPr>
              <w:jc w:val="right"/>
              <w:ind w:right="3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542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159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820" w:type="dxa"/>
            <w:vAlign w:val="bottom"/>
            <w:gridSpan w:val="2"/>
          </w:tcPr>
          <w:p>
            <w:pPr>
              <w:jc w:val="right"/>
              <w:ind w:right="4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b w:val="1"/>
                <w:bCs w:val="1"/>
                <w:color w:val="auto"/>
              </w:rPr>
              <w:t>(0.6)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(2,330)</w:t>
            </w:r>
          </w:p>
        </w:tc>
        <w:tc>
          <w:tcPr>
            <w:tcW w:w="1820" w:type="dxa"/>
            <w:vAlign w:val="bottom"/>
            <w:gridSpan w:val="2"/>
          </w:tcPr>
          <w:p>
            <w:pPr>
              <w:jc w:val="right"/>
              <w:ind w:right="3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4,774</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3,385</w:t>
            </w:r>
          </w:p>
        </w:tc>
        <w:tc>
          <w:tcPr>
            <w:tcW w:w="12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40"/>
              <w:spacing w:after="0"/>
              <w:rPr>
                <w:sz w:val="20"/>
                <w:szCs w:val="20"/>
                <w:color w:val="auto"/>
              </w:rPr>
            </w:pPr>
            <w:r>
              <w:rPr>
                <w:rFonts w:ascii="Arial" w:cs="Arial" w:eastAsia="Arial" w:hAnsi="Arial"/>
                <w:sz w:val="14"/>
                <w:szCs w:val="14"/>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26,860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42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26,680</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b w:val="1"/>
                <w:bCs w:val="1"/>
                <w:color w:val="auto"/>
              </w:rPr>
              <w:t>26,974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27,005</w:t>
            </w: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140"/>
              <w:spacing w:after="0"/>
              <w:rPr>
                <w:sz w:val="20"/>
                <w:szCs w:val="20"/>
                <w:color w:val="auto"/>
              </w:rPr>
            </w:pPr>
            <w:r>
              <w:rPr>
                <w:rFonts w:ascii="Arial" w:cs="Arial" w:eastAsia="Arial" w:hAnsi="Arial"/>
                <w:sz w:val="14"/>
                <w:szCs w:val="14"/>
                <w:color w:val="auto"/>
              </w:rPr>
              <w:t>Earnings per common share:</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20" w:type="dxa"/>
            <w:vAlign w:val="bottom"/>
            <w:vMerge w:val="continue"/>
          </w:tcPr>
          <w:p>
            <w:pPr>
              <w:spacing w:after="0"/>
              <w:rPr>
                <w:sz w:val="13"/>
                <w:szCs w:val="13"/>
                <w:color w:val="auto"/>
              </w:rPr>
            </w:pP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0.18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42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22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b w:val="1"/>
                <w:bCs w:val="1"/>
                <w:color w:val="auto"/>
              </w:rPr>
              <w:t>0.18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0.13</w:t>
            </w: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20"/>
                <w:szCs w:val="20"/>
                <w:color w:val="auto"/>
              </w:rPr>
            </w:pPr>
            <w:r>
              <w:rPr>
                <w:rFonts w:ascii="Arial" w:cs="Arial" w:eastAsia="Arial" w:hAnsi="Arial"/>
                <w:sz w:val="14"/>
                <w:szCs w:val="14"/>
                <w:b w:val="1"/>
                <w:bCs w:val="1"/>
                <w:color w:val="auto"/>
              </w:rPr>
              <w:t>CONSOLIDATED BALANCE SHEETS</w:t>
            </w:r>
          </w:p>
        </w:tc>
        <w:tc>
          <w:tcPr>
            <w:tcW w:w="280" w:type="dxa"/>
            <w:vAlign w:val="bottom"/>
          </w:tcPr>
          <w:p>
            <w:pPr>
              <w:spacing w:after="0"/>
              <w:rPr>
                <w:sz w:val="15"/>
                <w:szCs w:val="15"/>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46"/>
        </w:trPr>
        <w:tc>
          <w:tcPr>
            <w:tcW w:w="7720" w:type="dxa"/>
            <w:vAlign w:val="bottom"/>
          </w:tcPr>
          <w:p>
            <w:pPr>
              <w:ind w:left="14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72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20,488</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7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13,741</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178,473</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202,216</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Inventories–merchandise</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65,670</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76,090</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2,880</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85"/>
        </w:trPr>
        <w:tc>
          <w:tcPr>
            <w:tcW w:w="772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3,735</w:t>
            </w:r>
          </w:p>
        </w:tc>
        <w:tc>
          <w:tcPr>
            <w:tcW w:w="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4,322</w:t>
            </w:r>
          </w:p>
        </w:tc>
        <w:tc>
          <w:tcPr>
            <w:tcW w:w="0" w:type="dxa"/>
            <w:vAlign w:val="bottom"/>
          </w:tcPr>
          <w:p>
            <w:pPr>
              <w:spacing w:after="0"/>
              <w:rPr>
                <w:sz w:val="1"/>
                <w:szCs w:val="1"/>
                <w:color w:val="auto"/>
              </w:rPr>
            </w:pPr>
          </w:p>
        </w:tc>
      </w:tr>
      <w:tr>
        <w:trPr>
          <w:trHeight w:val="160"/>
        </w:trPr>
        <w:tc>
          <w:tcPr>
            <w:tcW w:w="7720" w:type="dxa"/>
            <w:vAlign w:val="bottom"/>
          </w:tcPr>
          <w:p>
            <w:pPr>
              <w:ind w:left="680"/>
              <w:spacing w:after="0" w:line="160" w:lineRule="exact"/>
              <w:rPr>
                <w:sz w:val="20"/>
                <w:szCs w:val="20"/>
                <w:color w:val="auto"/>
              </w:rPr>
            </w:pPr>
            <w:r>
              <w:rPr>
                <w:rFonts w:ascii="Arial" w:cs="Arial" w:eastAsia="Arial" w:hAnsi="Arial"/>
                <w:sz w:val="14"/>
                <w:szCs w:val="14"/>
                <w:b w:val="1"/>
                <w:bCs w:val="1"/>
                <w:color w:val="auto"/>
              </w:rPr>
              <w:t>Total current assets</w:t>
            </w:r>
          </w:p>
        </w:tc>
        <w:tc>
          <w:tcPr>
            <w:tcW w:w="280" w:type="dxa"/>
            <w:vAlign w:val="bottom"/>
          </w:tcPr>
          <w:p>
            <w:pPr>
              <w:spacing w:after="0"/>
              <w:rPr>
                <w:sz w:val="13"/>
                <w:szCs w:val="13"/>
                <w:color w:val="auto"/>
              </w:rPr>
            </w:pPr>
          </w:p>
        </w:tc>
        <w:tc>
          <w:tcPr>
            <w:tcW w:w="110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273,256</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ind w:right="148"/>
              <w:spacing w:after="0" w:line="160" w:lineRule="exact"/>
              <w:rPr>
                <w:sz w:val="20"/>
                <w:szCs w:val="20"/>
                <w:color w:val="auto"/>
              </w:rPr>
            </w:pPr>
            <w:r>
              <w:rPr>
                <w:rFonts w:ascii="Arial" w:cs="Arial" w:eastAsia="Arial" w:hAnsi="Arial"/>
                <w:sz w:val="14"/>
                <w:szCs w:val="14"/>
                <w:color w:val="auto"/>
              </w:rPr>
              <w:t>299,572</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22,807</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20,831</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56,867</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56,867</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Other intangibles, net</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3,024</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185"/>
        </w:trPr>
        <w:tc>
          <w:tcPr>
            <w:tcW w:w="772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308</w:t>
            </w:r>
          </w:p>
        </w:tc>
        <w:tc>
          <w:tcPr>
            <w:tcW w:w="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9"/>
        </w:trPr>
        <w:tc>
          <w:tcPr>
            <w:tcW w:w="7720" w:type="dxa"/>
            <w:vAlign w:val="bottom"/>
          </w:tcPr>
          <w:p>
            <w:pPr>
              <w:ind w:left="6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356,262</w:t>
            </w:r>
          </w:p>
        </w:tc>
        <w:tc>
          <w:tcPr>
            <w:tcW w:w="440" w:type="dxa"/>
            <w:vAlign w:val="bottom"/>
          </w:tcPr>
          <w:p>
            <w:pPr>
              <w:spacing w:after="0"/>
              <w:rPr>
                <w:sz w:val="14"/>
                <w:szCs w:val="1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380,879</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72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571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720" w:type="dxa"/>
            <w:vAlign w:val="bottom"/>
          </w:tcPr>
          <w:p>
            <w:pPr>
              <w:ind w:left="140"/>
              <w:spacing w:after="0"/>
              <w:rPr>
                <w:sz w:val="20"/>
                <w:szCs w:val="20"/>
                <w:color w:val="auto"/>
              </w:rPr>
            </w:pPr>
            <w:r>
              <w:rPr>
                <w:rFonts w:ascii="Arial" w:cs="Arial" w:eastAsia="Arial" w:hAnsi="Arial"/>
                <w:sz w:val="14"/>
                <w:szCs w:val="14"/>
                <w:color w:val="auto"/>
              </w:rPr>
              <w:t>Current maturities of capital lease obligation to affiliate</w:t>
            </w:r>
          </w:p>
        </w:tc>
        <w:tc>
          <w:tcPr>
            <w:tcW w:w="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86,413</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111,140</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19,428</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20,557</w:t>
            </w:r>
          </w:p>
        </w:tc>
        <w:tc>
          <w:tcPr>
            <w:tcW w:w="0" w:type="dxa"/>
            <w:vAlign w:val="bottom"/>
          </w:tcPr>
          <w:p>
            <w:pPr>
              <w:spacing w:after="0"/>
              <w:rPr>
                <w:sz w:val="1"/>
                <w:szCs w:val="1"/>
                <w:color w:val="auto"/>
              </w:rPr>
            </w:pPr>
          </w:p>
        </w:tc>
      </w:tr>
      <w:tr>
        <w:trPr>
          <w:trHeight w:val="185"/>
        </w:trPr>
        <w:tc>
          <w:tcPr>
            <w:tcW w:w="7720" w:type="dxa"/>
            <w:vAlign w:val="bottom"/>
          </w:tcPr>
          <w:p>
            <w:pPr>
              <w:ind w:left="140"/>
              <w:spacing w:after="0"/>
              <w:rPr>
                <w:sz w:val="20"/>
                <w:szCs w:val="20"/>
                <w:color w:val="auto"/>
              </w:rPr>
            </w:pPr>
            <w:r>
              <w:rPr>
                <w:rFonts w:ascii="Arial" w:cs="Arial" w:eastAsia="Arial" w:hAnsi="Arial"/>
                <w:sz w:val="14"/>
                <w:szCs w:val="14"/>
                <w:color w:val="auto"/>
              </w:rPr>
              <w:t>Accrued payroll</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6,959</w:t>
            </w:r>
          </w:p>
        </w:tc>
        <w:tc>
          <w:tcPr>
            <w:tcW w:w="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10,816</w:t>
            </w:r>
          </w:p>
        </w:tc>
        <w:tc>
          <w:tcPr>
            <w:tcW w:w="0" w:type="dxa"/>
            <w:vAlign w:val="bottom"/>
          </w:tcPr>
          <w:p>
            <w:pPr>
              <w:spacing w:after="0"/>
              <w:rPr>
                <w:sz w:val="1"/>
                <w:szCs w:val="1"/>
                <w:color w:val="auto"/>
              </w:rPr>
            </w:pPr>
          </w:p>
        </w:tc>
      </w:tr>
      <w:tr>
        <w:trPr>
          <w:trHeight w:val="160"/>
        </w:trPr>
        <w:tc>
          <w:tcPr>
            <w:tcW w:w="7720" w:type="dxa"/>
            <w:vAlign w:val="bottom"/>
          </w:tcPr>
          <w:p>
            <w:pPr>
              <w:ind w:left="680"/>
              <w:spacing w:after="0" w:line="160" w:lineRule="exact"/>
              <w:rPr>
                <w:sz w:val="20"/>
                <w:szCs w:val="20"/>
                <w:color w:val="auto"/>
              </w:rPr>
            </w:pPr>
            <w:r>
              <w:rPr>
                <w:rFonts w:ascii="Arial" w:cs="Arial" w:eastAsia="Arial" w:hAnsi="Arial"/>
                <w:sz w:val="14"/>
                <w:szCs w:val="14"/>
                <w:b w:val="1"/>
                <w:bCs w:val="1"/>
                <w:color w:val="auto"/>
              </w:rPr>
              <w:t>Total current liabilities</w:t>
            </w:r>
          </w:p>
        </w:tc>
        <w:tc>
          <w:tcPr>
            <w:tcW w:w="280" w:type="dxa"/>
            <w:vAlign w:val="bottom"/>
          </w:tcPr>
          <w:p>
            <w:pPr>
              <w:spacing w:after="0"/>
              <w:rPr>
                <w:sz w:val="13"/>
                <w:szCs w:val="13"/>
                <w:color w:val="auto"/>
              </w:rPr>
            </w:pPr>
          </w:p>
        </w:tc>
        <w:tc>
          <w:tcPr>
            <w:tcW w:w="110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113,371</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ind w:right="148"/>
              <w:spacing w:after="0" w:line="160" w:lineRule="exact"/>
              <w:rPr>
                <w:sz w:val="20"/>
                <w:szCs w:val="20"/>
                <w:color w:val="auto"/>
              </w:rPr>
            </w:pPr>
            <w:r>
              <w:rPr>
                <w:rFonts w:ascii="Arial" w:cs="Arial" w:eastAsia="Arial" w:hAnsi="Arial"/>
                <w:sz w:val="14"/>
                <w:szCs w:val="14"/>
                <w:color w:val="auto"/>
              </w:rPr>
              <w:t>143,040</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Capital lease obligation to affiliate, less current maturities</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4,141</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4,309</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6,883</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85"/>
        </w:trPr>
        <w:tc>
          <w:tcPr>
            <w:tcW w:w="7720" w:type="dxa"/>
            <w:vAlign w:val="bottom"/>
          </w:tcPr>
          <w:p>
            <w:pPr>
              <w:ind w:left="14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3,486</w:t>
            </w:r>
          </w:p>
        </w:tc>
        <w:tc>
          <w:tcPr>
            <w:tcW w:w="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69"/>
        </w:trPr>
        <w:tc>
          <w:tcPr>
            <w:tcW w:w="7720" w:type="dxa"/>
            <w:vAlign w:val="bottom"/>
          </w:tcPr>
          <w:p>
            <w:pPr>
              <w:ind w:left="68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127,881</w:t>
            </w:r>
          </w:p>
        </w:tc>
        <w:tc>
          <w:tcPr>
            <w:tcW w:w="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156,569</w:t>
            </w:r>
          </w:p>
        </w:tc>
        <w:tc>
          <w:tcPr>
            <w:tcW w:w="0" w:type="dxa"/>
            <w:vAlign w:val="bottom"/>
          </w:tcPr>
          <w:p>
            <w:pPr>
              <w:spacing w:after="0"/>
              <w:rPr>
                <w:sz w:val="1"/>
                <w:szCs w:val="1"/>
                <w:color w:val="auto"/>
              </w:rPr>
            </w:pPr>
          </w:p>
        </w:tc>
      </w:tr>
      <w:tr>
        <w:trPr>
          <w:trHeight w:val="164"/>
        </w:trPr>
        <w:tc>
          <w:tcPr>
            <w:tcW w:w="772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4"/>
                <w:szCs w:val="14"/>
                <w:color w:val="auto"/>
              </w:rPr>
            </w:pP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273</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720" w:type="dxa"/>
            <w:vAlign w:val="bottom"/>
          </w:tcPr>
          <w:p>
            <w:pPr>
              <w:ind w:left="42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7720" w:type="dxa"/>
            <w:vAlign w:val="bottom"/>
          </w:tcPr>
          <w:p>
            <w:pPr>
              <w:ind w:left="42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94,368</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94,132</w:t>
            </w:r>
          </w:p>
        </w:tc>
        <w:tc>
          <w:tcPr>
            <w:tcW w:w="0" w:type="dxa"/>
            <w:vAlign w:val="bottom"/>
          </w:tcPr>
          <w:p>
            <w:pPr>
              <w:spacing w:after="0"/>
              <w:rPr>
                <w:sz w:val="1"/>
                <w:szCs w:val="1"/>
                <w:color w:val="auto"/>
              </w:rPr>
            </w:pPr>
          </w:p>
        </w:tc>
      </w:tr>
      <w:tr>
        <w:trPr>
          <w:trHeight w:val="176"/>
        </w:trPr>
        <w:tc>
          <w:tcPr>
            <w:tcW w:w="7720" w:type="dxa"/>
            <w:vAlign w:val="bottom"/>
          </w:tcPr>
          <w:p>
            <w:pPr>
              <w:ind w:left="42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136,744</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131,970</w:t>
            </w:r>
          </w:p>
        </w:tc>
        <w:tc>
          <w:tcPr>
            <w:tcW w:w="0" w:type="dxa"/>
            <w:vAlign w:val="bottom"/>
          </w:tcPr>
          <w:p>
            <w:pPr>
              <w:spacing w:after="0"/>
              <w:rPr>
                <w:sz w:val="1"/>
                <w:szCs w:val="1"/>
                <w:color w:val="auto"/>
              </w:rPr>
            </w:pPr>
          </w:p>
        </w:tc>
      </w:tr>
      <w:tr>
        <w:trPr>
          <w:trHeight w:val="185"/>
        </w:trPr>
        <w:tc>
          <w:tcPr>
            <w:tcW w:w="7720" w:type="dxa"/>
            <w:vAlign w:val="bottom"/>
          </w:tcPr>
          <w:p>
            <w:pPr>
              <w:ind w:left="420"/>
              <w:spacing w:after="0"/>
              <w:rPr>
                <w:sz w:val="20"/>
                <w:szCs w:val="20"/>
                <w:color w:val="auto"/>
              </w:rPr>
            </w:pPr>
            <w:r>
              <w:rPr>
                <w:rFonts w:ascii="Arial" w:cs="Arial" w:eastAsia="Arial" w:hAnsi="Arial"/>
                <w:sz w:val="14"/>
                <w:szCs w:val="14"/>
                <w:color w:val="auto"/>
              </w:rPr>
              <w:t>Treasury stock at cost</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(3,004)</w:t>
            </w:r>
          </w:p>
        </w:tc>
        <w:tc>
          <w:tcPr>
            <w:tcW w:w="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169"/>
        </w:trPr>
        <w:tc>
          <w:tcPr>
            <w:tcW w:w="7720" w:type="dxa"/>
            <w:vAlign w:val="bottom"/>
          </w:tcPr>
          <w:p>
            <w:pPr>
              <w:ind w:left="680"/>
              <w:spacing w:after="0"/>
              <w:rPr>
                <w:sz w:val="20"/>
                <w:szCs w:val="20"/>
                <w:color w:val="auto"/>
              </w:rPr>
            </w:pPr>
            <w:r>
              <w:rPr>
                <w:rFonts w:ascii="Arial" w:cs="Arial" w:eastAsia="Arial" w:hAnsi="Arial"/>
                <w:sz w:val="14"/>
                <w:szCs w:val="14"/>
                <w:b w:val="1"/>
                <w:bCs w:val="1"/>
                <w:color w:val="auto"/>
              </w:rPr>
              <w:t>Total Stockholders’ Equity</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228,381</w:t>
            </w:r>
          </w:p>
        </w:tc>
        <w:tc>
          <w:tcPr>
            <w:tcW w:w="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224,310</w:t>
            </w:r>
          </w:p>
        </w:tc>
        <w:tc>
          <w:tcPr>
            <w:tcW w:w="0" w:type="dxa"/>
            <w:vAlign w:val="bottom"/>
          </w:tcPr>
          <w:p>
            <w:pPr>
              <w:spacing w:after="0"/>
              <w:rPr>
                <w:sz w:val="1"/>
                <w:szCs w:val="1"/>
                <w:color w:val="auto"/>
              </w:rPr>
            </w:pPr>
          </w:p>
        </w:tc>
      </w:tr>
      <w:tr>
        <w:trPr>
          <w:trHeight w:val="169"/>
        </w:trPr>
        <w:tc>
          <w:tcPr>
            <w:tcW w:w="7720" w:type="dxa"/>
            <w:vAlign w:val="bottom"/>
          </w:tcPr>
          <w:p>
            <w:pPr>
              <w:ind w:left="68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356,262</w:t>
            </w:r>
          </w:p>
        </w:tc>
        <w:tc>
          <w:tcPr>
            <w:tcW w:w="440" w:type="dxa"/>
            <w:vAlign w:val="bottom"/>
          </w:tcPr>
          <w:p>
            <w:pPr>
              <w:spacing w:after="0"/>
              <w:rPr>
                <w:sz w:val="14"/>
                <w:szCs w:val="1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380,879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7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 2008 (Amounts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34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tcBorders>
              <w:top w:val="single" w:sz="8" w:color="auto"/>
            </w:tcBorders>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6"/>
            <w:vMerge w:val="restart"/>
          </w:tcPr>
          <w:p>
            <w:pPr>
              <w:spacing w:after="0"/>
              <w:rPr>
                <w:sz w:val="20"/>
                <w:szCs w:val="20"/>
                <w:color w:val="auto"/>
              </w:rPr>
            </w:pPr>
            <w:r>
              <w:rPr>
                <w:rFonts w:ascii="Arial" w:cs="Arial" w:eastAsia="Arial" w:hAnsi="Arial"/>
                <w:sz w:val="14"/>
                <w:szCs w:val="14"/>
                <w:b w:val="1"/>
                <w:bCs w:val="1"/>
                <w:color w:val="auto"/>
              </w:rPr>
              <w:t>Treasury Shares</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340" w:type="dxa"/>
            <w:vAlign w:val="bottom"/>
          </w:tcPr>
          <w:p>
            <w:pPr>
              <w:spacing w:after="0"/>
              <w:rPr>
                <w:sz w:val="5"/>
                <w:szCs w:val="5"/>
                <w:color w:val="auto"/>
              </w:rPr>
            </w:pPr>
          </w:p>
        </w:tc>
        <w:tc>
          <w:tcPr>
            <w:tcW w:w="1860" w:type="dxa"/>
            <w:vAlign w:val="bottom"/>
            <w:gridSpan w:val="6"/>
            <w:vMerge w:val="continue"/>
          </w:tcPr>
          <w:p>
            <w:pPr>
              <w:spacing w:after="0"/>
              <w:rPr>
                <w:sz w:val="5"/>
                <w:szCs w:val="5"/>
                <w:color w:val="auto"/>
              </w:rPr>
            </w:pPr>
          </w:p>
        </w:tc>
        <w:tc>
          <w:tcPr>
            <w:tcW w:w="12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340" w:type="dxa"/>
            <w:vAlign w:val="bottom"/>
          </w:tcPr>
          <w:p>
            <w:pPr>
              <w:spacing w:after="0"/>
              <w:rPr>
                <w:sz w:val="5"/>
                <w:szCs w:val="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10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76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4340" w:type="dxa"/>
            <w:vAlign w:val="bottom"/>
          </w:tcPr>
          <w:p>
            <w:pPr>
              <w:spacing w:after="0"/>
              <w:rPr>
                <w:sz w:val="20"/>
                <w:szCs w:val="20"/>
                <w:color w:val="auto"/>
              </w:rPr>
            </w:pPr>
            <w:r>
              <w:rPr>
                <w:rFonts w:ascii="Arial" w:cs="Arial" w:eastAsia="Arial" w:hAnsi="Arial"/>
                <w:sz w:val="14"/>
                <w:szCs w:val="14"/>
                <w:b w:val="1"/>
                <w:bCs w:val="1"/>
                <w:color w:val="auto"/>
              </w:rPr>
              <w:t>Balance – December 31, 2007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27,252</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$273</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$94,132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$131,970</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(327)</w:t>
            </w:r>
          </w:p>
        </w:tc>
        <w:tc>
          <w:tcPr>
            <w:tcW w:w="1020" w:type="dxa"/>
            <w:vAlign w:val="bottom"/>
            <w:gridSpan w:val="4"/>
          </w:tcPr>
          <w:p>
            <w:pPr>
              <w:jc w:val="right"/>
              <w:ind w:right="20"/>
              <w:spacing w:after="0"/>
              <w:rPr>
                <w:sz w:val="20"/>
                <w:szCs w:val="20"/>
                <w:color w:val="auto"/>
              </w:rPr>
            </w:pPr>
            <w:r>
              <w:rPr>
                <w:rFonts w:ascii="Arial" w:cs="Arial" w:eastAsia="Arial" w:hAnsi="Arial"/>
                <w:sz w:val="14"/>
                <w:szCs w:val="14"/>
                <w:color w:val="auto"/>
              </w:rPr>
              <w:t>($2,065)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$224,310</w:t>
            </w:r>
          </w:p>
        </w:tc>
        <w:tc>
          <w:tcPr>
            <w:tcW w:w="0" w:type="dxa"/>
            <w:vAlign w:val="bottom"/>
          </w:tcPr>
          <w:p>
            <w:pPr>
              <w:spacing w:after="0"/>
              <w:rPr>
                <w:sz w:val="1"/>
                <w:szCs w:val="1"/>
                <w:color w:val="auto"/>
              </w:rPr>
            </w:pP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207</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317"/>
        </w:trPr>
        <w:tc>
          <w:tcPr>
            <w:tcW w:w="4340" w:type="dxa"/>
            <w:vAlign w:val="bottom"/>
          </w:tcPr>
          <w:p>
            <w:pPr>
              <w:spacing w:after="0"/>
              <w:rPr>
                <w:sz w:val="20"/>
                <w:szCs w:val="20"/>
                <w:color w:val="auto"/>
              </w:rPr>
            </w:pPr>
            <w:r>
              <w:rPr>
                <w:rFonts w:ascii="Arial" w:cs="Arial" w:eastAsia="Arial" w:hAnsi="Arial"/>
                <w:sz w:val="14"/>
                <w:szCs w:val="14"/>
                <w:color w:val="auto"/>
              </w:rPr>
              <w:t>Exercise of stock options, including</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40"/>
              <w:spacing w:after="0"/>
              <w:rPr>
                <w:sz w:val="20"/>
                <w:szCs w:val="20"/>
                <w:color w:val="auto"/>
              </w:rPr>
            </w:pPr>
            <w:r>
              <w:rPr>
                <w:rFonts w:ascii="Arial" w:cs="Arial" w:eastAsia="Arial" w:hAnsi="Arial"/>
                <w:sz w:val="14"/>
                <w:szCs w:val="14"/>
                <w:color w:val="auto"/>
              </w:rPr>
              <w:t>income tax benefits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Repurchase of common stock for Treasury</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(92)</w:t>
            </w:r>
          </w:p>
        </w:tc>
        <w:tc>
          <w:tcPr>
            <w:tcW w:w="1020" w:type="dxa"/>
            <w:vAlign w:val="bottom"/>
            <w:gridSpan w:val="4"/>
          </w:tcPr>
          <w:p>
            <w:pPr>
              <w:jc w:val="right"/>
              <w:ind w:right="20"/>
              <w:spacing w:after="0"/>
              <w:rPr>
                <w:sz w:val="20"/>
                <w:szCs w:val="20"/>
                <w:color w:val="auto"/>
              </w:rPr>
            </w:pPr>
            <w:r>
              <w:rPr>
                <w:rFonts w:ascii="Arial" w:cs="Arial" w:eastAsia="Arial" w:hAnsi="Arial"/>
                <w:sz w:val="14"/>
                <w:szCs w:val="14"/>
                <w:color w:val="auto"/>
              </w:rPr>
              <w:t>(939)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350"/>
        </w:trPr>
        <w:tc>
          <w:tcPr>
            <w:tcW w:w="434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4,774</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4,774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40" w:type="dxa"/>
            <w:vAlign w:val="bottom"/>
          </w:tcPr>
          <w:p>
            <w:pPr>
              <w:spacing w:after="0"/>
              <w:rPr>
                <w:sz w:val="20"/>
                <w:szCs w:val="20"/>
                <w:color w:val="auto"/>
              </w:rPr>
            </w:pPr>
            <w:r>
              <w:rPr>
                <w:rFonts w:ascii="Arial" w:cs="Arial" w:eastAsia="Arial" w:hAnsi="Arial"/>
                <w:sz w:val="14"/>
                <w:szCs w:val="14"/>
                <w:b w:val="1"/>
                <w:bCs w:val="1"/>
                <w:color w:val="auto"/>
              </w:rPr>
              <w:t>Balance – March 31, 2008</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27,255</w:t>
            </w:r>
          </w:p>
        </w:tc>
        <w:tc>
          <w:tcPr>
            <w:tcW w:w="10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$273</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$94,368</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$136,744</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(419)</w:t>
            </w:r>
          </w:p>
        </w:tc>
        <w:tc>
          <w:tcPr>
            <w:tcW w:w="10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($3,004)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$228,381</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CASH FLOWS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4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(Amounts in thousands)</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46"/>
        </w:trPr>
        <w:tc>
          <w:tcPr>
            <w:tcW w:w="4340" w:type="dxa"/>
            <w:vAlign w:val="bottom"/>
          </w:tcPr>
          <w:p>
            <w:pPr>
              <w:ind w:left="140"/>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3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3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4,774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3,385</w:t>
            </w:r>
          </w:p>
        </w:tc>
        <w:tc>
          <w:tcPr>
            <w:tcW w:w="0" w:type="dxa"/>
            <w:vAlign w:val="bottom"/>
          </w:tcPr>
          <w:p>
            <w:pPr>
              <w:spacing w:after="0"/>
              <w:rPr>
                <w:sz w:val="1"/>
                <w:szCs w:val="1"/>
                <w:color w:val="auto"/>
              </w:rPr>
            </w:pPr>
          </w:p>
        </w:tc>
      </w:tr>
      <w:tr>
        <w:trPr>
          <w:trHeight w:val="176"/>
        </w:trPr>
        <w:tc>
          <w:tcPr>
            <w:tcW w:w="5080" w:type="dxa"/>
            <w:vAlign w:val="bottom"/>
            <w:gridSpan w:val="3"/>
          </w:tcPr>
          <w:p>
            <w:pPr>
              <w:ind w:left="140"/>
              <w:spacing w:after="0"/>
              <w:rPr>
                <w:sz w:val="20"/>
                <w:szCs w:val="20"/>
                <w:color w:val="auto"/>
              </w:rPr>
            </w:pPr>
            <w:r>
              <w:rPr>
                <w:rFonts w:ascii="Arial" w:cs="Arial" w:eastAsia="Arial" w:hAnsi="Arial"/>
                <w:sz w:val="14"/>
                <w:szCs w:val="14"/>
                <w:color w:val="auto"/>
                <w:w w:val="98"/>
              </w:rPr>
              <w:t>Adjustments to reconcile net income to net cash provided by operating activities: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1,670</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4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Provision for doubtful accounts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399</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Deferred income taxes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1,425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Stock compensation expense</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207</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Income tax benefits from exercise of stock options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4</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Excess tax benefit from exercise of stock options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86"/>
        </w:trPr>
        <w:tc>
          <w:tcPr>
            <w:tcW w:w="4340" w:type="dxa"/>
            <w:vAlign w:val="bottom"/>
          </w:tcPr>
          <w:p>
            <w:pPr>
              <w:ind w:left="420"/>
              <w:spacing w:after="0"/>
              <w:rPr>
                <w:sz w:val="20"/>
                <w:szCs w:val="20"/>
                <w:color w:val="auto"/>
              </w:rPr>
            </w:pPr>
            <w:r>
              <w:rPr>
                <w:rFonts w:ascii="Arial" w:cs="Arial" w:eastAsia="Arial" w:hAnsi="Arial"/>
                <w:sz w:val="14"/>
                <w:szCs w:val="14"/>
                <w:color w:val="auto"/>
              </w:rPr>
              <w:t>Loss on disposal of fixed assets</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44"/>
        </w:trPr>
        <w:tc>
          <w:tcPr>
            <w:tcW w:w="4340" w:type="dxa"/>
            <w:vAlign w:val="bottom"/>
          </w:tcPr>
          <w:p>
            <w:pPr>
              <w:ind w:left="140"/>
              <w:spacing w:after="0"/>
              <w:rPr>
                <w:sz w:val="20"/>
                <w:szCs w:val="20"/>
                <w:color w:val="auto"/>
              </w:rPr>
            </w:pPr>
            <w:r>
              <w:rPr>
                <w:rFonts w:ascii="Arial" w:cs="Arial" w:eastAsia="Arial" w:hAnsi="Arial"/>
                <w:sz w:val="14"/>
                <w:szCs w:val="14"/>
                <w:color w:val="auto"/>
              </w:rPr>
              <w:t>Changes in assets and liabilities: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23,344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340" w:type="dxa"/>
            <w:vAlign w:val="bottom"/>
          </w:tcPr>
          <w:p>
            <w:pPr>
              <w:ind w:left="42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23,551</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10,420</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(1,078)</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Other non-current assets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10</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434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(25,180)</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(21,910)</w:t>
            </w:r>
          </w:p>
        </w:tc>
        <w:tc>
          <w:tcPr>
            <w:tcW w:w="0" w:type="dxa"/>
            <w:vAlign w:val="bottom"/>
          </w:tcPr>
          <w:p>
            <w:pPr>
              <w:spacing w:after="0"/>
              <w:rPr>
                <w:sz w:val="1"/>
                <w:szCs w:val="1"/>
                <w:color w:val="auto"/>
              </w:rPr>
            </w:pPr>
          </w:p>
        </w:tc>
      </w:tr>
      <w:tr>
        <w:trPr>
          <w:trHeight w:val="185"/>
        </w:trPr>
        <w:tc>
          <w:tcPr>
            <w:tcW w:w="4340" w:type="dxa"/>
            <w:vAlign w:val="bottom"/>
          </w:tcPr>
          <w:p>
            <w:pPr>
              <w:ind w:left="420"/>
              <w:spacing w:after="0"/>
              <w:rPr>
                <w:sz w:val="20"/>
                <w:szCs w:val="20"/>
                <w:color w:val="auto"/>
              </w:rPr>
            </w:pPr>
            <w:r>
              <w:rPr>
                <w:rFonts w:ascii="Arial" w:cs="Arial" w:eastAsia="Arial" w:hAnsi="Arial"/>
                <w:sz w:val="14"/>
                <w:szCs w:val="14"/>
                <w:color w:val="auto"/>
              </w:rPr>
              <w:t>Accrued expenses and other liabilities</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(5,284)</w:t>
            </w:r>
          </w:p>
        </w:tc>
        <w:tc>
          <w:tcPr>
            <w:tcW w:w="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69"/>
        </w:trPr>
        <w:tc>
          <w:tcPr>
            <w:tcW w:w="4340" w:type="dxa"/>
            <w:vAlign w:val="bottom"/>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10,710</w:t>
            </w: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5,940</w:t>
            </w:r>
          </w:p>
        </w:tc>
        <w:tc>
          <w:tcPr>
            <w:tcW w:w="0" w:type="dxa"/>
            <w:vAlign w:val="bottom"/>
          </w:tcPr>
          <w:p>
            <w:pPr>
              <w:spacing w:after="0"/>
              <w:rPr>
                <w:sz w:val="1"/>
                <w:szCs w:val="1"/>
                <w:color w:val="auto"/>
              </w:rPr>
            </w:pPr>
          </w:p>
        </w:tc>
      </w:tr>
      <w:tr>
        <w:trPr>
          <w:trHeight w:val="522"/>
        </w:trPr>
        <w:tc>
          <w:tcPr>
            <w:tcW w:w="4340" w:type="dxa"/>
            <w:vAlign w:val="bottom"/>
          </w:tcPr>
          <w:p>
            <w:pPr>
              <w:ind w:left="140"/>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340" w:type="dxa"/>
            <w:vAlign w:val="bottom"/>
          </w:tcPr>
          <w:p>
            <w:pPr>
              <w:ind w:left="14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(2,926)</w:t>
            </w:r>
          </w:p>
        </w:tc>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69"/>
        </w:trPr>
        <w:tc>
          <w:tcPr>
            <w:tcW w:w="4340" w:type="dxa"/>
            <w:vAlign w:val="bottom"/>
          </w:tcPr>
          <w:p>
            <w:pPr>
              <w:ind w:left="140"/>
              <w:spacing w:after="0"/>
              <w:rPr>
                <w:sz w:val="20"/>
                <w:szCs w:val="20"/>
                <w:color w:val="auto"/>
              </w:rPr>
            </w:pPr>
            <w:r>
              <w:rPr>
                <w:rFonts w:ascii="Arial" w:cs="Arial" w:eastAsia="Arial" w:hAnsi="Arial"/>
                <w:sz w:val="14"/>
                <w:szCs w:val="14"/>
                <w:color w:val="auto"/>
              </w:rPr>
              <w:t>Net cash used for investing activities</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(2,926)</w:t>
            </w: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522"/>
        </w:trPr>
        <w:tc>
          <w:tcPr>
            <w:tcW w:w="4340" w:type="dxa"/>
            <w:vAlign w:val="bottom"/>
          </w:tcPr>
          <w:p>
            <w:pPr>
              <w:ind w:left="140"/>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340" w:type="dxa"/>
            <w:vAlign w:val="bottom"/>
          </w:tcPr>
          <w:p>
            <w:pPr>
              <w:ind w:left="140"/>
              <w:spacing w:after="0"/>
              <w:rPr>
                <w:sz w:val="20"/>
                <w:szCs w:val="20"/>
                <w:color w:val="auto"/>
              </w:rPr>
            </w:pPr>
            <w:r>
              <w:rPr>
                <w:rFonts w:ascii="Arial" w:cs="Arial" w:eastAsia="Arial" w:hAnsi="Arial"/>
                <w:sz w:val="14"/>
                <w:szCs w:val="14"/>
                <w:color w:val="auto"/>
              </w:rPr>
              <w:t>Proceeds from short-term borrowings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28,815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40" w:type="dxa"/>
            <w:vAlign w:val="bottom"/>
          </w:tcPr>
          <w:p>
            <w:pPr>
              <w:ind w:left="140"/>
              <w:spacing w:after="0"/>
              <w:rPr>
                <w:sz w:val="20"/>
                <w:szCs w:val="20"/>
                <w:color w:val="auto"/>
              </w:rPr>
            </w:pPr>
            <w:r>
              <w:rPr>
                <w:rFonts w:ascii="Arial" w:cs="Arial" w:eastAsia="Arial" w:hAnsi="Arial"/>
                <w:sz w:val="14"/>
                <w:szCs w:val="14"/>
                <w:color w:val="auto"/>
              </w:rPr>
              <w:t>Repayment of short-term borrowings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(28,815)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40" w:type="dxa"/>
            <w:vAlign w:val="bottom"/>
          </w:tcPr>
          <w:p>
            <w:pPr>
              <w:ind w:left="140"/>
              <w:spacing w:after="0"/>
              <w:rPr>
                <w:sz w:val="20"/>
                <w:szCs w:val="20"/>
                <w:color w:val="auto"/>
              </w:rPr>
            </w:pPr>
            <w:r>
              <w:rPr>
                <w:rFonts w:ascii="Arial" w:cs="Arial" w:eastAsia="Arial" w:hAnsi="Arial"/>
                <w:sz w:val="14"/>
                <w:szCs w:val="14"/>
                <w:color w:val="auto"/>
              </w:rPr>
              <w:t>Repayment of capital lease obligations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(124)</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76"/>
        </w:trPr>
        <w:tc>
          <w:tcPr>
            <w:tcW w:w="4340" w:type="dxa"/>
            <w:vAlign w:val="bottom"/>
          </w:tcPr>
          <w:p>
            <w:pPr>
              <w:ind w:left="140"/>
              <w:spacing w:after="0"/>
              <w:rPr>
                <w:sz w:val="20"/>
                <w:szCs w:val="20"/>
                <w:color w:val="auto"/>
              </w:rPr>
            </w:pPr>
            <w:r>
              <w:rPr>
                <w:rFonts w:ascii="Arial" w:cs="Arial" w:eastAsia="Arial" w:hAnsi="Arial"/>
                <w:sz w:val="14"/>
                <w:szCs w:val="14"/>
                <w:color w:val="auto"/>
              </w:rPr>
              <w:t>Purchase of treasury shares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(939)</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4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85"/>
        </w:trPr>
        <w:tc>
          <w:tcPr>
            <w:tcW w:w="4340" w:type="dxa"/>
            <w:vAlign w:val="bottom"/>
          </w:tcPr>
          <w:p>
            <w:pPr>
              <w:ind w:left="140"/>
              <w:spacing w:after="0"/>
              <w:rPr>
                <w:sz w:val="20"/>
                <w:szCs w:val="20"/>
                <w:color w:val="auto"/>
              </w:rPr>
            </w:pPr>
            <w:r>
              <w:rPr>
                <w:rFonts w:ascii="Arial" w:cs="Arial" w:eastAsia="Arial" w:hAnsi="Arial"/>
                <w:sz w:val="14"/>
                <w:szCs w:val="14"/>
                <w:color w:val="auto"/>
              </w:rPr>
              <w:t>Excess tax benefit from exercise of stock options</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9"/>
        </w:trPr>
        <w:tc>
          <w:tcPr>
            <w:tcW w:w="4340" w:type="dxa"/>
            <w:vAlign w:val="bottom"/>
          </w:tcPr>
          <w:p>
            <w:pPr>
              <w:ind w:left="140"/>
              <w:spacing w:after="0"/>
              <w:rPr>
                <w:sz w:val="20"/>
                <w:szCs w:val="20"/>
                <w:color w:val="auto"/>
              </w:rPr>
            </w:pPr>
            <w:r>
              <w:rPr>
                <w:rFonts w:ascii="Arial" w:cs="Arial" w:eastAsia="Arial" w:hAnsi="Arial"/>
                <w:sz w:val="14"/>
                <w:szCs w:val="14"/>
                <w:color w:val="auto"/>
              </w:rPr>
              <w:t>Net cash (used for) provided by financing activities</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(1,037)</w:t>
            </w: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2,620</w:t>
            </w:r>
          </w:p>
        </w:tc>
        <w:tc>
          <w:tcPr>
            <w:tcW w:w="0" w:type="dxa"/>
            <w:vAlign w:val="bottom"/>
          </w:tcPr>
          <w:p>
            <w:pPr>
              <w:spacing w:after="0"/>
              <w:rPr>
                <w:sz w:val="1"/>
                <w:szCs w:val="1"/>
                <w:color w:val="auto"/>
              </w:rPr>
            </w:pPr>
          </w:p>
        </w:tc>
      </w:tr>
      <w:tr>
        <w:trPr>
          <w:trHeight w:val="160"/>
        </w:trPr>
        <w:tc>
          <w:tcPr>
            <w:tcW w:w="4340" w:type="dxa"/>
            <w:vAlign w:val="bottom"/>
          </w:tcPr>
          <w:p>
            <w:pPr>
              <w:ind w:left="140"/>
              <w:spacing w:after="0" w:line="160" w:lineRule="exact"/>
              <w:rPr>
                <w:sz w:val="20"/>
                <w:szCs w:val="20"/>
                <w:color w:val="auto"/>
              </w:rPr>
            </w:pPr>
            <w:r>
              <w:rPr>
                <w:rFonts w:ascii="Arial" w:cs="Arial" w:eastAsia="Arial" w:hAnsi="Arial"/>
                <w:sz w:val="14"/>
                <w:szCs w:val="14"/>
                <w:color w:val="auto"/>
              </w:rPr>
              <w:t>Increase in cash and cash equivalents</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right"/>
              <w:ind w:right="48"/>
              <w:spacing w:after="0" w:line="160" w:lineRule="exact"/>
              <w:rPr>
                <w:sz w:val="20"/>
                <w:szCs w:val="20"/>
                <w:color w:val="auto"/>
              </w:rPr>
            </w:pPr>
            <w:r>
              <w:rPr>
                <w:rFonts w:ascii="Arial" w:cs="Arial" w:eastAsia="Arial" w:hAnsi="Arial"/>
                <w:sz w:val="14"/>
                <w:szCs w:val="14"/>
                <w:b w:val="1"/>
                <w:bCs w:val="1"/>
                <w:color w:val="auto"/>
              </w:rPr>
              <w:t>6,747</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68"/>
              <w:spacing w:after="0" w:line="160" w:lineRule="exact"/>
              <w:rPr>
                <w:sz w:val="20"/>
                <w:szCs w:val="20"/>
                <w:color w:val="auto"/>
              </w:rPr>
            </w:pPr>
            <w:r>
              <w:rPr>
                <w:rFonts w:ascii="Arial" w:cs="Arial" w:eastAsia="Arial" w:hAnsi="Arial"/>
                <w:sz w:val="14"/>
                <w:szCs w:val="14"/>
                <w:color w:val="auto"/>
              </w:rPr>
              <w:t>7,086</w:t>
            </w:r>
          </w:p>
        </w:tc>
        <w:tc>
          <w:tcPr>
            <w:tcW w:w="0" w:type="dxa"/>
            <w:vAlign w:val="bottom"/>
          </w:tcPr>
          <w:p>
            <w:pPr>
              <w:spacing w:after="0"/>
              <w:rPr>
                <w:sz w:val="1"/>
                <w:szCs w:val="1"/>
                <w:color w:val="auto"/>
              </w:rPr>
            </w:pPr>
          </w:p>
        </w:tc>
      </w:tr>
      <w:tr>
        <w:trPr>
          <w:trHeight w:val="185"/>
        </w:trPr>
        <w:tc>
          <w:tcPr>
            <w:tcW w:w="4340" w:type="dxa"/>
            <w:vAlign w:val="bottom"/>
          </w:tcPr>
          <w:p>
            <w:pPr>
              <w:ind w:left="140"/>
              <w:spacing w:after="0"/>
              <w:rPr>
                <w:sz w:val="20"/>
                <w:szCs w:val="20"/>
                <w:color w:val="auto"/>
              </w:rPr>
            </w:pPr>
            <w:r>
              <w:rPr>
                <w:rFonts w:ascii="Arial" w:cs="Arial" w:eastAsia="Arial" w:hAnsi="Arial"/>
                <w:sz w:val="14"/>
                <w:szCs w:val="14"/>
                <w:color w:val="auto"/>
              </w:rPr>
              <w:t>Cash and cash equivalents, beginning of period</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13,741</w:t>
            </w:r>
          </w:p>
        </w:tc>
        <w:tc>
          <w:tcPr>
            <w:tcW w:w="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17,582</w:t>
            </w:r>
          </w:p>
        </w:tc>
        <w:tc>
          <w:tcPr>
            <w:tcW w:w="0" w:type="dxa"/>
            <w:vAlign w:val="bottom"/>
          </w:tcPr>
          <w:p>
            <w:pPr>
              <w:spacing w:after="0"/>
              <w:rPr>
                <w:sz w:val="1"/>
                <w:szCs w:val="1"/>
                <w:color w:val="auto"/>
              </w:rPr>
            </w:pPr>
          </w:p>
        </w:tc>
      </w:tr>
      <w:tr>
        <w:trPr>
          <w:trHeight w:val="169"/>
        </w:trPr>
        <w:tc>
          <w:tcPr>
            <w:tcW w:w="4340" w:type="dxa"/>
            <w:vAlign w:val="bottom"/>
          </w:tcPr>
          <w:p>
            <w:pPr>
              <w:ind w:left="140"/>
              <w:spacing w:after="0"/>
              <w:rPr>
                <w:sz w:val="20"/>
                <w:szCs w:val="20"/>
                <w:color w:val="auto"/>
              </w:rPr>
            </w:pPr>
            <w:r>
              <w:rPr>
                <w:rFonts w:ascii="Arial" w:cs="Arial" w:eastAsia="Arial" w:hAnsi="Arial"/>
                <w:sz w:val="14"/>
                <w:szCs w:val="14"/>
                <w:color w:val="auto"/>
              </w:rPr>
              <w:t>Cash and cash equivalents, end of period</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20,488</w:t>
            </w: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24,668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2019-12-14T18:50:03Z</dcterms:created>
  <dcterms:modified xsi:type="dcterms:W3CDTF">2019-12-14T18:50:03Z</dcterms:modified>
</cp:coreProperties>
</file>