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41" w:lineRule="exact"/>
        <w:rPr>
          <w:sz w:val="24"/>
          <w:szCs w:val="24"/>
          <w:color w:val="auto"/>
        </w:rPr>
      </w:pPr>
    </w:p>
    <w:p>
      <w:pPr>
        <w:jc w:val="center"/>
        <w:ind w:left="5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20" w:space="560"/>
            <w:col w:w="7900"/>
          </w:cols>
          <w:pgMar w:left="240" w:top="230" w:right="3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4"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7"/>
              </w:rPr>
              <w:t>730 MILFORD ROAD,</w:t>
            </w:r>
          </w:p>
        </w:tc>
        <w:tc>
          <w:tcPr>
            <w:tcW w:w="5040" w:type="dxa"/>
            <w:vAlign w:val="bottom"/>
          </w:tcPr>
          <w:p>
            <w:pPr>
              <w:spacing w:after="0"/>
              <w:rPr>
                <w:sz w:val="24"/>
                <w:szCs w:val="24"/>
                <w:color w:val="auto"/>
              </w:rPr>
            </w:pPr>
          </w:p>
        </w:tc>
      </w:tr>
      <w:tr>
        <w:trPr>
          <w:trHeight w:val="231"/>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MERRIMACK, NEW HAMPSHIRE</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03054</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2800" w:type="dxa"/>
            <w:vAlign w:val="bottom"/>
          </w:tcPr>
          <w:p>
            <w:pPr>
              <w:spacing w:after="0"/>
              <w:rPr>
                <w:sz w:val="23"/>
                <w:szCs w:val="23"/>
                <w:color w:val="auto"/>
              </w:rPr>
            </w:pPr>
          </w:p>
        </w:tc>
        <w:tc>
          <w:tcPr>
            <w:tcW w:w="5040" w:type="dxa"/>
            <w:vAlign w:val="bottom"/>
          </w:tcPr>
          <w:p>
            <w:pPr>
              <w:jc w:val="right"/>
              <w:ind w:right="2924"/>
              <w:spacing w:after="0"/>
              <w:rPr>
                <w:sz w:val="20"/>
                <w:szCs w:val="20"/>
                <w:color w:val="auto"/>
              </w:rPr>
            </w:pPr>
            <w:r>
              <w:rPr>
                <w:rFonts w:ascii="Arial" w:cs="Arial" w:eastAsia="Arial" w:hAnsi="Arial"/>
                <w:sz w:val="18"/>
                <w:szCs w:val="18"/>
                <w:b w:val="1"/>
                <w:bCs w:val="1"/>
                <w:color w:val="auto"/>
              </w:rPr>
              <w:t>(603) 683-2000</w:t>
            </w:r>
          </w:p>
        </w:tc>
      </w:tr>
      <w:tr>
        <w:trPr>
          <w:trHeight w:val="174"/>
        </w:trPr>
        <w:tc>
          <w:tcPr>
            <w:tcW w:w="2800" w:type="dxa"/>
            <w:vAlign w:val="bottom"/>
          </w:tcPr>
          <w:p>
            <w:pPr>
              <w:spacing w:after="0"/>
              <w:rPr>
                <w:sz w:val="15"/>
                <w:szCs w:val="15"/>
                <w:color w:val="auto"/>
              </w:rPr>
            </w:pPr>
          </w:p>
        </w:tc>
        <w:tc>
          <w:tcPr>
            <w:tcW w:w="5040" w:type="dxa"/>
            <w:vAlign w:val="bottom"/>
          </w:tcPr>
          <w:p>
            <w:pPr>
              <w:jc w:val="center"/>
              <w:ind w:right="1964"/>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 N/A</w:t>
      </w:r>
    </w:p>
    <w:p>
      <w:pPr>
        <w:spacing w:after="0" w:line="177"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39"/>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460" w:right="2080" w:firstLine="1752"/>
        <w:spacing w:after="0" w:line="2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w:t>
      </w:r>
    </w:p>
    <w:p>
      <w:pPr>
        <w:spacing w:after="0" w:line="42"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issuer’s common stock as of July 27, 2007 was 26,824,301.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180" w:type="dxa"/>
            <w:vAlign w:val="bottom"/>
            <w:gridSpan w:val="11"/>
            <w:vMerge w:val="restart"/>
          </w:tcPr>
          <w:p>
            <w:pPr>
              <w:jc w:val="center"/>
              <w:ind w:right="194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180" w:type="dxa"/>
            <w:vAlign w:val="bottom"/>
            <w:gridSpan w:val="11"/>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4"/>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 of Independent Registered Public Accounting Firm</w:t>
              </w:r>
            </w:hyperlink>
          </w:p>
        </w:tc>
        <w:tc>
          <w:tcPr>
            <w:tcW w:w="5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Sheets—June 30, 2007 and December 31, 2006</w:t>
              </w:r>
            </w:hyperlink>
          </w:p>
        </w:tc>
        <w:tc>
          <w:tcPr>
            <w:tcW w:w="41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Income—Three and six months ended June 30, 2007 and 2006</w:t>
              </w:r>
            </w:hyperlink>
          </w:p>
        </w:tc>
        <w:tc>
          <w:tcPr>
            <w:tcW w:w="27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Changes in Stockholders’ Equity—Six months ended June 30,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Flows—Six months ended June 30, 2007 and 2006</w:t>
              </w:r>
            </w:hyperlink>
          </w:p>
        </w:tc>
        <w:tc>
          <w:tcPr>
            <w:tcW w:w="720" w:type="dxa"/>
            <w:vAlign w:val="bottom"/>
            <w:tcBorders>
              <w:top w:val="single" w:sz="8" w:color="0000EE"/>
            </w:tcBorders>
            <w:gridSpan w:val="2"/>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56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3"/>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180" w:type="dxa"/>
            <w:vAlign w:val="bottom"/>
            <w:gridSpan w:val="11"/>
          </w:tcPr>
          <w:p>
            <w:pPr>
              <w:jc w:val="center"/>
              <w:ind w:right="194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Risk Factors</w:t>
              </w:r>
            </w:hyperlink>
          </w:p>
        </w:tc>
        <w:tc>
          <w:tcPr>
            <w:tcW w:w="90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Unregistered Sales of Equity Securities and Use of Proceeds</w:t>
              </w:r>
            </w:hyperlink>
          </w:p>
        </w:tc>
        <w:tc>
          <w:tcPr>
            <w:tcW w:w="56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Submission of Matters to a Vote of Security Holders</w:t>
              </w:r>
            </w:hyperlink>
          </w:p>
        </w:tc>
        <w:tc>
          <w:tcPr>
            <w:tcW w:w="62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9">
              <w:r>
                <w:rPr>
                  <w:rFonts w:ascii="Arial" w:cs="Arial" w:eastAsia="Arial" w:hAnsi="Arial"/>
                  <w:sz w:val="18"/>
                  <w:szCs w:val="18"/>
                  <w:b w:val="1"/>
                  <w:bCs w:val="1"/>
                  <w:color w:val="0000EE"/>
                  <w:w w:val="94"/>
                </w:rPr>
                <w:t>SIGNATURES</w:t>
              </w:r>
            </w:hyperlink>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have reviewed the accompanying condensed consolidated balance sheet of PC Connection, Inc. and subsidiaries (the “Company”) as of June 30, 2007, and the related condensed consolidated statements of income for the three-month and six-month periods ended June 30, 2007 and 2006, and the condensed consolidated statement of changes in stockholders’ equity for the six-month period ended June 30, 2007, and the condensed consolidated statements of cash flows for the six-month periods ended June 30, 2007 and 2006. These interim financial statements are the responsibility of the Company’s management.</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PC Connection, Inc. and subsidiaries as of December 31, 2006, and the related consolidated statements of income, stockholders’ equity, and cash flows for the year then ended (not presented herein); and in our report dated March 28, 2007, we expressed an unqualified opinion on those consolidated financial statements. In our opinion, the information set forth in the accompanying condensed consolidated balance sheet as of December 31, 2006 is fairly stated, in all material respects, in relation to the consolidated balance sheet from which it has been derived.</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discussed in Note 3 to the condensed consolidated interim financial statements, effective January 1, 2007, the Company adopted Financial Accounting Standards Board (“FASB”) Interpretation No. 48, “Accounting for Uncertainty in Income Taxes—an interpretation of FASB Statement 109, Accounting for Income Taxes.”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June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680" w:type="dxa"/>
            <w:vAlign w:val="bottom"/>
            <w:gridSpan w:val="2"/>
          </w:tcPr>
          <w:p>
            <w:pPr>
              <w:ind w:left="20"/>
              <w:spacing w:after="0" w:line="143" w:lineRule="exact"/>
              <w:rPr>
                <w:sz w:val="20"/>
                <w:szCs w:val="20"/>
                <w:color w:val="auto"/>
              </w:rPr>
            </w:pPr>
            <w:r>
              <w:rPr>
                <w:rFonts w:ascii="Arial" w:cs="Arial" w:eastAsia="Arial" w:hAnsi="Arial"/>
                <w:sz w:val="14"/>
                <w:szCs w:val="14"/>
                <w:b w:val="1"/>
                <w:bCs w:val="1"/>
                <w:i w:val="1"/>
                <w:iCs w:val="1"/>
                <w:color w:val="auto"/>
                <w:w w:val="83"/>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17,466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169,303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75,242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4,493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270,943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265,557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19,749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56,867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3,827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351,776</w:t>
            </w:r>
          </w:p>
        </w:tc>
        <w:tc>
          <w:tcPr>
            <w:tcW w:w="34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 affiliate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490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100,809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19,028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payroll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128,347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Capital lease obligation, less current maturities: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affiliate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142,507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149,780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93,107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118,113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30"/>
        </w:trPr>
        <w:tc>
          <w:tcPr>
            <w:tcW w:w="20" w:type="dxa"/>
            <w:vAlign w:val="bottom"/>
          </w:tcPr>
          <w:p>
            <w:pPr>
              <w:spacing w:after="0"/>
              <w:rPr>
                <w:sz w:val="20"/>
                <w:szCs w:val="20"/>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209,269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196,904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351,776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7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3"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3"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441,122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408,094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839,302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788,572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387,082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357,351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735,347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691,411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54,040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50,743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45,005</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44,534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89,198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9,035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14,757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before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9,053</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14,768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(3,300)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(5,630)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5,753</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26,798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26,995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27,002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amounts in thousands</w:t>
      </w:r>
      <w:r>
        <w:rPr>
          <w:rFonts w:ascii="Arial" w:cs="Arial" w:eastAsia="Arial" w:hAnsi="Arial"/>
          <w:sz w:val="18"/>
          <w:szCs w:val="18"/>
          <w:b w:val="1"/>
          <w:b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Common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Additional</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Retained</w:t>
            </w: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Paid-In Capital</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Balance—January 1, 2007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26,862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89,537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$ 109,321</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3,459</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9,138</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2007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27,176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272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93,107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$ 118,113</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(352)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(2,223)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209,269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9,138</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3,472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exercise of stock options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Income tax benefit from exercise of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(10,168)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(17,723)</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(3,151)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(4,627)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1,461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244,402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(246,377)</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Excess tax benefit from exercise of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2,598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(2,034)</w:t>
            </w:r>
          </w:p>
        </w:tc>
      </w:tr>
      <w:tr>
        <w:trPr>
          <w:trHeight w:val="28"/>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17,582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17,466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(the “Company,”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2006 filed with the Securities and Exchange Commission (the “SEC”).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and six months ended June 30, 2007 may not be indicative of the results expected for any succeeding quarter or the entire year ending December 31,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0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manufacturers directly to our customers and receive agency fees for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such transactions. We do not take title to the products in these transactions, title is passed directly from the supplier to our customer.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or SG&amp;A, expenses. Total direct operating expenses relating to these functions included in SG&amp;A expenses for the periods reported are shown below:</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Three Months Ended</w:t>
            </w:r>
          </w:p>
        </w:tc>
        <w:tc>
          <w:tcPr>
            <w:tcW w:w="64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2,728</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June 30, 2006</w:t>
            </w:r>
          </w:p>
        </w:tc>
        <w:tc>
          <w:tcPr>
            <w:tcW w:w="46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2,708</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 and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Costs of producing and distributing catalogs are charged to expense in the month the respective catalog is issued. Other advertising costs are expensed as incurred.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Vendors have the ability to place advertisements in the catalogs for which we receive advertising allowances. These vendor allowances, to the extent that they represent specific reimbursements of such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accordance with EITF 02-16.</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Gross advertising allowances received from vendors were $8,316 and $8,425 for the three months ended June 30, 2007 and 2006, respectively. We classified $8,316 and $6,503 of these allowances as offsets to cost of sales or inventory for the three months ended June 30, 2007 and 2006, respectively. Gross advertising allowances received from vendors were $15,884 and $15,645 for the six months ended June 30, 2007 and 2006, respectively. We classified $15,884 and $11,833 of these allowances as offsets to cost of sales or inventory for the six months ended June 30, 2007 and 2006, respectively. As advertising programs with our vendor partners have become more comprehensive, we have classified substantially all vendor consideration as a reduction of cost of inventory purchases rather than a reduction of advertising expense.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designated January 1 of each year as the date we perform our annual impairment tests relative to goodwill. We completed the impairment review in January 2007 and determined that our goodwill and trademarks were not impaired.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r>
      <w:tr>
        <w:trPr>
          <w:trHeight w:val="175"/>
        </w:trPr>
        <w:tc>
          <w:tcPr>
            <w:tcW w:w="8980" w:type="dxa"/>
            <w:vAlign w:val="bottom"/>
          </w:tcPr>
          <w:p>
            <w:pPr>
              <w:spacing w:after="0"/>
              <w:rPr>
                <w:sz w:val="15"/>
                <w:szCs w:val="15"/>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$ 56,867</w:t>
            </w:r>
          </w:p>
        </w:tc>
      </w:tr>
      <w:tr>
        <w:trPr>
          <w:trHeight w:val="228"/>
        </w:trPr>
        <w:tc>
          <w:tcPr>
            <w:tcW w:w="8980" w:type="dxa"/>
            <w:vAlign w:val="bottom"/>
          </w:tcPr>
          <w:p>
            <w:pPr>
              <w:spacing w:after="0"/>
              <w:rPr>
                <w:sz w:val="20"/>
                <w:szCs w:val="20"/>
                <w:color w:val="auto"/>
              </w:rPr>
            </w:pPr>
            <w:r>
              <w:rPr>
                <w:rFonts w:ascii="Arial" w:cs="Arial" w:eastAsia="Arial" w:hAnsi="Arial"/>
                <w:sz w:val="18"/>
                <w:szCs w:val="18"/>
                <w:color w:val="auto"/>
              </w:rPr>
              <w:t>Trademarks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r>
    </w:tbl>
    <w:p>
      <w:pPr>
        <w:spacing w:after="0" w:line="14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Intangible assets subject to amortization at June 30, 2007 consisted of customer lists of $2,370 and a licensing agreement of $267 (net of accumulated amortization of $2,851 and $208, respectively). Intangible assets subject to amortization at December 31, 2006 consisted of customer lists of $2,846 and a licensing agreement of $327 (net of accumulated amortization of $2,374 and $148, respectively). For the three-month periods ended June 30, 2007 and 2006, we recorded amortization expenses of $268 and $268, respectively. For the six-month periods ended June 30, 2007 and 2006, we recorded amortization expenses of $536 and $529,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four succeeding years and thereafter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1560" w:type="dxa"/>
            <w:vAlign w:val="bottom"/>
          </w:tcPr>
          <w:p>
            <w:pPr>
              <w:spacing w:after="0"/>
              <w:rPr>
                <w:sz w:val="14"/>
                <w:szCs w:val="14"/>
                <w:color w:val="auto"/>
              </w:rPr>
            </w:pP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536(A)</w:t>
            </w:r>
          </w:p>
        </w:tc>
      </w:tr>
      <w:tr>
        <w:trPr>
          <w:trHeight w:val="216"/>
        </w:trPr>
        <w:tc>
          <w:tcPr>
            <w:tcW w:w="9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2008</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942</w:t>
            </w:r>
          </w:p>
        </w:tc>
      </w:tr>
      <w:tr>
        <w:trPr>
          <w:trHeight w:val="216"/>
        </w:trPr>
        <w:tc>
          <w:tcPr>
            <w:tcW w:w="9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2010</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108"/>
        </w:trPr>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76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amortization expense for the six months ending December 31,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January 1, 2006, we adopted Financial Accounting Standards Board (“FASB”) Statement No. 123 (revised), or SFAS 123(R), using the modified prospective application method. SFAS 123(R) requires a company to measure the grant date fair value of equity awards given to employees and recognize that cost, adjusted for forfeitures, over the period that such services are performed in its consolidated financial statements. SFAS 123(R) requires forfeitures to be estimated at the time of grant and revised, if necessary, in subsequent periods if actual forfeitures experienced differ from these estimates. See Note 10, “Stockholders’ Equity and Share-Based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Compensation” of Notes to Consolidated Financial Statements of our Annual Report on Form 10-K for the year ended December 31, 2006, to review the effect of adoption of SFAS 123(R)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restricted stock and options outstanding to purchase common stock using the treasury stock method.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8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2007</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3,111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9,138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Denominator for basic earnings per share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26,798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25,283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26,740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effect of employee equity awards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26,995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25,396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27,002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unexercised stock options were excluded from the computation of diluted earnings per share for the three and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2007 and 2006 because the exercise prices of these options were generally greater than the average market price of common stock during the respective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5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gridSpan w:val="3"/>
            <w:vMerge w:val="continue"/>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2007</w:t>
            </w:r>
          </w:p>
        </w:tc>
        <w:tc>
          <w:tcPr>
            <w:tcW w:w="11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5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Standards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Effective January 1, 2007, we adopted FASB Interpretation No. 48 (FIN 48), “Accounting for Uncertainty in Income Taxes—an interpretation of FASB Statement No. 109, Accounting for Income Taxes.” FIN 48 requires that the financial statement effects of a tax position taken or expected to be taken in a tax return to be recognized in the financial statements when it is more likely than not, based on the technical merits, that the position will be sustained upon examination. The cumulative effect of applying FIN 48 was $346 and was recorded as an adjustment reducing the January 1, 2007 balance of retained earnings. See Note 7, “Income Taxes.”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January 1, 2007, we adopted the additional disclosure provisions of EITF Issue No. 06-03, “How Taxes Collected from Customers and Remitted to Governmental Authorities Should Be Presented in the Income Statement.” EITF No. 06-03 permits the presentation of these taxes on either a gross basis (included in revenues and costs) or a net basis (excluded from revenues). We classify sales taxes on a net basis in our income statements. Adoption of EITF No. 06-03 did not have an effect on our financial statements.</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which permits companies to voluntarily choose, at specified election dates, to measure specified financial instruments and other items at fair value on a contract-by-contract basis. Subsequent changes in fair value will be required to be reported in earnings each reporting period. SFAS No. 159 is effective for fiscal years beginning after November 15, 2007 and interim periods within those fiscal years. We do not expect SFAS 159 to have a material impact on our results of operation or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“Large Account” segment, which serves medium-to-large corporations, and the “Public Sector” segment, which serves federal, state, and local government entities and educational institutions.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information applicable to our reportable operating segments for the three and six months ended June 30, 2007 and 2006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87"/>
              </w:rPr>
              <w:t>Three Months Ended June 30, 2007</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SMB</w:t>
            </w:r>
          </w:p>
        </w:tc>
        <w:tc>
          <w:tcPr>
            <w:tcW w:w="22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Segment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231,935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133,602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75,585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73,041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(73,041)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304,976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133,602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75,585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(73,041)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14,438</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7,810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3,598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(16,811)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(13,080)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16,811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88"/>
              </w:rPr>
              <w:t>Three Months Ended June 30, 2006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SMB</w:t>
            </w: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215,108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67,325</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(67,325)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282,433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(67,325)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gridSpan w:val="2"/>
            <w:vMerge w:val="continue"/>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14,491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7,007</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1,459</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(17,198)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(13,121)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6,805</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(2,416)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6,826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(2,555)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1,380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left="515"/>
              <w:spacing w:after="0"/>
              <w:rPr>
                <w:sz w:val="20"/>
                <w:szCs w:val="20"/>
                <w:color w:val="auto"/>
              </w:rPr>
            </w:pPr>
            <w:r>
              <w:rPr>
                <w:rFonts w:ascii="Arial" w:cs="Arial" w:eastAsia="Arial" w:hAnsi="Arial"/>
                <w:sz w:val="14"/>
                <w:szCs w:val="14"/>
                <w:b w:val="1"/>
                <w:bCs w:val="1"/>
                <w:color w:val="auto"/>
                <w:w w:val="87"/>
              </w:rPr>
              <w:t>Six Months Ended June 30, 2007</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SMB</w:t>
            </w: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465,868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129,517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839,302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125,926</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(125,926)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591,794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129,517</w:t>
            </w:r>
          </w:p>
        </w:tc>
        <w:tc>
          <w:tcPr>
            <w:tcW w:w="2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(125,926)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839,302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gridSpan w:val="2"/>
            <w:vMerge w:val="continue"/>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30,359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13,349</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4,798</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(33,749)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(26,331)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4,028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13,119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13,160</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(2,404)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 Data:</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237,433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143,752</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66,503</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(95,912)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351,776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80" w:type="dxa"/>
            <w:vAlign w:val="bottom"/>
            <w:gridSpan w:val="3"/>
          </w:tcPr>
          <w:p>
            <w:pPr>
              <w:jc w:val="right"/>
              <w:ind w:right="375"/>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w w:val="88"/>
              </w:rPr>
              <w:t>Six Months Ended June 30, 2006</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SMB</w:t>
            </w: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434,229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117,648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788,572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120,894</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(120,894)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555,123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117,648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(120,894)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788,572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gridSpan w:val="2"/>
            <w:vMerge w:val="continue"/>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30,686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11,774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(35,725)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(27,532)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3,154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11,340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(5,163)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2,314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11,379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(5,447)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711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i w:val="1"/>
                <w:iCs w:val="1"/>
                <w:color w:val="auto"/>
              </w:rPr>
              <w:t>Balance Sheet Data:</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235,141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146,020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(119,483)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operating costs of corporate headquarters functions are charged to the reportable operating segments based on their estimated usage of the underlying functions. These functions include finance, human resources, information systems, purchasing and distribution, and senior management expenses. We report these charges to the above segments as “Allocations.” Interest and other expense is charged to the segments, based on the actual costs incurred by each segment, net of interest and other income generated. The amount shown above representing total assets eliminated consists of inter-segment receivables, resulting primarily from inter-segment sales and transfers reported above and from inter-segment service charges. Our capital expenditures are primarily comprised of IT hardware and software purchased to maintain or upgrade our management information systems. These systems serve all of our subsidiaries, to varying degrees, and as a result, our CODM does not evaluate capital expenditures by segment.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and product mix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52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Segment (excludes transfers between segments)</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231,935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215,108</w:t>
            </w:r>
          </w:p>
        </w:tc>
        <w:tc>
          <w:tcPr>
            <w:tcW w:w="28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465,868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434,229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133,602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128,333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243,917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75,585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129,517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441,122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408,094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839,302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788,572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Product Mix</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72,374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73,377</w:t>
            </w: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146,017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Desktop/Servers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62,479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120,007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112,388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39,649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56,205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51,656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104,491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35,630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65,449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Printers and Printer Supplies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41,743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Video, Imaging, and Sound</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59,146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107,247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Memory and System Enhancements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441,122</w:t>
            </w: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408,094</w:t>
            </w:r>
          </w:p>
        </w:tc>
        <w:tc>
          <w:tcPr>
            <w:tcW w:w="1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839,302</w:t>
            </w:r>
          </w:p>
        </w:tc>
        <w:tc>
          <w:tcPr>
            <w:tcW w:w="120" w:type="dxa"/>
            <w:vAlign w:val="bottom"/>
            <w:vMerge w:val="continue"/>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788,572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Substantially all of our net sales for the six months ended June 30, 2007 and 2006 were made to customers located in the United States. Shipments to customers located in foreign countries aggregated less than 2% in each of those respective periods. All of our assets at June 30, 2007 and December 31, 2006 were located in the United States. Our primary target customers are SMBs comprised of 20 to 1,000 employees, federal, state, and local governmental agencies, educational institutions, and medium-to-large corporate accounts. Except for the federal government, no single customer accounted for more than 3% of total net sales in the three and six months ended June 30, 2007 and 2006. Net sales to the federal government accounted for $18,356, or 4.2% of total net sales for the three months ended June 30, 2007, and $13,053, or 3.2% of total net sales for the three months ended June 30, 2006. Net sales to the federal government accounted for $31,649, or 3.8% of total net sales for the six months ended June 30, 2007, and $25,903, or 3.3% of total net sales for the six months ended June 30,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Based Compensation</w:t>
      </w:r>
    </w:p>
    <w:p>
      <w:pPr>
        <w:spacing w:after="0" w:line="96"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The terms and conditions of outstanding awards previously granted are more fully described in Note 10 to the Consolidated Financial Statements included in our Annual Report on Form 10-K for the year ended December 31, 2006. We did not grant any equity awards in the three and six months ended June 30, 2007.</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6—Special Charges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did not record any special charges in the six months ended June 30, 2007. In the six months ended June 30, 2006, we recorded a charge of $450 related to our review of a 2003 contract cancellation by the General Services Administration (“GSA”) and a charge of $371 related to the temporary retention of facilities subsequent to our purchase of certain assets of Amherst Technologies, LLC (“Amherst transaction”). We also recorded a charge of $520 in the six months ended June 30, 2006 related to management restructuring costs, classified as workforce reductions in the table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 forward of special charges for the six months ended June 30, 2007 is shown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Workforce</w:t>
            </w:r>
          </w:p>
        </w:tc>
      </w:t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Reductions</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185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Liabilities at June 30, 2007</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at December 31, 2006 is included in accrued expenses and other liabilities on the consolidated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file one consolidated United States federal income tax return that includes all of our subsidiaries as well as several consolidated, combined, and separate company returns in many U.S. state tax jurisdictions. The tax years 2003-2006 remain open to examination by the major taxing jurisdictions in which we file.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January 1, 2007, we adopted the provisions of FIN 48. As a result of the implementation of FIN 48, we recognized an increase of $953 in the liability for unrecognized income tax benefits, a decrease of $607 in the noncurrent liability for deferred income taxes, and a cumulative effect decrease of $346 in the January 1, 2007 balance of retained earnings. As of the date of adoption and after recognition of the increase noted above, the aggregate liability for unrecognized income tax benefits is $2,169, including interest and penalties. This balance includes $607 relating to tax positions, the disallowance of which would not affect our annual effective income tax rate.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elected to continue our historic treatment for interest and penalties, recognizing potential interest and penalties related to unrecognized income tax benefits as a component of income tax expense, and the corresponding accrual is included as a component of our liability for unrecognized income tax benefits. Pursuant to our adoption of FIN 48, $711 and $236 of this liability as of January 1, 2007 related to interest and penalties, respectively. During the six months ended June 30, 2007, we recognized an additional $319 liability for unrecognized income tax positions relating to tax positions taken in the current and prior periods. Of this amount, $162 relates to additional interest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penalties associated with unrecognized tax benefits for total interest and penalties at June 30, 2007 of $1,109. As of June 30, 2007, unrecognized tax benefits of $1,794 would favorably affect our effective tax rate, if recognized.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do not anticipate that total unrecognized tax benefits will change significantly due to the settlement of audits, expiration of statute of limitations, or other reasons prior to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also subject to audits by states on sales and income taxes, unclaimed property, and other assessments. A multi-state unclaimed property audit is in progress, and certain sales tax audits may be imminent. 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9—Bank Borrowing and Trade Credit Arrangements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(8.25% at June 30, 2007). The facility also gives us the option of obtaining Eurodollar Rate Loans in multiples of $1,000 for durations of one, two, three, four, or six months.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Funded debt ratio is the ratio of average outstanding advances under the facility to EBITDA (Earnings Before Interest Expense, Taxes, Depreciation, and Amortization). The maximum allowable funded debt ratio under the agreement is 2.0 to 1.0; our actual funded debt ratio at June 30, 2007 was 0.0 to 1.0 as our average borrowings during the three months ended June 30, 2007, were not material. The entire $50,000 facility was available for borrowing at June 30, 2007. The credit facility matures on June 29, 2008, at which time amounts outstanding become due.</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At June 30, 2007, we had security agreements with two financial institutions to facilitate the purchase of inventory from various suppliers under certain terms and conditions. The agreements allow a collateralized first position in certain branded products inventory financed by these financial institutions up to an aggregate amount of $45,000. The cost of such financing under these agreements is borne by the suppliers by discounting their invoices to the financial institutions as an incentive for us to purchase their products. We do not pay any interest or discount fees on such inventory financing. At June 30, 2007 and December 31, 2006, accounts payable included $13,465 and $17,421, respectively, owed to these financial institutions.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We are a national direct marketer and procurement service provider of a wide range of IT products and services—including computer systems, software and peripheral equipment, networking communications, and other products and accessories, that we purchase from manufacturers, distributors, and other suppliers. We also offer a growing range of configuration, installation, repair, and other services performed by our personnel and third-party providers. We operate through three primary business segments: (a) consumers and small- to medium-sized businesses, or SMBs, through our PC Connection Sales subsidiaries,</w:t>
      </w:r>
    </w:p>
    <w:p>
      <w:pPr>
        <w:spacing w:after="0" w:line="3" w:lineRule="exact"/>
        <w:rPr>
          <w:sz w:val="20"/>
          <w:szCs w:val="20"/>
          <w:color w:val="auto"/>
        </w:rPr>
      </w:pPr>
    </w:p>
    <w:p>
      <w:pPr>
        <w:ind w:right="76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corporate accounts, or Large Account, through our MoreDirect subsidiary, and (c) federal, state, and local government entities and educational institutions, or Public Sector, through our GovConnection subsidiary.</w:t>
      </w:r>
    </w:p>
    <w:p>
      <w:pPr>
        <w:spacing w:after="0" w:line="13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challenges we face in effectively managing our business are (1) growing our revenues in the face of increasing competition while improving our gross profit margins in all three business segments, (2) recruiting, retaining, and improving the productivity of our sales personnel, and (3) effectively managing and leveraging our SG&amp;A expenses over a higher sales base. We believe that our future success hinges on the ability of our sales representatives to foster loyal customer relationships. Only by better understanding and anticipating our customers’ IT needs will we strengthen customer loyalty, which we believe, will result in increased productivity of sales representatives and improved operating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23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7260" w:type="dxa"/>
            <w:vAlign w:val="bottom"/>
            <w:gridSpan w:val="3"/>
            <w:vMerge w:val="continue"/>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18"/>
                <w:szCs w:val="18"/>
                <w:i w:val="1"/>
                <w:iCs w:val="1"/>
                <w:color w:val="auto"/>
              </w:rPr>
              <w:t>(in millions)</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441.1</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79"/>
              </w:rPr>
              <w:t>$ 408.1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839.3</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788.6</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gridSpan w:val="3"/>
            <w:vMerge w:val="continue"/>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6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6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year-over-year increase in sales in the three and six months ended June 30, 2007, resulted from sales growth in all three segments.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Gross margins benefited in the 2007 periods from our recording of substantially all vendor consideration as a reduction to cost of inventory purchases. As advertising programs with our vendor partners have become more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comprehensive, we have classified substantially all vendor consideration as a reduction of cost of inventory purchases rather than a reduction of advertising expense. Accordingly, this additional consideration in the three and six months ended June 30, 2007, accounted for 22 and 39 basis-point increases, respectively, in gross margin and in SG&amp;A expenses as a percentage of net sales, compared to the prior year periods. The increase in gross margin from these vendor allowances was offset by lower invoice product margins in the three and six months ended June 30, 2007, compared to the corresponding prior year periods.</w:t>
      </w:r>
    </w:p>
    <w:p>
      <w:pPr>
        <w:spacing w:after="0" w:line="9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operating margins increased year over year in the three and six months ended June 30, 2007, due to reductions in operating expenses and special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and product mix: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32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53%</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30</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17</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16</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Product Mix</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16%</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Desktop/Servers</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14</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Software</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13</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13</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8</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Printers and Printer Supplies</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10</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Videos, Imaging, and Sound</w:t>
            </w: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13</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Memory and System Enhancements</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6</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11</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vMerge w:val="continue"/>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23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46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7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13.3%</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13.4%</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86"/>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11.3</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10.7</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10.8</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11.3</w:t>
            </w: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7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12.3%</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12.4%</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12.4%</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12.3%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Consolidated gross profit dollars increased by $3.3 million for the second quarter of 2007 from the second quarter of 2006 and increased by $6.8 million for the six months ended June 30, 2007, over the prior year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The year-over-year dollar increases in three- and six-month periods ended June 30, 2007, were due to increased net sales and, as discussed above, additional vendor consideration recorded as a reduction to cost of sales. Lower customer invoice product margins were partly offset by increased sales of higher margin services and by increased agency fees for Microsoft enterprise software agreement renewals.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Direct operating expenses relating to our purchasing function and receiving, inspection, internal transfer, warehousing, packing and shipping, and other expenses of our distribution center are included in SG&amp;A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750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2007</w:t>
            </w: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Purchasing/Distribution Center</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0.62%</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0.66%</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0.66%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72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4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2006</w:t>
            </w:r>
          </w:p>
        </w:tc>
        <w:tc>
          <w:tcPr>
            <w:tcW w:w="40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$ 29.8</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$ 59.6</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Advertising, net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4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Credit card fees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4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Bad debts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4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$ 45.0</w:t>
            </w:r>
          </w:p>
        </w:tc>
        <w:tc>
          <w:tcPr>
            <w:tcW w:w="4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89.2</w:t>
            </w:r>
          </w:p>
        </w:tc>
        <w:tc>
          <w:tcPr>
            <w:tcW w:w="4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$ 86.5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Percentage of net sales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Personnel costs continue to represent the majority of our operating expenses, with sales personnel representing the largest portion of these costs. The increase in net advertising expense in the three- and six-month periods ended June 30, 2007, was attributable in large part to the additional vendor consideration discussed above, which previously would have offset net advertising expense. The year-over-year decrease in other costs is attributable primarily to decreases in compliance expense in the three and six months ended June 30,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June 30, 2007 Compared to Three Months Ended June 30,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9"/>
              </w:rPr>
              <w:t>% of Net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9"/>
              </w:rPr>
              <w:t>% of Net</w:t>
            </w: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231.9</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52.6%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215.1</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52.7%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133.6</w:t>
            </w: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128.3</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75.6</w:t>
            </w:r>
          </w:p>
        </w:tc>
        <w:tc>
          <w:tcPr>
            <w:tcW w:w="4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17.1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64.7</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441.1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408.1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5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10.7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68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12.4%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second quarter of 2007 increased compared to the second quarter of 2006, as explained by the following:</w:t>
      </w:r>
    </w:p>
    <w:p>
      <w:pPr>
        <w:spacing w:after="0" w:line="90" w:lineRule="exact"/>
        <w:rPr>
          <w:sz w:val="20"/>
          <w:szCs w:val="20"/>
          <w:color w:val="auto"/>
        </w:rPr>
      </w:pPr>
    </w:p>
    <w:p>
      <w:pPr>
        <w:ind w:left="900" w:right="140" w:hanging="446"/>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SMB segment increased due to a 14% growth in corporate outbound sales compared to the prior year quarter. We believe such growth is attributable to the success of our sales representatives in acquiring a greater share of customers’ IT purchasing. Decreased consumer sales during the second quarter of 2007 dampened overall SMB sales growth, reflecting our continued focus on more diverse marketing strategies and programs designed to reach our business customers. Sales representatives for our SMB segment totaled 439 at June 30, 2007, compared to 465 at June 30, 2006.</w:t>
      </w:r>
    </w:p>
    <w:p>
      <w:pPr>
        <w:spacing w:after="0" w:line="61" w:lineRule="exact"/>
        <w:rPr>
          <w:rFonts w:ascii="Arial" w:cs="Arial" w:eastAsia="Arial" w:hAnsi="Arial"/>
          <w:sz w:val="18"/>
          <w:szCs w:val="18"/>
          <w:color w:val="auto"/>
        </w:rPr>
      </w:pPr>
    </w:p>
    <w:p>
      <w:pPr>
        <w:jc w:val="both"/>
        <w:ind w:left="900" w:right="5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modestly year over year reflecting the moderate growth experienced in the large enterprise market during the second quarter of 2007. Sales representatives for our Large Account segment totaled 74 at June 30, 2007, compared to 88 at June 30, 2006.</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due to increased sales made under recently awarded federal and state government contracts, as well as the acquisition of new accounts. Sales representatives for our Public Sector segment totaled 112 at June 30, 2007, compared to 106 at June 30, 2006.</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second quarter of 2007 increased compared to the second quarter of 2006 in dollars but decreased as a percentage of sales as explained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following:</w:t>
      </w:r>
    </w:p>
    <w:p>
      <w:pPr>
        <w:spacing w:after="0" w:line="51" w:lineRule="exact"/>
        <w:rPr>
          <w:sz w:val="20"/>
          <w:szCs w:val="20"/>
          <w:color w:val="auto"/>
        </w:rPr>
      </w:pPr>
    </w:p>
    <w:p>
      <w:pPr>
        <w:ind w:left="900" w:right="1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for our SMB segment increased due to an increase in sales, partially offset by a decrease in gross profit margins. Lower invoice product margins and additional costs associated with certain customer rebate programs in the second quarter of 2007 offset the additional vendor consideration discussed earlier.</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increases in both sales and gross profit margins. Gross profit margins increased year over year by 56 basis points as a percentage of net sales. Increased product margins and service revenues contributed to higher gross margins in this segment.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due to increased sales, partly offset by a decrease in gross profit margins. Decreased agency fees were partly offset by higher invoice product margins in this segment.</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slightly for the second quarter of 2007 but decreased as a percentage of sales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w w:val="86"/>
              </w:rPr>
              <w:t>Three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jc w:val="right"/>
              <w:ind w:right="612"/>
              <w:spacing w:after="0" w:line="129" w:lineRule="exact"/>
              <w:rPr>
                <w:sz w:val="20"/>
                <w:szCs w:val="20"/>
                <w:color w:val="auto"/>
              </w:rPr>
            </w:pPr>
            <w:r>
              <w:rPr>
                <w:rFonts w:ascii="Arial" w:cs="Arial" w:eastAsia="Arial" w:hAnsi="Arial"/>
                <w:sz w:val="14"/>
                <w:szCs w:val="14"/>
                <w:b w:val="1"/>
                <w:bCs w:val="1"/>
                <w:color w:val="auto"/>
                <w:w w:val="89"/>
              </w:rPr>
              <w:t>% of Net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9"/>
              </w:rPr>
              <w:t>% of Net</w:t>
            </w: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48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6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29.5</w:t>
            </w:r>
          </w:p>
        </w:tc>
        <w:tc>
          <w:tcPr>
            <w:tcW w:w="16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28.3</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Large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68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68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11.0</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45.0</w:t>
            </w:r>
          </w:p>
        </w:tc>
        <w:tc>
          <w:tcPr>
            <w:tcW w:w="168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44.5</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6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SMB segment increased in dollars primarily due to increased net advertising expense resulting from the recording of substantially all vendor allowances as a reduction to cost of sales, as discussed earlier.</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Large Account segment increased in dollars in the second quarter of 2007 but were level as a percentage of net sales compared to the prior year quarter. The dollar increase resulted primarily from incremental sales compensation and other operating costs associated with higher sales levels.</w:t>
      </w:r>
    </w:p>
    <w:p>
      <w:pPr>
        <w:spacing w:after="0" w:line="59" w:lineRule="exact"/>
        <w:rPr>
          <w:rFonts w:ascii="Arial" w:cs="Arial" w:eastAsia="Arial" w:hAnsi="Arial"/>
          <w:sz w:val="18"/>
          <w:szCs w:val="18"/>
          <w:color w:val="auto"/>
        </w:rPr>
      </w:pPr>
    </w:p>
    <w:p>
      <w:pPr>
        <w:jc w:val="both"/>
        <w:ind w:left="900" w:right="3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Public Sector segment decreased in both dollars and as a percentage of net sales in the second quarter of 2007. The year-over-year decreases are attributable to a decrease in compliance expense and lower personnel cost in the second quarter of 2007 compared to the prior year quarter.</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did not record any special charges in the three months ended June 30, 2007. In the three months ended June 30, 2006, we recorded a charge of $0.5 million related to our review of a 2003 contract cancellation by the GSA. Liabilities related to special charges are included in accrued expenses and other liabilities on the consolidated balance sheet as of December 31, 2006.</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$3.2 million to $9.0 million for the second quarter of 2007 from $5.8 million for the second quarter of 2006.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as a percentage of net sales increased to 2.0% for the second quarter of 2007 from 1.4% for the second quarter of 2006. Improved expense leverage and cost reductions in the second quarter of 2007 accounted for the improvement in SG&amp;A as a percentage of net sales as compared to the second quarter of 2006.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decreased due to lower average borrowings outstanding in the second quarter of 2007 as compared to the second quarter of 2006.</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effective tax rate was 36.5% for the second quarter of 2007 and 41.4% for the second quarter of 2006. The year-over-year decrease in effective tax rate was due to a prior year state income tax settlement in the second quarter of 2007.</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to $5.8 million for the second quarter of 2007 from $3.1 million for the second quarter of 2006, principally as a result of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income from operations and the decrease in the effective tax 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2007 Compared to Six Months Ended June 30,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9"/>
              </w:rPr>
              <w:t>% of Net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9"/>
              </w:rPr>
              <w:t>% of Net</w:t>
            </w: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465.9</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434.2</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55.1%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243.9</w:t>
            </w: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236.7</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129.5</w:t>
            </w:r>
          </w:p>
        </w:tc>
        <w:tc>
          <w:tcPr>
            <w:tcW w:w="4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117.7</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839.3</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788.6</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5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10.6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8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104.0</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12.3%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six months ended June 30, 2007 increased compared to the six months ended June 30, 2006, in all three segments, as explained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51" w:lineRule="exact"/>
        <w:rPr>
          <w:sz w:val="20"/>
          <w:szCs w:val="20"/>
          <w:color w:val="auto"/>
        </w:rPr>
      </w:pPr>
    </w:p>
    <w:p>
      <w:pPr>
        <w:ind w:left="900" w:right="280" w:hanging="446"/>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our SMB segment increased due to our 13% growth in corporate outbound sales compared to the comparable prior year period. We believe such growth is attributable to sales representatives’ success in acquiring a greater share of customers’ IT purchasing. Decreased consumer sales during the first half of 2007 dampened overall SMB sales growth, reflecting our continued focus on more diverse marketing strategies and programs designed to reach our business customers. Sales representatives for our SMB segment totaled 439 at June 30, 2007, compared to 465 at June 30, 2006.</w:t>
      </w:r>
    </w:p>
    <w:p>
      <w:pPr>
        <w:spacing w:after="0" w:line="61"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modestly year over year. We experienced pent-up demand in the first quarter of 2006 due to the Amherst transaction which limited year-over-year growth in the first half of 2007. Sales representatives for our Large Account segment totaled 74 at June 30, 2007, compared to 88 at June 30, 2006.</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due to increased sales made under recently awarded federal and state government contracts, as well as the acquisition of new accounts. Sales representatives for our Public Sector segment totaled 112 at June 30, 2007, compared to 106 at June 30, 2006.</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six months ended June 30, 2007 increased in dollars in all three segments compared to the six months ended June 30, 2006,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by the following:</w:t>
      </w:r>
    </w:p>
    <w:p>
      <w:pPr>
        <w:spacing w:after="0" w:line="51" w:lineRule="exact"/>
        <w:rPr>
          <w:sz w:val="20"/>
          <w:szCs w:val="20"/>
          <w:color w:val="auto"/>
        </w:rPr>
      </w:pPr>
    </w:p>
    <w:p>
      <w:pPr>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our SMB segment increased due to increased sales and to additional vendor consideration recorded as a reduction to cost of sales, as discussed earlier. Lower invoice product margins and additional costs associated with certain customer rebate programs in the first half of 2007 offset this additional vendor consideration.</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increases in both sales and gross profit margins. Gross profit margins increased year over year by 46 basis points as a percentage of net sales, as increased product margins, service revenues, and net software agency fees contributed to higher gross margins in this segment.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due to increased sales and to additional vendor consideration recorded as an offset to cost of sales, as discussed earlier.</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for the six months ended June 30, 2007, but decreased as a percentage of sales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w w:val="90"/>
              </w:rPr>
              <w:t>Six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jc w:val="right"/>
              <w:ind w:right="612"/>
              <w:spacing w:after="0" w:line="129" w:lineRule="exact"/>
              <w:rPr>
                <w:sz w:val="20"/>
                <w:szCs w:val="20"/>
                <w:color w:val="auto"/>
              </w:rPr>
            </w:pPr>
            <w:r>
              <w:rPr>
                <w:rFonts w:ascii="Arial" w:cs="Arial" w:eastAsia="Arial" w:hAnsi="Arial"/>
                <w:sz w:val="14"/>
                <w:szCs w:val="14"/>
                <w:b w:val="1"/>
                <w:bCs w:val="1"/>
                <w:color w:val="auto"/>
                <w:w w:val="89"/>
              </w:rPr>
              <w:t>% of Net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9"/>
              </w:rPr>
              <w:t>% of Net</w:t>
            </w: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Amount</w:t>
            </w:r>
          </w:p>
        </w:tc>
        <w:tc>
          <w:tcPr>
            <w:tcW w:w="48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6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58.4</w:t>
            </w:r>
          </w:p>
        </w:tc>
        <w:tc>
          <w:tcPr>
            <w:tcW w:w="16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54.9</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Large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13.9</w:t>
            </w:r>
          </w:p>
        </w:tc>
        <w:tc>
          <w:tcPr>
            <w:tcW w:w="168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13.8</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16.9</w:t>
            </w:r>
          </w:p>
        </w:tc>
        <w:tc>
          <w:tcPr>
            <w:tcW w:w="168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13.1</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17.8</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89.2</w:t>
            </w:r>
          </w:p>
        </w:tc>
        <w:tc>
          <w:tcPr>
            <w:tcW w:w="168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86.5</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6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SG&amp;A expenses for our SMB segment increased in dollars primarily due to increased net advertising expense resulting from the recording of substantially all vendor allowances as a reduction to cost of sales, as discussed earlier.</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SG&amp;A expenses for our Large Account segment in dollars and as a percentage of net sales were largely level in the first half of 2007 compared to the prior year quarter.</w:t>
      </w:r>
    </w:p>
    <w:p>
      <w:pPr>
        <w:spacing w:after="0" w:line="50" w:lineRule="exact"/>
        <w:rPr>
          <w:rFonts w:ascii="Arial" w:cs="Arial" w:eastAsia="Arial" w:hAnsi="Arial"/>
          <w:sz w:val="18"/>
          <w:szCs w:val="18"/>
          <w:color w:val="auto"/>
        </w:rPr>
      </w:pPr>
    </w:p>
    <w:p>
      <w:pPr>
        <w:ind w:left="900" w:right="80" w:hanging="446"/>
        <w:spacing w:after="0" w:line="37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SG&amp;A expenses for our Public Sector segment decreased in both dollars and as a percentage of net sales in the first half of 2007. The year-over-year decreases are attributable to a decrease in compliance expense and lower personnel costs in the first half of 2007 compared to the first half of 2006.</w:t>
      </w:r>
    </w:p>
    <w:p>
      <w:pPr>
        <w:spacing w:after="0" w:line="6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did not record any special charges in the six months ended June 30, 2007. In the six months ended June 30, 2006, we recorded a charge of $0.5 million related to our review of a 2003 contract cancellation by the GSA. We also recorded a charge of $0.4 million related to the temporary retention of certain Amherst Technologies facilities and a charge of $0.5 million related to management restructuring costs, classified as workforce reductions in the table below. A roll forward of special charges for the period presented is shown below (in thousands of dollars).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Workforce</w:t>
            </w:r>
          </w:p>
        </w:tc>
      </w:t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Reductions</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185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Liabilities at June 30, 2007</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Liabilities related to special charges are included in accrued expenses and other liabilities on the consolidated balance sheet as of December 31, 2006.</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increased by $5.5 million to $14.8 million for the six months ended June 30, 2007, from $9.3 million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2006. Income from operations as a percentage of net sales increased year over year to 1.8% for the first half of 2007 from 1.2% for the first half of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attributable to reductions in operating expenses and special charges as discussed above.</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decreased due to lower average borrowings outstanding in the six months ended June 30, 2007, as compared to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effective tax rate was 38.2% for the six months ended June 30, 2007, and 41.6% for the six months ended June 30, 2006. The year-over-year decrease in effective tax rate was due primarily to a prior year state income tax settlement in the six months ended June 30, 2007. Additionally, in 2006 state tax losses of certain subsidiaries were not offsettable against state tax profits of other subsidiaries.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to $9.1 million for the six months ended June 30, 2007, from $4.8 million for the six months ended June 30, 2006, principally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increase in income from operations and the decrease in the effective tax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months. We expect to meet our cash requirements for the next twelve months through a combination of cash on hand, cash generated from operations and, if necessary, borrowings on our bank line of credit, as follows:</w:t>
      </w:r>
    </w:p>
    <w:p>
      <w:pPr>
        <w:spacing w:after="0" w:line="6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June 30, 2007, we had approximately $17.5 million in unrestricted accounts.</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June 30, 2007, our entire $50.0 million bank line of credit was available for borrowing. This line of credit can be increased, at</w:t>
      </w:r>
      <w:r>
        <w:rPr>
          <w:rFonts w:ascii="Arial" w:cs="Arial" w:eastAsia="Arial" w:hAnsi="Arial"/>
          <w:sz w:val="18"/>
          <w:szCs w:val="18"/>
          <w:i w:val="1"/>
          <w:iCs w:val="1"/>
          <w:color w:val="auto"/>
        </w:rPr>
        <w:t xml:space="preserve"> </w:t>
      </w:r>
      <w:r>
        <w:rPr>
          <w:rFonts w:ascii="Arial" w:cs="Arial" w:eastAsia="Arial" w:hAnsi="Arial"/>
          <w:sz w:val="18"/>
          <w:szCs w:val="18"/>
          <w:color w:val="auto"/>
        </w:rPr>
        <w:t>our option, to $70.0 million for approved acquisitions or other uses authorized by the bank. Borrowings are, however, limited by certain minimum collateral and earnings requirements, as described more fully below.</w:t>
      </w:r>
    </w:p>
    <w:p>
      <w:pPr>
        <w:spacing w:after="0" w:line="14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under Item 1A, “Risk Factors.”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June 30,</w:t>
            </w:r>
          </w:p>
        </w:tc>
        <w:tc>
          <w:tcPr>
            <w:tcW w:w="3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vMerge w:val="continue"/>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2007</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3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388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3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340" w:type="dxa"/>
            <w:vAlign w:val="bottom"/>
            <w:vMerge w:val="restart"/>
          </w:tcPr>
          <w:p>
            <w:pPr>
              <w:jc w:val="right"/>
              <w:ind w:right="2532"/>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decreased in the first half of 2007 compared to the first half of 2006. Cash flow from operations for the six months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2007, resulted primarily from net income before depreciation and amortization, offset largely by an increase in inventory and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Inventory increased by $5.8 million from December 31, 2006, due to higher levels of inventory staged for planned customer roll-outs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2007, as compared to the December 31, 2006 balance. Inventory turns were 22 turns for the second quarter of 2007, compared to 23 turns for the second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quarter of 2006. Accounts receivable decreased by $0.9 million from December 31, 2006 levels, due to improved collection efforts. Days sales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improved to 42 days for the second quarter of 2007, compared to 44 days for the prior year period. Cash flow from operations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resulted primarily from net income before depreciation and amortization and a decrease in inventory, offset partly by a decrease in accounts payable.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June 30, 2007, we had $100.8 million in outstanding accounts payable. Such accounts are generally paid within 30 days of incurrence, or earlier when favorable cash discounts are offered. This balance will be financed by cash flows from operations or short-term borrowings under the line of credit. This balance includes $13.5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 the six months ended June 30, 2007 and 2006 include our capital expenditures in the periods presented,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and capitalization of internally-developed software. We expect total capital expenditures in 2007 to be between $6.0 million and $8.0 million.</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Cash provided by financing activities </w:t>
      </w:r>
      <w:r>
        <w:rPr>
          <w:rFonts w:ascii="Arial" w:cs="Arial" w:eastAsia="Arial" w:hAnsi="Arial"/>
          <w:sz w:val="18"/>
          <w:szCs w:val="18"/>
          <w:color w:val="auto"/>
        </w:rPr>
        <w:t>in the six months ended June 30, 2007 benefited from proceeds of $2.5 million from the exercise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employee stock plans. Cash used for financing activities in the six months ended June 30, 2006, related primarily to our $2.0 million paydown of borrowings on our bank line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condensed consolidated financial statements and the accompanying notes included in this quarterly report.</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Our bank line of credit provides us with a borrowing capacity of up to $50.0 million at the prime rate (8.25% at June 30, 2007).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we have the option to increase the facility by an additional $20.0 million, based on sufficient levels of trade receivables to meet borrowing base requirements, and depending on meeting minimum EBITDA (earnings before interest expense, taxes, depreciation, and amortization) and equity requirements, described below under “Factors Affecting Sources of Liquidity.” The facility also gives us the option of obtaining Eurodollar Rate Loans in multiples of $1.0 million for durations of one, two, three, four, or six months. Substantially all of our assets are collateralized as security for this facility, and all of our subsidiaries are guarantors under the line of credit. The entire $50 million facility was available for borrowing at June 30, 2007.</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Inventory Trade Credit Agreement</w:t>
      </w:r>
      <w:r>
        <w:rPr>
          <w:rFonts w:ascii="Arial" w:cs="Arial" w:eastAsia="Arial" w:hAnsi="Arial"/>
          <w:sz w:val="18"/>
          <w:szCs w:val="18"/>
          <w:color w:val="auto"/>
        </w:rPr>
        <w:t>s. We have additional security agreements with two financial institutions to facilitate the purchase of inventory from</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suppliers under certain terms and conditions.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$13.5 million as of June 30, 2007, are recorded in accounts payable, and the inventory financed is classified as inventory on the consolidated balance sheet.</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Sports Marketing Commitments</w:t>
      </w:r>
      <w:r>
        <w:rPr>
          <w:rFonts w:ascii="Arial" w:cs="Arial" w:eastAsia="Arial" w:hAnsi="Arial"/>
          <w:sz w:val="16"/>
          <w:szCs w:val="16"/>
          <w:color w:val="auto"/>
        </w:rPr>
        <w:t>. We have entered into multi-year sponsorship agreements with the Boston Red Sox and the New England Patriots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to 2012 and 2013, respectively. These agreements, which grant us various marketing rights and seating arrangements, require payments aggregating $1.9 million in 2007 and annual payments aggregating from $0.3 million to $1.1 million per year beginning in 2008.</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have a 15-year lease for our corporate headquarters with an affiliated company related through common ownership.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lease for certain computer equipment with an unrelated party. We are required to make lease payments, under these agreements, aggregating from $1.0 million to $1.5 million per year. In addition to the rent payable under the facility lease, we are required to pay real estate taxes, insurance, and common area maintenance charges.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We do not have any other off-balance sheet arrangements that have, or are reasonably likely to have, a current or future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financial condition, changes in financial condition, revenues or expenses, results of operations, liquidity, capital expenditures, or capital resources. The disclosures relating to our contractual obligations in our Annual Report on Form 10-K for the year ended December 31, 2006 have not materially changed since we filed that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stock repurchases,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62" w:lineRule="exact"/>
        <w:rPr>
          <w:sz w:val="20"/>
          <w:szCs w:val="20"/>
          <w:color w:val="auto"/>
        </w:rPr>
      </w:pPr>
    </w:p>
    <w:p>
      <w:pPr>
        <w:ind w:left="900" w:right="50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funded debt ratio (defined as the average outstanding advances under the line for the quarter, divided by the consolidated EBITDA for the trailing four quarters) must not be more than 2.0 to 1.0. Our actual funded debt ratio at June 30, 2007 was 0.0 to 1.0, as average borrowings outstanding against our credit facility during the first half of 2007 were not material.</w:t>
      </w:r>
    </w:p>
    <w:p>
      <w:pPr>
        <w:spacing w:after="0" w:line="25"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Consolidated Net Worth must be at least $150.0 million, plus 50% of consolidated net income for each quarter, beginning with the quarter ended March 31, 2006 (loss quarters not counted). Such amount was calculated at June 30, 2007 as $161.5 million. Our actual consolidated stockholders’ equity at June 30, 2007 was $209.3 million.</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June 30, 2007, the entire $50.0 million facility was available for borrowings.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Effective January 1, 2007, we adopted FIN 48, “Accounting for Uncertainty in Income Taxes—an interpretation of FASB Statement No. 109, Accounting for Income Taxes.” FIN 48 requires that the financial statement effects of a tax position taken or expected to be taken in a tax return to be recognized in the financial statements when it is more likely than not, based on the technical merits, that the position will be sustained upon examination. The cumulative effect of applying FIN 48 was $346 and was recorded as an adjustment reducing the January 1, 2007 balance of retained earnings. See Note 7 “Income Taxes.”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Effective January 1, 2007, we adopted the additional disclosure provisions of EITF Issue No. 06-03, “How Taxes Collected from Customers and Remitted to Governmental Authorities Should Be Presented in the Income Statement.” EITF No. 06-03 permits the presentation of these taxes on either a gross basis (included in revenues and costs) or a net basis (excluded from revenues). We classify sales taxes on a net basis in our income statements. Adoption of EITF No. 06-03 did not have an effect on our financial statements.</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which permits companies to voluntarily choose, at specified election dates, to measure specified financial instruments and other items at fair value on a contract-by-contract basis. Subsequent changes in fair value will be required to be reported in earnings each reporting period. SFAS No. 159 is effective for fiscal years beginning after November 15, 2007 and interim periods within those fiscal years. We do not expect SFAS 159 to have a material impact on our results of operation or financial position.</w:t>
      </w:r>
    </w:p>
    <w:p>
      <w:pPr>
        <w:spacing w:after="0" w:line="9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critical accounting policies have not materially changed from those discussed in our Annual Report on Form 10-K for the year ended December 31, 2006, except as to FIN 48 as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and Euro dollar rates. We had no borrowings outstanding pursuant to our credit agreement as of June 30, 2007.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no borrowings were outstanding at June 30, 2007, and the average borrowings during the three and six months ended June 30, 2007 were not material. Accordingly, a change in earnings resulting from a hypothetical 10% increase or decrease in interest rates is not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4—CONTROLS AND PROCEDURES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2007.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Chief Financial Officer concluded that, as of the end of the period covered by this report, our disclosure controls and procedures were effective at the reasonable assurance level.</w:t>
      </w:r>
    </w:p>
    <w:p>
      <w:pPr>
        <w:spacing w:after="0" w:line="12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June 30, 2007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Quarterly Report on Form 10-Q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includes one revised risk factor (“We acquire products for resale from a limited number of vendors. The loss of any one of these vendors could have a material adverse effect on our business”) that reflects developments subsequent to the discussion of risk factors included in our most recent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results also may vary based on our ability to hire and retain sales representatives and other essential personnel, as well as our success in integrating acquisitions into our business, and their relative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207"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b w:val="1"/>
          <w:bCs w:val="1"/>
          <w:color w:val="auto"/>
        </w:rPr>
        <w:t>Despite our August 2004 award of an authorization to sell to the federal government under a new General Services Administration, or GSA, schedule, our sales to federal government entities may not regain prior years’ sales levels, which would negatively impact our business.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was referred to the Department of Justice, or DOJ, for review. We cooperated in that review, and in 2006, we concluded a settlement with the DOJ of this matter.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“configure-to-order”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71% and 70% of our total product purchases in each of the six months ended June 30, 2007 and 2006, respectively. Among these five vendors, purchases from Ingram represented 25% and 27% of our total product purchases in the six months ended June 30, 2007 and 2006, respectively. Purchases from Tech Data comprised 17% and 18% of our total product purchases in the six months ended June 30, 2007 and 2006, respectively. Purchases from HP represented 14% and 15% of our total product purchases in the six months ended June 30, 2007 and 2006, respectively. No other vendor supplied more than 10% of our total product purchases in the six months ended June 30, 2007 and 2006, respectively. If we are unable to acquire products from Ingram, HP, or Tech Data, we could experience a short-term disruption in the availability of products, and such disruption could have a material adverse effect on our results of operations and cash flows.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June 30, 2007 was $100.8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Termination, interruption, or contraction of relationships with our vendors, including a reduction in the level of trade credit provided to us, could have a material adverse effect on our financial position.</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Some product manufacturers either do not permit us to sell the full line of their products or limit the number of product units available to direct marketers such as PC Connection, Inc.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product suppliers provide us with advertising allowances, and in exchange, we feature their products in our catalogs and other marketing vehicles. These vendor allowances, to the extent that they represent specific reimbursements of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the past, we have experienced a decrease in the level of vendor consideration available to us from certain manufacturers. The level of such consideration we receive from some manufacturers may decline in the future. Such a decline could decrease our gross margin and have a material adverse effect on our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had an increasing level of sales made over the Internet in part because of the growing use and acceptance of the Internet by end users.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success in growing our Internet business will depend in large part upon the development of an increasingly sophisticated infrastructure for providing Internet access and services. If the number of Internet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sophistication, speed, reliability, and cost-effectiveness of the networks operated by third parties, and these networks may not continue to be developed or be available at prices consistent with our required business model.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our customers elect to have their purchases shipped by an interstate common carrier, such as DHL Worldwide Express, United Parcel Service, or FedEx Corporation. A strike or other interruption in service by these shippers could adversely affect our ability to market or deliver products to customers on a timely basis.</w:t>
      </w:r>
    </w:p>
    <w:p>
      <w:pPr>
        <w:spacing w:after="0" w:line="21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our primary freight carrier.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collect and remit sales and use taxes in states in which we have either voluntarily registered or have a physical presence.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Moreover, due to our presence on various forms of electronic media and other operational factors, our contacts with many states may exceed the limited contacts involved in the Supreme Court case. We cannot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constitutionally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64%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96" w:lineRule="exact"/>
        <w:rPr>
          <w:sz w:val="20"/>
          <w:szCs w:val="20"/>
          <w:color w:val="auto"/>
        </w:rPr>
      </w:pPr>
    </w:p>
    <w:p>
      <w:pPr>
        <w:ind w:right="700" w:firstLine="464"/>
        <w:spacing w:after="0" w:line="26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table provides information about purchases by the Company during the quarter ended June 30, 2007 of equity securities that are registered by the Company pursuant to Section 12 of the Exchange Act: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55"/>
        </w:trPr>
        <w:tc>
          <w:tcPr>
            <w:tcW w:w="37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860" w:type="dxa"/>
            <w:vAlign w:val="bottom"/>
          </w:tcPr>
          <w:p>
            <w:pPr>
              <w:spacing w:after="0"/>
              <w:rPr>
                <w:sz w:val="13"/>
                <w:szCs w:val="13"/>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(or Unit)</w:t>
            </w:r>
          </w:p>
        </w:tc>
        <w:tc>
          <w:tcPr>
            <w:tcW w:w="86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04/01/07–04/30/07</w:t>
            </w:r>
          </w:p>
        </w:tc>
        <w:tc>
          <w:tcPr>
            <w:tcW w:w="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05/01/07–05/31/07</w:t>
            </w:r>
          </w:p>
        </w:tc>
        <w:tc>
          <w:tcPr>
            <w:tcW w:w="86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06/01/07–06/30/07</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4—Submission of Matters to a Vote of Security Holders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At the 2007 Annual Meeting of Stockholders of the Company (the “Annual Meeting”) on June 7, 2007, the following matters were acted upon by the stockholders of the Company:</w:t>
      </w:r>
    </w:p>
    <w:p>
      <w:pPr>
        <w:spacing w:after="0" w:line="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six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the 2007 Stock Incentive Plan.</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Deloitte &amp; Touche LLP as the Company’s independent registered public accounting firm for the current fiscal year.</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number of shares of common stock issued, outstanding, and eligible to vote as of the record date of April 10, 2007 was 26,801,771. The results of the voting on each of the matters presented to stockholders at the Annual Meeting are set forth below:</w:t>
      </w:r>
    </w:p>
    <w:p>
      <w:pPr>
        <w:spacing w:after="0" w:line="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52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Votes For</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Votes Withheld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Patricia Gallup</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19,586,057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David Hall</w:t>
            </w:r>
          </w:p>
        </w:tc>
        <w:tc>
          <w:tcPr>
            <w:tcW w:w="1980" w:type="dxa"/>
            <w:vAlign w:val="bottom"/>
            <w:gridSpan w:val="3"/>
          </w:tcPr>
          <w:p>
            <w:pPr>
              <w:jc w:val="right"/>
              <w:ind w:right="520"/>
              <w:spacing w:after="0"/>
              <w:rPr>
                <w:sz w:val="20"/>
                <w:szCs w:val="20"/>
                <w:color w:val="auto"/>
              </w:rPr>
            </w:pPr>
            <w:r>
              <w:rPr>
                <w:rFonts w:ascii="Arial" w:cs="Arial" w:eastAsia="Arial" w:hAnsi="Arial"/>
                <w:sz w:val="18"/>
                <w:szCs w:val="18"/>
                <w:color w:val="auto"/>
              </w:rPr>
              <w:t>19,585,917</w:t>
            </w:r>
          </w:p>
        </w:tc>
        <w:tc>
          <w:tcPr>
            <w:tcW w:w="1080" w:type="dxa"/>
            <w:vAlign w:val="bottom"/>
          </w:tcPr>
          <w:p>
            <w:pPr>
              <w:jc w:val="right"/>
              <w:spacing w:after="0"/>
              <w:rPr>
                <w:sz w:val="20"/>
                <w:szCs w:val="20"/>
                <w:color w:val="auto"/>
              </w:rPr>
            </w:pPr>
            <w:r>
              <w:rPr>
                <w:rFonts w:ascii="Arial" w:cs="Arial" w:eastAsia="Arial" w:hAnsi="Arial"/>
                <w:sz w:val="18"/>
                <w:szCs w:val="18"/>
                <w:color w:val="auto"/>
              </w:rPr>
              <w:t>4,612,687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Bruce Barone</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23,101,996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David Beffa-Negrini</w:t>
            </w:r>
          </w:p>
        </w:tc>
        <w:tc>
          <w:tcPr>
            <w:tcW w:w="1980" w:type="dxa"/>
            <w:vAlign w:val="bottom"/>
            <w:gridSpan w:val="3"/>
          </w:tcPr>
          <w:p>
            <w:pPr>
              <w:jc w:val="right"/>
              <w:ind w:right="520"/>
              <w:spacing w:after="0"/>
              <w:rPr>
                <w:sz w:val="20"/>
                <w:szCs w:val="20"/>
                <w:color w:val="auto"/>
              </w:rPr>
            </w:pPr>
            <w:r>
              <w:rPr>
                <w:rFonts w:ascii="Arial" w:cs="Arial" w:eastAsia="Arial" w:hAnsi="Arial"/>
                <w:sz w:val="18"/>
                <w:szCs w:val="18"/>
                <w:color w:val="auto"/>
              </w:rPr>
              <w:t>23,096,396</w:t>
            </w:r>
          </w:p>
        </w:tc>
        <w:tc>
          <w:tcPr>
            <w:tcW w:w="1080" w:type="dxa"/>
            <w:vAlign w:val="bottom"/>
          </w:tcPr>
          <w:p>
            <w:pPr>
              <w:jc w:val="right"/>
              <w:spacing w:after="0"/>
              <w:rPr>
                <w:sz w:val="20"/>
                <w:szCs w:val="20"/>
                <w:color w:val="auto"/>
              </w:rPr>
            </w:pPr>
            <w:r>
              <w:rPr>
                <w:rFonts w:ascii="Arial" w:cs="Arial" w:eastAsia="Arial" w:hAnsi="Arial"/>
                <w:sz w:val="18"/>
                <w:szCs w:val="18"/>
                <w:color w:val="auto"/>
              </w:rPr>
              <w:t>1,102,208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Joseph Baute</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19,586,451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Donald Weatherson</w:t>
            </w:r>
          </w:p>
        </w:tc>
        <w:tc>
          <w:tcPr>
            <w:tcW w:w="1980" w:type="dxa"/>
            <w:vAlign w:val="bottom"/>
            <w:gridSpan w:val="3"/>
          </w:tcPr>
          <w:p>
            <w:pPr>
              <w:jc w:val="right"/>
              <w:ind w:right="520"/>
              <w:spacing w:after="0"/>
              <w:rPr>
                <w:sz w:val="20"/>
                <w:szCs w:val="20"/>
                <w:color w:val="auto"/>
              </w:rPr>
            </w:pPr>
            <w:r>
              <w:rPr>
                <w:rFonts w:ascii="Arial" w:cs="Arial" w:eastAsia="Arial" w:hAnsi="Arial"/>
                <w:sz w:val="18"/>
                <w:szCs w:val="18"/>
                <w:color w:val="auto"/>
              </w:rPr>
              <w:t>22,107,453</w:t>
            </w:r>
          </w:p>
        </w:tc>
        <w:tc>
          <w:tcPr>
            <w:tcW w:w="1080" w:type="dxa"/>
            <w:vAlign w:val="bottom"/>
          </w:tcPr>
          <w:p>
            <w:pPr>
              <w:jc w:val="right"/>
              <w:spacing w:after="0"/>
              <w:rPr>
                <w:sz w:val="20"/>
                <w:szCs w:val="20"/>
                <w:color w:val="auto"/>
              </w:rPr>
            </w:pPr>
            <w:r>
              <w:rPr>
                <w:rFonts w:ascii="Arial" w:cs="Arial" w:eastAsia="Arial" w:hAnsi="Arial"/>
                <w:sz w:val="18"/>
                <w:szCs w:val="18"/>
                <w:color w:val="auto"/>
              </w:rPr>
              <w:t>2,091,151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2007 Stock Incentive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Abstain</w:t>
            </w:r>
          </w:p>
        </w:tc>
      </w:tr>
      <w:tr>
        <w:trPr>
          <w:trHeight w:val="221"/>
        </w:trPr>
        <w:tc>
          <w:tcPr>
            <w:tcW w:w="3900" w:type="dxa"/>
            <w:vAlign w:val="bottom"/>
          </w:tcPr>
          <w:p>
            <w:pPr>
              <w:jc w:val="right"/>
              <w:ind w:right="1482"/>
              <w:spacing w:after="0"/>
              <w:rPr>
                <w:sz w:val="20"/>
                <w:szCs w:val="20"/>
                <w:color w:val="auto"/>
              </w:rPr>
            </w:pPr>
            <w:r>
              <w:rPr>
                <w:rFonts w:ascii="Arial" w:cs="Arial" w:eastAsia="Arial" w:hAnsi="Arial"/>
                <w:sz w:val="18"/>
                <w:szCs w:val="18"/>
                <w:color w:val="auto"/>
              </w:rPr>
              <w:t>21,952,676</w:t>
            </w:r>
          </w:p>
        </w:tc>
        <w:tc>
          <w:tcPr>
            <w:tcW w:w="3760" w:type="dxa"/>
            <w:vAlign w:val="bottom"/>
            <w:gridSpan w:val="2"/>
          </w:tcPr>
          <w:p>
            <w:pPr>
              <w:jc w:val="right"/>
              <w:ind w:right="1472"/>
              <w:spacing w:after="0"/>
              <w:rPr>
                <w:sz w:val="20"/>
                <w:szCs w:val="20"/>
                <w:color w:val="auto"/>
              </w:rPr>
            </w:pPr>
            <w:r>
              <w:rPr>
                <w:rFonts w:ascii="Arial" w:cs="Arial" w:eastAsia="Arial" w:hAnsi="Arial"/>
                <w:sz w:val="18"/>
                <w:szCs w:val="18"/>
                <w:color w:val="auto"/>
              </w:rPr>
              <w:t>531,911</w:t>
            </w:r>
          </w:p>
        </w:tc>
        <w:tc>
          <w:tcPr>
            <w:tcW w:w="3760" w:type="dxa"/>
            <w:vAlign w:val="bottom"/>
            <w:gridSpan w:val="2"/>
          </w:tcPr>
          <w:p>
            <w:pPr>
              <w:jc w:val="right"/>
              <w:ind w:right="1512"/>
              <w:spacing w:after="0"/>
              <w:rPr>
                <w:sz w:val="20"/>
                <w:szCs w:val="20"/>
                <w:color w:val="auto"/>
              </w:rPr>
            </w:pPr>
            <w:r>
              <w:rPr>
                <w:rFonts w:ascii="Arial" w:cs="Arial" w:eastAsia="Arial" w:hAnsi="Arial"/>
                <w:sz w:val="18"/>
                <w:szCs w:val="18"/>
                <w:color w:val="auto"/>
              </w:rPr>
              <w:t>15,272</w:t>
            </w:r>
          </w:p>
        </w:tc>
      </w:tr>
    </w:tbl>
    <w:p>
      <w:pPr>
        <w:spacing w:after="0" w:line="75" w:lineRule="exact"/>
        <w:rPr>
          <w:sz w:val="20"/>
          <w:szCs w:val="20"/>
          <w:color w:val="auto"/>
        </w:rPr>
      </w:pPr>
    </w:p>
    <w:p>
      <w:pPr>
        <w:ind w:left="460" w:right="3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Ratification of the selection by the Audit Committee of Deloitte &amp; Touche LLP as the Company’s independent registered public accounting firm for the current fiscal year: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Abstain</w:t>
            </w:r>
          </w:p>
        </w:tc>
      </w:tr>
      <w:tr>
        <w:trPr>
          <w:trHeight w:val="221"/>
        </w:trPr>
        <w:tc>
          <w:tcPr>
            <w:tcW w:w="3900" w:type="dxa"/>
            <w:vAlign w:val="bottom"/>
          </w:tcPr>
          <w:p>
            <w:pPr>
              <w:jc w:val="right"/>
              <w:ind w:right="1482"/>
              <w:spacing w:after="0"/>
              <w:rPr>
                <w:sz w:val="20"/>
                <w:szCs w:val="20"/>
                <w:color w:val="auto"/>
              </w:rPr>
            </w:pPr>
            <w:r>
              <w:rPr>
                <w:rFonts w:ascii="Arial" w:cs="Arial" w:eastAsia="Arial" w:hAnsi="Arial"/>
                <w:sz w:val="18"/>
                <w:szCs w:val="18"/>
                <w:color w:val="auto"/>
              </w:rPr>
              <w:t>24,122,531</w:t>
            </w:r>
          </w:p>
        </w:tc>
        <w:tc>
          <w:tcPr>
            <w:tcW w:w="3760" w:type="dxa"/>
            <w:vAlign w:val="bottom"/>
            <w:gridSpan w:val="2"/>
          </w:tcPr>
          <w:p>
            <w:pPr>
              <w:jc w:val="right"/>
              <w:ind w:right="1512"/>
              <w:spacing w:after="0"/>
              <w:rPr>
                <w:sz w:val="20"/>
                <w:szCs w:val="20"/>
                <w:color w:val="auto"/>
              </w:rPr>
            </w:pPr>
            <w:r>
              <w:rPr>
                <w:rFonts w:ascii="Arial" w:cs="Arial" w:eastAsia="Arial" w:hAnsi="Arial"/>
                <w:sz w:val="18"/>
                <w:szCs w:val="18"/>
                <w:color w:val="auto"/>
              </w:rPr>
              <w:t>67,318</w:t>
            </w:r>
          </w:p>
        </w:tc>
        <w:tc>
          <w:tcPr>
            <w:tcW w:w="3760" w:type="dxa"/>
            <w:vAlign w:val="bottom"/>
            <w:gridSpan w:val="2"/>
          </w:tcPr>
          <w:p>
            <w:pPr>
              <w:jc w:val="right"/>
              <w:ind w:right="1552"/>
              <w:spacing w:after="0"/>
              <w:rPr>
                <w:sz w:val="20"/>
                <w:szCs w:val="20"/>
                <w:color w:val="auto"/>
              </w:rPr>
            </w:pPr>
            <w:r>
              <w:rPr>
                <w:rFonts w:ascii="Arial" w:cs="Arial" w:eastAsia="Arial" w:hAnsi="Arial"/>
                <w:sz w:val="18"/>
                <w:szCs w:val="18"/>
                <w:color w:val="auto"/>
              </w:rPr>
              <w:t>2,434</w:t>
            </w:r>
          </w:p>
        </w:tc>
      </w:tr>
      <w:tr>
        <w:trPr>
          <w:trHeight w:val="365"/>
        </w:trPr>
        <w:tc>
          <w:tcPr>
            <w:tcW w:w="3900" w:type="dxa"/>
            <w:vAlign w:val="bottom"/>
          </w:tcPr>
          <w:p>
            <w:pPr>
              <w:spacing w:after="0"/>
              <w:rPr>
                <w:sz w:val="24"/>
                <w:szCs w:val="24"/>
                <w:color w:val="auto"/>
              </w:rPr>
            </w:pPr>
          </w:p>
        </w:tc>
        <w:tc>
          <w:tcPr>
            <w:tcW w:w="3760" w:type="dxa"/>
            <w:vAlign w:val="bottom"/>
            <w:gridSpan w:val="2"/>
          </w:tcPr>
          <w:p>
            <w:pPr>
              <w:jc w:val="right"/>
              <w:ind w:right="179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6"/>
              </w:rPr>
              <w:t>Number</w:t>
            </w:r>
          </w:p>
        </w:tc>
        <w:tc>
          <w:tcPr>
            <w:tcW w:w="66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 w:type="dxa"/>
            <w:vAlign w:val="bottom"/>
          </w:tcPr>
          <w:p>
            <w:pPr>
              <w:ind w:left="60"/>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8"/>
                <w:szCs w:val="18"/>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2007 Stock Incentive Plan, incorporated by reference to our definitive proxy statement filed on April 30, 2007.</w:t>
            </w:r>
          </w:p>
        </w:tc>
        <w:tc>
          <w:tcPr>
            <w:tcW w:w="0" w:type="dxa"/>
            <w:vAlign w:val="bottom"/>
          </w:tcPr>
          <w:p>
            <w:pPr>
              <w:spacing w:after="0"/>
              <w:rPr>
                <w:sz w:val="1"/>
                <w:szCs w:val="1"/>
                <w:color w:val="auto"/>
              </w:rPr>
            </w:pPr>
          </w:p>
        </w:tc>
      </w:tr>
      <w:tr>
        <w:trPr>
          <w:trHeight w:val="316"/>
        </w:trPr>
        <w:tc>
          <w:tcPr>
            <w:tcW w:w="500" w:type="dxa"/>
            <w:vAlign w:val="bottom"/>
          </w:tcPr>
          <w:p>
            <w:pPr>
              <w:ind w:left="60"/>
              <w:spacing w:after="0"/>
              <w:rPr>
                <w:sz w:val="20"/>
                <w:szCs w:val="20"/>
                <w:color w:val="auto"/>
              </w:rPr>
            </w:pPr>
            <w:r>
              <w:rPr>
                <w:rFonts w:ascii="Arial" w:cs="Arial" w:eastAsia="Arial" w:hAnsi="Arial"/>
                <w:sz w:val="18"/>
                <w:szCs w:val="18"/>
                <w:color w:val="auto"/>
                <w:w w:val="99"/>
              </w:rPr>
              <w:t>10.2*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Incentive Stock Option Agreement for 2007 Stock Incentive Plan.</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w w:val="99"/>
              </w:rPr>
              <w:t>10.3*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Nonstatutory Stock Option Agreement for 2007 Stock Incentive Plan.</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w w:val="99"/>
              </w:rPr>
              <w:t>10.4*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Restricted Stock Agreement for 2007 Stock Incentive Plan.</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15  *</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on unaudited interim financial information.</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w w:val="99"/>
              </w:rPr>
              <w:t>31.1*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Certification of the Company’s President and Chief Executive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31.2*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the Company’s Executive Vice President, Treasurer, and Chief Financial Officer pursuant to Section 302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32.1*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of the Company’s President and Chief Executive Officer pursuant to 18 U.S.C. Section 1350, as adopted pursuant to Section 906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32.2*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of the Company’s Executive Vice President, Treasurer, and Chief Financial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spacing w:after="0"/>
        <w:tabs>
          <w:tab w:leader="none" w:pos="5940" w:val="left"/>
          <w:tab w:leader="none" w:pos="7980" w:val="left"/>
        </w:tabs>
        <w:rPr>
          <w:sz w:val="20"/>
          <w:szCs w:val="20"/>
          <w:color w:val="auto"/>
        </w:rPr>
      </w:pPr>
      <w:r>
        <w:rPr>
          <w:rFonts w:ascii="Arial" w:cs="Arial" w:eastAsia="Arial" w:hAnsi="Arial"/>
          <w:sz w:val="18"/>
          <w:szCs w:val="18"/>
          <w:color w:val="auto"/>
        </w:rPr>
        <w:t>Date: August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P</w:t>
      </w:r>
      <w:r>
        <w:rPr>
          <w:rFonts w:ascii="Arial" w:cs="Arial" w:eastAsia="Arial" w:hAnsi="Arial"/>
          <w:sz w:val="13"/>
          <w:szCs w:val="13"/>
          <w:color w:val="auto"/>
        </w:rPr>
        <w:t>ATRICIA</w:t>
      </w:r>
      <w:r>
        <w:rPr>
          <w:rFonts w:ascii="Arial" w:cs="Arial" w:eastAsia="Arial" w:hAnsi="Arial"/>
          <w:sz w:val="16"/>
          <w:szCs w:val="16"/>
          <w:color w:val="auto"/>
        </w:rPr>
        <w:t xml:space="preserve"> G</w:t>
      </w:r>
      <w:r>
        <w:rPr>
          <w:rFonts w:ascii="Arial" w:cs="Arial" w:eastAsia="Arial" w:hAnsi="Arial"/>
          <w:sz w:val="13"/>
          <w:szCs w:val="13"/>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2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5940" w:val="left"/>
          <w:tab w:leader="none" w:pos="8040" w:val="left"/>
        </w:tabs>
        <w:rPr>
          <w:sz w:val="20"/>
          <w:szCs w:val="20"/>
          <w:color w:val="auto"/>
        </w:rPr>
      </w:pPr>
      <w:r>
        <w:rPr>
          <w:rFonts w:ascii="Arial" w:cs="Arial" w:eastAsia="Arial" w:hAnsi="Arial"/>
          <w:sz w:val="18"/>
          <w:szCs w:val="18"/>
          <w:color w:val="auto"/>
        </w:rPr>
        <w:t>Date:August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20"/>
        <w:spacing w:after="0"/>
        <w:rPr>
          <w:sz w:val="20"/>
          <w:szCs w:val="20"/>
          <w:color w:val="auto"/>
        </w:rPr>
      </w:pPr>
      <w:r>
        <w:rPr>
          <w:rFonts w:ascii="Arial" w:cs="Arial" w:eastAsia="Arial" w:hAnsi="Arial"/>
          <w:sz w:val="14"/>
          <w:szCs w:val="14"/>
          <w:b w:val="1"/>
          <w:bCs w:val="1"/>
          <w:color w:val="auto"/>
        </w:rPr>
        <w:t>Jack Ferguson</w:t>
      </w:r>
    </w:p>
    <w:p>
      <w:pPr>
        <w:jc w:val="center"/>
        <w:ind w:left="6420"/>
        <w:spacing w:after="0" w:line="223" w:lineRule="auto"/>
        <w:rPr>
          <w:sz w:val="20"/>
          <w:szCs w:val="20"/>
          <w:color w:val="auto"/>
        </w:rPr>
      </w:pPr>
      <w:r>
        <w:rPr>
          <w:rFonts w:ascii="Arial" w:cs="Arial" w:eastAsia="Arial" w:hAnsi="Arial"/>
          <w:sz w:val="14"/>
          <w:szCs w:val="14"/>
          <w:b w:val="1"/>
          <w:bCs w:val="1"/>
          <w:color w:val="auto"/>
        </w:rPr>
        <w:t>Executive Vice President, Treasurer, and</w:t>
      </w:r>
    </w:p>
    <w:p>
      <w:pPr>
        <w:jc w:val="center"/>
        <w:ind w:left="642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10.2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PC Connection, Inc.</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Incentive Stock Option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Granted Under 2007 Stock Incentive Plan</w:t>
      </w:r>
    </w:p>
    <w:p>
      <w:pPr>
        <w:spacing w:after="0" w:line="20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90" w:lineRule="exact"/>
        <w:rPr>
          <w:sz w:val="20"/>
          <w:szCs w:val="20"/>
          <w:color w:val="auto"/>
        </w:rPr>
      </w:pPr>
    </w:p>
    <w:p>
      <w:pPr>
        <w:ind w:left="460"/>
        <w:spacing w:after="0"/>
        <w:tabs>
          <w:tab w:leader="none" w:pos="8440" w:val="left"/>
        </w:tabs>
        <w:rPr>
          <w:sz w:val="20"/>
          <w:szCs w:val="20"/>
          <w:color w:val="auto"/>
        </w:rPr>
      </w:pPr>
      <w:r>
        <w:rPr>
          <w:rFonts w:ascii="Arial" w:cs="Arial" w:eastAsia="Arial" w:hAnsi="Arial"/>
          <w:sz w:val="18"/>
          <w:szCs w:val="18"/>
          <w:color w:val="auto"/>
        </w:rPr>
        <w:t>This agreement evidences the grant by PC Connection, Inc., a Delaware corporation (the “Company”), on</w:t>
      </w:r>
      <w:r>
        <w:rPr>
          <w:sz w:val="20"/>
          <w:szCs w:val="20"/>
          <w:color w:val="auto"/>
        </w:rPr>
        <w:tab/>
      </w:r>
      <w:r>
        <w:rPr>
          <w:rFonts w:ascii="Arial" w:cs="Arial" w:eastAsia="Arial" w:hAnsi="Arial"/>
          <w:sz w:val="16"/>
          <w:szCs w:val="16"/>
          <w:color w:val="auto"/>
        </w:rPr>
        <w:t>, 200[ ] (the “Grant Date”)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-13970</wp:posOffset>
            </wp:positionV>
            <wp:extent cx="334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940" w:hanging="932"/>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an employee of the Company (the “Participant”), of an option to purchase, in whole or in part, on the terms provided herein and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-3175</wp:posOffset>
            </wp:positionV>
            <wp:extent cx="557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Arial" w:cs="Arial" w:eastAsia="Arial" w:hAnsi="Arial"/>
                <w:sz w:val="18"/>
                <w:szCs w:val="18"/>
                <w:color w:val="auto"/>
                <w:w w:val="90"/>
              </w:rPr>
              <w:t>2007 Stock Incentive Plan (the “Plan”), a total of [</w:t>
            </w:r>
          </w:p>
        </w:tc>
        <w:tc>
          <w:tcPr>
            <w:tcW w:w="7640" w:type="dxa"/>
            <w:vAlign w:val="bottom"/>
            <w:gridSpan w:val="4"/>
          </w:tcPr>
          <w:p>
            <w:pPr>
              <w:ind w:left="880"/>
              <w:spacing w:after="0"/>
              <w:rPr>
                <w:sz w:val="20"/>
                <w:szCs w:val="20"/>
                <w:color w:val="auto"/>
              </w:rPr>
            </w:pPr>
            <w:r>
              <w:rPr>
                <w:rFonts w:ascii="Arial" w:cs="Arial" w:eastAsia="Arial" w:hAnsi="Arial"/>
                <w:sz w:val="18"/>
                <w:szCs w:val="18"/>
                <w:color w:val="auto"/>
                <w:w w:val="88"/>
              </w:rPr>
              <w:t>] shares (the “Shares”) of common stock, $0.01 par value per share, of the Company (“Common</w:t>
            </w:r>
          </w:p>
        </w:tc>
      </w:tr>
      <w:tr>
        <w:trPr>
          <w:trHeight w:val="20"/>
        </w:trPr>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w w:val="90"/>
              </w:rPr>
              <w:t>Stock”) at $[</w:t>
            </w:r>
          </w:p>
        </w:tc>
        <w:tc>
          <w:tcPr>
            <w:tcW w:w="540" w:type="dxa"/>
            <w:vAlign w:val="bottom"/>
          </w:tcPr>
          <w:p>
            <w:pPr>
              <w:spacing w:after="0"/>
              <w:rPr>
                <w:sz w:val="17"/>
                <w:szCs w:val="17"/>
                <w:color w:val="auto"/>
              </w:rPr>
            </w:pPr>
          </w:p>
        </w:tc>
        <w:tc>
          <w:tcPr>
            <w:tcW w:w="7400" w:type="dxa"/>
            <w:vAlign w:val="bottom"/>
            <w:gridSpan w:val="4"/>
          </w:tcPr>
          <w:p>
            <w:pPr>
              <w:spacing w:after="0" w:line="196" w:lineRule="exact"/>
              <w:rPr>
                <w:sz w:val="20"/>
                <w:szCs w:val="20"/>
                <w:color w:val="auto"/>
              </w:rPr>
            </w:pPr>
            <w:r>
              <w:rPr>
                <w:rFonts w:ascii="Arial" w:cs="Arial" w:eastAsia="Arial" w:hAnsi="Arial"/>
                <w:sz w:val="18"/>
                <w:szCs w:val="18"/>
                <w:color w:val="auto"/>
                <w:w w:val="99"/>
              </w:rPr>
              <w:t>] per Share. Unless earlier terminated, this option shall expire at 5:00 p.m., Eastern time, on [</w:t>
            </w:r>
          </w:p>
        </w:tc>
        <w:tc>
          <w:tcPr>
            <w:tcW w:w="2360" w:type="dxa"/>
            <w:vAlign w:val="bottom"/>
          </w:tcPr>
          <w:p>
            <w:pPr>
              <w:spacing w:after="0" w:line="196" w:lineRule="exact"/>
              <w:rPr>
                <w:sz w:val="20"/>
                <w:szCs w:val="20"/>
                <w:color w:val="auto"/>
              </w:rPr>
            </w:pPr>
            <w:r>
              <w:rPr>
                <w:rFonts w:ascii="Arial" w:cs="Arial" w:eastAsia="Arial" w:hAnsi="Arial"/>
                <w:sz w:val="18"/>
                <w:szCs w:val="18"/>
                <w:color w:val="auto"/>
              </w:rPr>
              <w:t>] (the “Final Exercise Date”).</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It is intended that the option evidenced by this agreement shall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22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option will become exercisable (“vest”) as to [ ]% of the original number of Shares on the [ ] anniversary of the Grant Date and as to an additional [ ]% of the original number of Shares at the end of each successive [ ] period following the first anniversary of the Grant Date until the [ anniversary of the Grant Date.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10960" w:space="320"/>
            <w:col w:w="140"/>
          </w:cols>
          <w:pgMar w:left="240" w:top="131" w:right="239" w:bottom="1440" w:gutter="0" w:footer="0" w:header="0"/>
          <w:type w:val="continuous"/>
        </w:sectPr>
      </w:pPr>
    </w:p>
    <w:p>
      <w:pPr>
        <w:jc w:val="both"/>
        <w:ind w:right="120" w:firstLine="456"/>
        <w:spacing w:after="0" w:line="259"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6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380" w:firstLine="464"/>
        <w:spacing w:after="0" w:line="335" w:lineRule="auto"/>
        <w:tabs>
          <w:tab w:leader="none" w:pos="695"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Form of Exercise</w:t>
      </w:r>
      <w:r>
        <w:rPr>
          <w:rFonts w:ascii="Arial" w:cs="Arial" w:eastAsia="Arial" w:hAnsi="Arial"/>
          <w:sz w:val="15"/>
          <w:szCs w:val="15"/>
          <w:color w:val="auto"/>
        </w:rPr>
        <w:t xml:space="preserve">. Each election to exercise this option shall be by written notice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in writing,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88" w:lineRule="exact"/>
        <w:rPr>
          <w:rFonts w:ascii="Arial" w:cs="Arial" w:eastAsia="Arial" w:hAnsi="Arial"/>
          <w:sz w:val="15"/>
          <w:szCs w:val="15"/>
          <w:color w:val="auto"/>
        </w:rPr>
      </w:pPr>
    </w:p>
    <w:p>
      <w:pPr>
        <w:ind w:right="60" w:firstLine="464"/>
        <w:spacing w:after="0" w:line="306" w:lineRule="auto"/>
        <w:tabs>
          <w:tab w:leader="none" w:pos="705"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Continuous Relationship with the Company Required</w:t>
      </w:r>
      <w:r>
        <w:rPr>
          <w:rFonts w:ascii="Arial" w:cs="Arial" w:eastAsia="Arial" w:hAnsi="Arial"/>
          <w:sz w:val="16"/>
          <w:szCs w:val="16"/>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ectPr>
          <w:pgSz w:w="11900" w:h="16838" w:orient="portrait"/>
          <w:cols w:equalWidth="0" w:num="1">
            <w:col w:w="11420"/>
          </w:cols>
          <w:pgMar w:left="240" w:top="131" w:right="239" w:bottom="1440" w:gutter="0" w:footer="0" w:header="0"/>
          <w:type w:val="continuous"/>
        </w:sectPr>
      </w:pPr>
    </w:p>
    <w:bookmarkStart w:id="40" w:name="page41"/>
    <w:bookmarkEnd w:id="40"/>
    <w:p>
      <w:pPr>
        <w:ind w:left="-8" w:right="80" w:firstLine="464"/>
        <w:spacing w:after="0" w:line="291" w:lineRule="auto"/>
        <w:tabs>
          <w:tab w:leader="none" w:pos="68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Relationship with the Company</w:t>
      </w:r>
      <w:r>
        <w:rPr>
          <w:rFonts w:ascii="Arial" w:cs="Arial" w:eastAsia="Arial" w:hAnsi="Arial"/>
          <w:sz w:val="16"/>
          <w:szCs w:val="16"/>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written notice to the Participant from the Company describing such violation.</w:t>
      </w:r>
    </w:p>
    <w:p>
      <w:pPr>
        <w:spacing w:after="0" w:line="120" w:lineRule="exact"/>
        <w:rPr>
          <w:rFonts w:ascii="Arial" w:cs="Arial" w:eastAsia="Arial" w:hAnsi="Arial"/>
          <w:sz w:val="16"/>
          <w:szCs w:val="16"/>
          <w:color w:val="auto"/>
        </w:rPr>
      </w:pPr>
    </w:p>
    <w:p>
      <w:pPr>
        <w:ind w:left="-8" w:right="40" w:firstLine="464"/>
        <w:spacing w:after="0" w:line="294" w:lineRule="auto"/>
        <w:tabs>
          <w:tab w:leader="none" w:pos="69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15" w:lineRule="exact"/>
        <w:rPr>
          <w:rFonts w:ascii="Arial" w:cs="Arial" w:eastAsia="Arial" w:hAnsi="Arial"/>
          <w:sz w:val="16"/>
          <w:szCs w:val="16"/>
          <w:color w:val="auto"/>
        </w:rPr>
      </w:pPr>
    </w:p>
    <w:p>
      <w:pPr>
        <w:ind w:left="-8" w:firstLine="464"/>
        <w:spacing w:after="0" w:line="289" w:lineRule="auto"/>
        <w:tabs>
          <w:tab w:leader="none" w:pos="68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is terminated by the Company for Cause (as defined below), the right to exercise this option shall terminate immediately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239" w:lineRule="exact"/>
        <w:rPr>
          <w:rFonts w:ascii="Arial" w:cs="Arial" w:eastAsia="Arial" w:hAnsi="Arial"/>
          <w:sz w:val="16"/>
          <w:szCs w:val="16"/>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80" w:firstLine="464"/>
        <w:spacing w:after="0" w:line="332" w:lineRule="auto"/>
        <w:tabs>
          <w:tab w:leader="none" w:pos="68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85" w:lineRule="exact"/>
        <w:rPr>
          <w:rFonts w:ascii="Arial" w:cs="Arial" w:eastAsia="Arial" w:hAnsi="Arial"/>
          <w:sz w:val="16"/>
          <w:szCs w:val="16"/>
          <w:color w:val="auto"/>
        </w:rPr>
      </w:pPr>
    </w:p>
    <w:p>
      <w:pPr>
        <w:ind w:left="-8" w:right="40" w:firstLine="464"/>
        <w:spacing w:after="0" w:line="332" w:lineRule="auto"/>
        <w:tabs>
          <w:tab w:leader="none" w:pos="69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Disqualifying Disposition</w:t>
      </w:r>
      <w:r>
        <w:rPr>
          <w:rFonts w:ascii="Arial" w:cs="Arial" w:eastAsia="Arial" w:hAnsi="Arial"/>
          <w:sz w:val="16"/>
          <w:szCs w:val="16"/>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71" w:lineRule="exact"/>
        <w:rPr>
          <w:rFonts w:ascii="Arial" w:cs="Arial" w:eastAsia="Arial" w:hAnsi="Arial"/>
          <w:sz w:val="16"/>
          <w:szCs w:val="16"/>
          <w:color w:val="auto"/>
        </w:rPr>
      </w:pPr>
    </w:p>
    <w:p>
      <w:pPr>
        <w:ind w:left="5672" w:hanging="112"/>
        <w:spacing w:after="0"/>
        <w:tabs>
          <w:tab w:leader="none" w:pos="56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32"/>
          </w:cols>
          <w:pgMar w:left="248" w:top="280" w:right="319" w:bottom="1440" w:gutter="0" w:footer="0" w:header="0"/>
        </w:sectPr>
      </w:pPr>
    </w:p>
    <w:bookmarkStart w:id="41" w:name="page42"/>
    <w:bookmarkEnd w:id="41"/>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Option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20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option is subject to the provisions of the Plan, a copy of which is furnished to the Participant with this option.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WITNESS WHEREOF, the Company has caused this option to be executed under its corporate seal by its duly authorized officer. This option shall take effect as a sealed instrument.</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PC Connection,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wp:posOffset>
            </wp:positionV>
            <wp:extent cx="3181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wp:posOffset>
            </wp:positionV>
            <wp:extent cx="3181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42" w:name="page43"/>
    <w:bookmarkEnd w:id="4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ACCEPTANCE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2007 Stock Incentive Plan.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2540</wp:posOffset>
            </wp:positionV>
            <wp:extent cx="2495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173990</wp:posOffset>
            </wp:positionV>
            <wp:extent cx="2495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40"/>
          </w:cols>
          <w:pgMar w:left="240" w:top="280" w:right="519" w:bottom="1440" w:gutter="0" w:footer="0" w:header="0"/>
        </w:sectPr>
      </w:pPr>
    </w:p>
    <w:bookmarkStart w:id="43" w:name="page44"/>
    <w:bookmarkEnd w:id="4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NOTICE OF STOCK OPTION EXERCISE</w:t>
      </w:r>
    </w:p>
    <w:p>
      <w:pPr>
        <w:spacing w:after="0" w:line="17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Participant name and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the holder of an Incentive Stock Option granted to me under the PC Connection, Inc. (the “Company”) 2007 Stock Incentive Plan on __________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purchase of __________ shares of Common Stock of the Company at a purchase price of $__________ per share.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exercise my option to purchase _________ shares of Common Stock (the “Shares”), for which I have enclosed __________ in the amount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w w:val="93"/>
              </w:rPr>
              <w:t>$________. Please register my stock certificate as follows:</w:t>
            </w:r>
          </w:p>
        </w:tc>
        <w:tc>
          <w:tcPr>
            <w:tcW w:w="5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2"/>
        </w:trPr>
        <w:tc>
          <w:tcPr>
            <w:tcW w:w="1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20" w:type="dxa"/>
            <w:vAlign w:val="bottom"/>
            <w:gridSpan w:val="2"/>
          </w:tcPr>
          <w:p>
            <w:pPr>
              <w:ind w:left="200"/>
              <w:spacing w:after="0"/>
              <w:rPr>
                <w:sz w:val="20"/>
                <w:szCs w:val="20"/>
                <w:color w:val="auto"/>
              </w:rPr>
            </w:pPr>
            <w:r>
              <w:rPr>
                <w:rFonts w:ascii="Arial" w:cs="Arial" w:eastAsia="Arial" w:hAnsi="Arial"/>
                <w:sz w:val="18"/>
                <w:szCs w:val="18"/>
                <w:i w:val="1"/>
                <w:iCs w:val="1"/>
                <w:color w:val="auto"/>
              </w:rPr>
              <w:t>(check applicable box)</w:t>
            </w:r>
          </w:p>
        </w:tc>
      </w:tr>
      <w:tr>
        <w:trPr>
          <w:trHeight w:val="313"/>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Name(s):</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TEN COM</w:t>
            </w:r>
          </w:p>
        </w:tc>
      </w:tr>
      <w:tr>
        <w:trPr>
          <w:trHeight w:val="304"/>
        </w:trPr>
        <w:tc>
          <w:tcPr>
            <w:tcW w:w="1320" w:type="dxa"/>
            <w:vAlign w:val="bottom"/>
          </w:tcPr>
          <w:p>
            <w:pPr>
              <w:spacing w:after="0"/>
              <w:rPr>
                <w:sz w:val="24"/>
                <w:szCs w:val="24"/>
                <w:color w:val="auto"/>
              </w:rPr>
            </w:pPr>
          </w:p>
        </w:tc>
        <w:tc>
          <w:tcPr>
            <w:tcW w:w="3060" w:type="dxa"/>
            <w:vAlign w:val="bottom"/>
            <w:tcBorders>
              <w:top w:val="single" w:sz="8" w:color="auto"/>
              <w:bottom w:val="single" w:sz="8" w:color="auto"/>
            </w:tcBorders>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TEN ENT</w:t>
            </w:r>
          </w:p>
        </w:tc>
      </w:tr>
      <w:tr>
        <w:trPr>
          <w:trHeight w:val="304"/>
        </w:trPr>
        <w:tc>
          <w:tcPr>
            <w:tcW w:w="1320" w:type="dxa"/>
            <w:vAlign w:val="bottom"/>
          </w:tcPr>
          <w:p>
            <w:pPr>
              <w:ind w:left="460"/>
              <w:spacing w:after="0"/>
              <w:rPr>
                <w:sz w:val="20"/>
                <w:szCs w:val="20"/>
                <w:color w:val="auto"/>
              </w:rPr>
            </w:pPr>
            <w:r>
              <w:rPr>
                <w:rFonts w:ascii="Arial" w:cs="Arial" w:eastAsia="Arial" w:hAnsi="Arial"/>
                <w:sz w:val="18"/>
                <w:szCs w:val="18"/>
                <w:color w:val="auto"/>
              </w:rPr>
              <w:t>Address:</w:t>
            </w:r>
          </w:p>
        </w:tc>
        <w:tc>
          <w:tcPr>
            <w:tcW w:w="3060" w:type="dxa"/>
            <w:vAlign w:val="bottom"/>
            <w:tcBorders>
              <w:bottom w:val="single" w:sz="8" w:color="auto"/>
            </w:tcBorders>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JT TEN</w:t>
            </w:r>
          </w:p>
        </w:tc>
      </w:tr>
      <w:tr>
        <w:trPr>
          <w:trHeight w:val="304"/>
        </w:trPr>
        <w:tc>
          <w:tcPr>
            <w:tcW w:w="1320" w:type="dxa"/>
            <w:vAlign w:val="bottom"/>
          </w:tcPr>
          <w:p>
            <w:pPr>
              <w:ind w:left="460"/>
              <w:spacing w:after="0"/>
              <w:rPr>
                <w:sz w:val="20"/>
                <w:szCs w:val="20"/>
                <w:color w:val="auto"/>
              </w:rPr>
            </w:pPr>
            <w:r>
              <w:rPr>
                <w:rFonts w:ascii="Arial" w:cs="Arial" w:eastAsia="Arial" w:hAnsi="Arial"/>
                <w:sz w:val="18"/>
                <w:szCs w:val="18"/>
                <w:color w:val="auto"/>
              </w:rPr>
              <w:t>Tax I.D. #:</w:t>
            </w:r>
          </w:p>
        </w:tc>
        <w:tc>
          <w:tcPr>
            <w:tcW w:w="3060" w:type="dxa"/>
            <w:vAlign w:val="bottom"/>
            <w:tcBorders>
              <w:bottom w:val="single" w:sz="8" w:color="auto"/>
            </w:tcBorders>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w w:val="95"/>
              </w:rPr>
              <w:t>UNIF GIFT MIN ACT</w:t>
            </w:r>
          </w:p>
        </w:tc>
      </w:tr>
      <w:tr>
        <w:trPr>
          <w:trHeight w:val="370"/>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I represent, warrant and covenant as follows:</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56" w:lineRule="exact"/>
        <w:rPr>
          <w:sz w:val="20"/>
          <w:szCs w:val="20"/>
          <w:color w:val="auto"/>
        </w:rPr>
      </w:pPr>
    </w:p>
    <w:p>
      <w:pPr>
        <w:ind w:right="24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31" w:lineRule="exact"/>
        <w:rPr>
          <w:rFonts w:ascii="Arial" w:cs="Arial" w:eastAsia="Arial" w:hAnsi="Arial"/>
          <w:sz w:val="18"/>
          <w:szCs w:val="18"/>
          <w:color w:val="auto"/>
        </w:rPr>
      </w:pPr>
    </w:p>
    <w:p>
      <w:pPr>
        <w:ind w:right="50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20"/>
          </w:cols>
          <w:pgMar w:left="240" w:top="280" w:right="339" w:bottom="1440" w:gutter="0" w:footer="0" w:header="0"/>
        </w:sectPr>
      </w:pPr>
    </w:p>
    <w:bookmarkStart w:id="44" w:name="page45"/>
    <w:bookmarkEnd w:id="44"/>
    <w:p>
      <w:pPr>
        <w:ind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have sufficient experience in business, financial and investment matters to be able to evaluate the risks involved in the purchase of the Shares and to make an informed investment decision with respect to such purchase.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 period.</w:t>
      </w:r>
    </w:p>
    <w:p>
      <w:pPr>
        <w:spacing w:after="0" w:line="194" w:lineRule="exact"/>
        <w:rPr>
          <w:rFonts w:ascii="Arial" w:cs="Arial" w:eastAsia="Arial" w:hAnsi="Arial"/>
          <w:sz w:val="16"/>
          <w:szCs w:val="16"/>
          <w:color w:val="auto"/>
        </w:rPr>
      </w:pPr>
    </w:p>
    <w:p>
      <w:pPr>
        <w:ind w:right="80" w:firstLine="8"/>
        <w:spacing w:after="0" w:line="314" w:lineRule="auto"/>
        <w:tabs>
          <w:tab w:leader="none" w:pos="176" w:val="left"/>
        </w:tabs>
        <w:numPr>
          <w:ilvl w:val="0"/>
          <w:numId w:val="32"/>
        </w:numPr>
        <w:rPr>
          <w:rFonts w:ascii="Arial" w:cs="Arial" w:eastAsia="Arial" w:hAnsi="Arial"/>
          <w:sz w:val="15"/>
          <w:szCs w:val="15"/>
          <w:color w:val="auto"/>
        </w:rPr>
      </w:pPr>
      <w:r>
        <w:rPr>
          <w:rFonts w:ascii="Arial" w:cs="Arial" w:eastAsia="Arial" w:hAnsi="Arial"/>
          <w:sz w:val="15"/>
          <w:szCs w:val="15"/>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20"/>
          </w:cols>
          <w:pgMar w:left="240" w:top="28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10.3</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PC Connection, Inc.</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Nonstatutory Stock Option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Granted Under 2007 Stock Incentive Plan</w:t>
      </w:r>
    </w:p>
    <w:p>
      <w:pPr>
        <w:spacing w:after="0" w:line="20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90" w:lineRule="exact"/>
        <w:rPr>
          <w:sz w:val="20"/>
          <w:szCs w:val="20"/>
          <w:color w:val="auto"/>
        </w:rPr>
      </w:pPr>
    </w:p>
    <w:p>
      <w:pPr>
        <w:ind w:left="460"/>
        <w:spacing w:after="0"/>
        <w:tabs>
          <w:tab w:leader="none" w:pos="8440" w:val="left"/>
        </w:tabs>
        <w:rPr>
          <w:sz w:val="20"/>
          <w:szCs w:val="20"/>
          <w:color w:val="auto"/>
        </w:rPr>
      </w:pPr>
      <w:r>
        <w:rPr>
          <w:rFonts w:ascii="Arial" w:cs="Arial" w:eastAsia="Arial" w:hAnsi="Arial"/>
          <w:sz w:val="18"/>
          <w:szCs w:val="18"/>
          <w:color w:val="auto"/>
        </w:rPr>
        <w:t>This agreement evidences the grant by PC Connection, Inc., a Delaware corporation (the “Company”), on</w:t>
      </w:r>
      <w:r>
        <w:rPr>
          <w:sz w:val="20"/>
          <w:szCs w:val="20"/>
          <w:color w:val="auto"/>
        </w:rPr>
        <w:tab/>
      </w:r>
      <w:r>
        <w:rPr>
          <w:rFonts w:ascii="Arial" w:cs="Arial" w:eastAsia="Arial" w:hAnsi="Arial"/>
          <w:sz w:val="16"/>
          <w:szCs w:val="16"/>
          <w:color w:val="auto"/>
        </w:rPr>
        <w:t>, 200[ ] (the “Grant Date”)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-13970</wp:posOffset>
            </wp:positionV>
            <wp:extent cx="334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940" w:hanging="932"/>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an [employee], [consultant], [director] of the Company (the “Participant”), of an option to purchase, in whole or in part, on the terms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-3175</wp:posOffset>
            </wp:positionV>
            <wp:extent cx="557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620" w:type="dxa"/>
            <w:vAlign w:val="bottom"/>
            <w:gridSpan w:val="4"/>
          </w:tcPr>
          <w:p>
            <w:pPr>
              <w:spacing w:after="0"/>
              <w:rPr>
                <w:sz w:val="20"/>
                <w:szCs w:val="20"/>
                <w:color w:val="auto"/>
              </w:rPr>
            </w:pPr>
            <w:r>
              <w:rPr>
                <w:rFonts w:ascii="Arial" w:cs="Arial" w:eastAsia="Arial" w:hAnsi="Arial"/>
                <w:sz w:val="18"/>
                <w:szCs w:val="18"/>
                <w:color w:val="auto"/>
                <w:w w:val="89"/>
              </w:rPr>
              <w:t>herein and in the Company’s 2007 Stock Incentive Plan (the “Plan”), a total of [</w:t>
            </w:r>
          </w:p>
        </w:tc>
        <w:tc>
          <w:tcPr>
            <w:tcW w:w="880" w:type="dxa"/>
            <w:vAlign w:val="bottom"/>
            <w:tcBorders>
              <w:bottom w:val="single" w:sz="8" w:color="auto"/>
            </w:tcBorders>
          </w:tcPr>
          <w:p>
            <w:pPr>
              <w:spacing w:after="0"/>
              <w:rPr>
                <w:sz w:val="17"/>
                <w:szCs w:val="17"/>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w w:val="87"/>
              </w:rPr>
              <w:t>] shares (the “Shares”) of common stock, $0.01 par value per share,</w:t>
            </w:r>
          </w:p>
        </w:tc>
      </w:tr>
      <w:tr>
        <w:trPr>
          <w:trHeight w:val="196"/>
        </w:trPr>
        <w:tc>
          <w:tcPr>
            <w:tcW w:w="2920" w:type="dxa"/>
            <w:vAlign w:val="bottom"/>
          </w:tcPr>
          <w:p>
            <w:pPr>
              <w:spacing w:after="0" w:line="196" w:lineRule="exact"/>
              <w:rPr>
                <w:sz w:val="20"/>
                <w:szCs w:val="20"/>
                <w:color w:val="auto"/>
              </w:rPr>
            </w:pPr>
            <w:r>
              <w:rPr>
                <w:rFonts w:ascii="Arial" w:cs="Arial" w:eastAsia="Arial" w:hAnsi="Arial"/>
                <w:sz w:val="18"/>
                <w:szCs w:val="18"/>
                <w:color w:val="auto"/>
                <w:w w:val="90"/>
              </w:rPr>
              <w:t>of the Company (“Common Stock”) at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40" w:type="dxa"/>
            <w:vAlign w:val="bottom"/>
            <w:gridSpan w:val="3"/>
          </w:tcPr>
          <w:p>
            <w:pPr>
              <w:spacing w:after="0" w:line="196" w:lineRule="exact"/>
              <w:rPr>
                <w:sz w:val="20"/>
                <w:szCs w:val="20"/>
                <w:color w:val="auto"/>
              </w:rPr>
            </w:pPr>
            <w:r>
              <w:rPr>
                <w:rFonts w:ascii="Arial" w:cs="Arial" w:eastAsia="Arial" w:hAnsi="Arial"/>
                <w:sz w:val="18"/>
                <w:szCs w:val="18"/>
                <w:color w:val="auto"/>
                <w:w w:val="88"/>
              </w:rPr>
              <w:t>] per Share. Unless earlier terminated, this option shall expire at 5:00 p.m., Eastern time, on [</w:t>
            </w:r>
          </w:p>
        </w:tc>
        <w:tc>
          <w:tcPr>
            <w:tcW w:w="440" w:type="dxa"/>
            <w:vAlign w:val="bottom"/>
          </w:tcPr>
          <w:p>
            <w:pPr>
              <w:spacing w:after="0"/>
              <w:rPr>
                <w:sz w:val="17"/>
                <w:szCs w:val="17"/>
                <w:color w:val="auto"/>
              </w:rPr>
            </w:pPr>
          </w:p>
        </w:tc>
        <w:tc>
          <w:tcPr>
            <w:tcW w:w="82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87"/>
              </w:rPr>
              <w:t>] (the</w:t>
            </w:r>
          </w:p>
        </w:tc>
      </w:tr>
      <w:tr>
        <w:trPr>
          <w:trHeight w:val="235"/>
        </w:trPr>
        <w:tc>
          <w:tcPr>
            <w:tcW w:w="2920" w:type="dxa"/>
            <w:vAlign w:val="bottom"/>
          </w:tcPr>
          <w:p>
            <w:pPr>
              <w:spacing w:after="0"/>
              <w:rPr>
                <w:sz w:val="20"/>
                <w:szCs w:val="20"/>
                <w:color w:val="auto"/>
              </w:rPr>
            </w:pPr>
            <w:r>
              <w:rPr>
                <w:rFonts w:ascii="Arial" w:cs="Arial" w:eastAsia="Arial" w:hAnsi="Arial"/>
                <w:sz w:val="18"/>
                <w:szCs w:val="18"/>
                <w:color w:val="auto"/>
              </w:rPr>
              <w:t>“Final Exercise Date”).</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22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option will become exercisable (“vest”) as to [ ]% of the original number of Shares on the [ ] anniversary of the Grant Date and as to an additional [ ] % of the original number of Shares at the end of each successive [ ] period following the first anniversary of the Grant Date until the [ anniversary of the Grant Date.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10980" w:space="340"/>
            <w:col w:w="100"/>
          </w:cols>
          <w:pgMar w:left="240" w:top="131" w:right="239" w:bottom="1440" w:gutter="0" w:footer="0" w:header="0"/>
          <w:type w:val="continuous"/>
        </w:sectPr>
      </w:pPr>
    </w:p>
    <w:p>
      <w:pPr>
        <w:jc w:val="both"/>
        <w:ind w:right="120" w:firstLine="456"/>
        <w:spacing w:after="0" w:line="259"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6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64"/>
        <w:spacing w:after="0" w:line="306"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Form of Exercise</w:t>
      </w:r>
      <w:r>
        <w:rPr>
          <w:rFonts w:ascii="Arial" w:cs="Arial" w:eastAsia="Arial" w:hAnsi="Arial"/>
          <w:sz w:val="16"/>
          <w:szCs w:val="16"/>
          <w:color w:val="auto"/>
        </w:rPr>
        <w:t xml:space="preserve">. Each election to exercise this option shall be by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06" w:lineRule="exact"/>
        <w:rPr>
          <w:rFonts w:ascii="Arial" w:cs="Arial" w:eastAsia="Arial" w:hAnsi="Arial"/>
          <w:sz w:val="16"/>
          <w:szCs w:val="16"/>
          <w:color w:val="auto"/>
        </w:rPr>
      </w:pPr>
    </w:p>
    <w:p>
      <w:pPr>
        <w:jc w:val="both"/>
        <w:ind w:right="340" w:firstLine="464"/>
        <w:spacing w:after="0" w:line="256"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“Eligible Participant”).</w:t>
      </w:r>
    </w:p>
    <w:p>
      <w:pPr>
        <w:sectPr>
          <w:pgSz w:w="11900" w:h="16838" w:orient="portrait"/>
          <w:cols w:equalWidth="0" w:num="1">
            <w:col w:w="11420"/>
          </w:cols>
          <w:pgMar w:left="240" w:top="131" w:right="239" w:bottom="1440" w:gutter="0" w:footer="0" w:header="0"/>
          <w:type w:val="continuous"/>
        </w:sectPr>
      </w:pPr>
    </w:p>
    <w:bookmarkStart w:id="46" w:name="page47"/>
    <w:bookmarkEnd w:id="46"/>
    <w:p>
      <w:pPr>
        <w:ind w:right="120" w:firstLine="464"/>
        <w:spacing w:after="0" w:line="291" w:lineRule="auto"/>
        <w:tabs>
          <w:tab w:leader="none" w:pos="69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Relationship with the Company</w:t>
      </w:r>
      <w:r>
        <w:rPr>
          <w:rFonts w:ascii="Arial" w:cs="Arial" w:eastAsia="Arial" w:hAnsi="Arial"/>
          <w:sz w:val="16"/>
          <w:szCs w:val="16"/>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written notice to the Participant from the Company describing such violation.</w:t>
      </w:r>
    </w:p>
    <w:p>
      <w:pPr>
        <w:spacing w:after="0" w:line="120" w:lineRule="exact"/>
        <w:rPr>
          <w:rFonts w:ascii="Arial" w:cs="Arial" w:eastAsia="Arial" w:hAnsi="Arial"/>
          <w:sz w:val="16"/>
          <w:szCs w:val="16"/>
          <w:color w:val="auto"/>
        </w:rPr>
      </w:pPr>
    </w:p>
    <w:p>
      <w:pPr>
        <w:ind w:right="80" w:firstLine="464"/>
        <w:spacing w:after="0" w:line="294" w:lineRule="auto"/>
        <w:tabs>
          <w:tab w:leader="none" w:pos="70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15" w:lineRule="exact"/>
        <w:rPr>
          <w:rFonts w:ascii="Arial" w:cs="Arial" w:eastAsia="Arial" w:hAnsi="Arial"/>
          <w:sz w:val="16"/>
          <w:szCs w:val="16"/>
          <w:color w:val="auto"/>
        </w:rPr>
      </w:pPr>
    </w:p>
    <w:p>
      <w:pPr>
        <w:ind w:firstLine="464"/>
        <w:spacing w:after="0" w:line="289" w:lineRule="auto"/>
        <w:tabs>
          <w:tab w:leader="none" w:pos="69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No Shares will be issued pursuant to the exercise of this option unless and until the Participant pays to the Company, or makes provision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for payment of, any federal, state or local withholding taxes required by law to be withheld in respect of this option.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7" w:name="page48"/>
    <w:bookmarkEnd w:id="47"/>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Option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20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option is subject to the provisions of the Plan, a copy of which is furnished to the Participant with this option.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WITNESS WHEREOF, the Company has caused this option to be executed under its corporate seal by its duly authorized officer. This option shall take effect as a sealed instrument.</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PC Connection,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502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wp:posOffset>
            </wp:positionV>
            <wp:extent cx="3181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wp:posOffset>
            </wp:positionV>
            <wp:extent cx="3181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8" w:name="page49"/>
    <w:bookmarkEnd w:id="48"/>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ACCEPTANCE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2007 Stock Incentive Plan.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2540</wp:posOffset>
            </wp:positionV>
            <wp:extent cx="24955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173990</wp:posOffset>
            </wp:positionV>
            <wp:extent cx="24955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280" w:right="519" w:bottom="1440" w:gutter="0" w:footer="0" w:header="0"/>
        </w:sectPr>
      </w:pPr>
    </w:p>
    <w:bookmarkStart w:id="49" w:name="page50"/>
    <w:bookmarkEnd w:id="49"/>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NOTICE OF STOCK OPTION EXERCISE</w:t>
      </w:r>
    </w:p>
    <w:p>
      <w:pPr>
        <w:spacing w:after="0" w:line="17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Participant name and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the holder of a Nonstatutory Stock Option granted to me under the PC Connection, Inc. (the “Company”) 2007 Stock Incentive Plan on __________</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purchase of __________ shares of Common Stock of the Company at a purchase price of $__________ per share.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exercise my option to purchase _________ shares of Common Stock (the “Shares”), for which I have enclosed __________ in the amount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w w:val="93"/>
              </w:rPr>
              <w:t>$________. Please register my stock certificate as follows:</w:t>
            </w:r>
          </w:p>
        </w:tc>
        <w:tc>
          <w:tcPr>
            <w:tcW w:w="5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2"/>
        </w:trPr>
        <w:tc>
          <w:tcPr>
            <w:tcW w:w="1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20" w:type="dxa"/>
            <w:vAlign w:val="bottom"/>
            <w:gridSpan w:val="2"/>
          </w:tcPr>
          <w:p>
            <w:pPr>
              <w:ind w:left="200"/>
              <w:spacing w:after="0"/>
              <w:rPr>
                <w:sz w:val="20"/>
                <w:szCs w:val="20"/>
                <w:color w:val="auto"/>
              </w:rPr>
            </w:pPr>
            <w:r>
              <w:rPr>
                <w:rFonts w:ascii="Arial" w:cs="Arial" w:eastAsia="Arial" w:hAnsi="Arial"/>
                <w:sz w:val="18"/>
                <w:szCs w:val="18"/>
                <w:i w:val="1"/>
                <w:iCs w:val="1"/>
                <w:color w:val="auto"/>
              </w:rPr>
              <w:t>(check applicable box)</w:t>
            </w:r>
          </w:p>
        </w:tc>
      </w:tr>
      <w:tr>
        <w:trPr>
          <w:trHeight w:val="313"/>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Name(s):</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TEN COM</w:t>
            </w:r>
          </w:p>
        </w:tc>
      </w:tr>
      <w:tr>
        <w:trPr>
          <w:trHeight w:val="304"/>
        </w:trPr>
        <w:tc>
          <w:tcPr>
            <w:tcW w:w="1320" w:type="dxa"/>
            <w:vAlign w:val="bottom"/>
          </w:tcPr>
          <w:p>
            <w:pPr>
              <w:spacing w:after="0"/>
              <w:rPr>
                <w:sz w:val="24"/>
                <w:szCs w:val="24"/>
                <w:color w:val="auto"/>
              </w:rPr>
            </w:pPr>
          </w:p>
        </w:tc>
        <w:tc>
          <w:tcPr>
            <w:tcW w:w="3060" w:type="dxa"/>
            <w:vAlign w:val="bottom"/>
            <w:tcBorders>
              <w:top w:val="single" w:sz="8" w:color="auto"/>
              <w:bottom w:val="single" w:sz="8" w:color="auto"/>
            </w:tcBorders>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TEN ENT</w:t>
            </w:r>
          </w:p>
        </w:tc>
      </w:tr>
      <w:tr>
        <w:trPr>
          <w:trHeight w:val="304"/>
        </w:trPr>
        <w:tc>
          <w:tcPr>
            <w:tcW w:w="1320" w:type="dxa"/>
            <w:vAlign w:val="bottom"/>
          </w:tcPr>
          <w:p>
            <w:pPr>
              <w:ind w:left="460"/>
              <w:spacing w:after="0"/>
              <w:rPr>
                <w:sz w:val="20"/>
                <w:szCs w:val="20"/>
                <w:color w:val="auto"/>
              </w:rPr>
            </w:pPr>
            <w:r>
              <w:rPr>
                <w:rFonts w:ascii="Arial" w:cs="Arial" w:eastAsia="Arial" w:hAnsi="Arial"/>
                <w:sz w:val="18"/>
                <w:szCs w:val="18"/>
                <w:color w:val="auto"/>
              </w:rPr>
              <w:t>Address:</w:t>
            </w:r>
          </w:p>
        </w:tc>
        <w:tc>
          <w:tcPr>
            <w:tcW w:w="3060" w:type="dxa"/>
            <w:vAlign w:val="bottom"/>
            <w:tcBorders>
              <w:bottom w:val="single" w:sz="8" w:color="auto"/>
            </w:tcBorders>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JT TEN</w:t>
            </w:r>
          </w:p>
        </w:tc>
      </w:tr>
      <w:tr>
        <w:trPr>
          <w:trHeight w:val="304"/>
        </w:trPr>
        <w:tc>
          <w:tcPr>
            <w:tcW w:w="1320" w:type="dxa"/>
            <w:vAlign w:val="bottom"/>
          </w:tcPr>
          <w:p>
            <w:pPr>
              <w:ind w:left="460"/>
              <w:spacing w:after="0"/>
              <w:rPr>
                <w:sz w:val="20"/>
                <w:szCs w:val="20"/>
                <w:color w:val="auto"/>
              </w:rPr>
            </w:pPr>
            <w:r>
              <w:rPr>
                <w:rFonts w:ascii="Arial" w:cs="Arial" w:eastAsia="Arial" w:hAnsi="Arial"/>
                <w:sz w:val="18"/>
                <w:szCs w:val="18"/>
                <w:color w:val="auto"/>
              </w:rPr>
              <w:t>Tax I.D. #:</w:t>
            </w:r>
          </w:p>
        </w:tc>
        <w:tc>
          <w:tcPr>
            <w:tcW w:w="3060" w:type="dxa"/>
            <w:vAlign w:val="bottom"/>
            <w:tcBorders>
              <w:bottom w:val="single" w:sz="8" w:color="auto"/>
            </w:tcBorders>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w w:val="95"/>
              </w:rPr>
              <w:t>UNIF GIFT MIN ACT</w:t>
            </w:r>
          </w:p>
        </w:tc>
      </w:tr>
      <w:tr>
        <w:trPr>
          <w:trHeight w:val="370"/>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I represent, warrant and covenant as follows:</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56" w:lineRule="exact"/>
        <w:rPr>
          <w:sz w:val="20"/>
          <w:szCs w:val="20"/>
          <w:color w:val="auto"/>
        </w:rPr>
      </w:pPr>
    </w:p>
    <w:p>
      <w:pPr>
        <w:ind w:right="180" w:firstLine="8"/>
        <w:spacing w:after="0" w:line="268"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31" w:lineRule="exact"/>
        <w:rPr>
          <w:rFonts w:ascii="Arial" w:cs="Arial" w:eastAsia="Arial" w:hAnsi="Arial"/>
          <w:sz w:val="18"/>
          <w:szCs w:val="18"/>
          <w:color w:val="auto"/>
        </w:rPr>
      </w:pPr>
    </w:p>
    <w:p>
      <w:pPr>
        <w:ind w:right="440" w:firstLine="8"/>
        <w:spacing w:after="0" w:line="268"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80" w:right="399" w:bottom="1440" w:gutter="0" w:footer="0" w:header="0"/>
        </w:sectPr>
      </w:pPr>
    </w:p>
    <w:bookmarkStart w:id="50" w:name="page51"/>
    <w:bookmarkEnd w:id="50"/>
    <w:p>
      <w:pPr>
        <w:ind w:firstLine="8"/>
        <w:spacing w:after="0" w:line="268"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have sufficient experience in business, financial and investment matters to be able to evaluate the risks involved in the purchase of the Shares and to make an informed investment decision with respect to such purchase.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 period.</w:t>
      </w:r>
    </w:p>
    <w:p>
      <w:pPr>
        <w:spacing w:after="0" w:line="194" w:lineRule="exact"/>
        <w:rPr>
          <w:rFonts w:ascii="Arial" w:cs="Arial" w:eastAsia="Arial" w:hAnsi="Arial"/>
          <w:sz w:val="16"/>
          <w:szCs w:val="16"/>
          <w:color w:val="auto"/>
        </w:rPr>
      </w:pPr>
    </w:p>
    <w:p>
      <w:pPr>
        <w:ind w:right="80" w:firstLine="8"/>
        <w:spacing w:after="0" w:line="314" w:lineRule="auto"/>
        <w:tabs>
          <w:tab w:leader="none" w:pos="176" w:val="left"/>
        </w:tabs>
        <w:numPr>
          <w:ilvl w:val="0"/>
          <w:numId w:val="42"/>
        </w:numPr>
        <w:rPr>
          <w:rFonts w:ascii="Arial" w:cs="Arial" w:eastAsia="Arial" w:hAnsi="Arial"/>
          <w:sz w:val="15"/>
          <w:szCs w:val="15"/>
          <w:color w:val="auto"/>
        </w:rPr>
      </w:pPr>
      <w:r>
        <w:rPr>
          <w:rFonts w:ascii="Arial" w:cs="Arial" w:eastAsia="Arial" w:hAnsi="Arial"/>
          <w:sz w:val="15"/>
          <w:szCs w:val="15"/>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PC Connection,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Stock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terms and conditions of the award of shares of restricted common stock of the Company (the “Restricted Shares”) made to the Recipient, as set forth on the cover page of this Agreement, are as follows:</w:t>
      </w:r>
    </w:p>
    <w:p>
      <w:pPr>
        <w:spacing w:after="0" w:line="132"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Issuance of Restricted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940" w:firstLine="443"/>
        <w:spacing w:after="0" w:line="268" w:lineRule="auto"/>
        <w:tabs>
          <w:tab w:leader="none" w:pos="113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Restricted Shares are issued to the Recipient, effective as of the Grant Date (as set forth on the cover page of this Agreement), in consideration of employment services rendered and to be rendered by the Recipient to the Company.</w:t>
      </w:r>
    </w:p>
    <w:p>
      <w:pPr>
        <w:spacing w:after="0" w:line="50" w:lineRule="exact"/>
        <w:rPr>
          <w:rFonts w:ascii="Arial" w:cs="Arial" w:eastAsia="Arial" w:hAnsi="Arial"/>
          <w:sz w:val="18"/>
          <w:szCs w:val="18"/>
          <w:color w:val="auto"/>
        </w:rPr>
      </w:pPr>
    </w:p>
    <w:p>
      <w:pPr>
        <w:ind w:left="460" w:right="480" w:firstLine="443"/>
        <w:spacing w:after="0" w:line="294" w:lineRule="auto"/>
        <w:tabs>
          <w:tab w:leader="none" w:pos="114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As promptly as practicable following the Grant Date, the Company shall issue one or more certificates in the name of the Recipient for the Restricted Shares. Such certificate(s) shall initially be held on behalf of the Recipient by the Secretary of the Company. Following the vesting of any Restricted Shares pursuant to Section 2 below, the Secretary shall, if requested by the Recipient, deliver to the Recipient a certificate representing the vested Restricted Shares. The Recipient agrees that the Restricted Shares shall be subject to the forfeiture provisions set forth in Section 3 of this Agreement and the restrictions on transfer set forth in Section 4 of this Agreement.</w:t>
      </w:r>
    </w:p>
    <w:p>
      <w:pPr>
        <w:spacing w:after="0" w:line="115" w:lineRule="exact"/>
        <w:rPr>
          <w:rFonts w:ascii="Arial" w:cs="Arial" w:eastAsia="Arial" w:hAnsi="Arial"/>
          <w:sz w:val="16"/>
          <w:szCs w:val="16"/>
          <w:color w:val="auto"/>
        </w:rPr>
      </w:pPr>
    </w:p>
    <w:p>
      <w:pPr>
        <w:ind w:right="140" w:firstLine="464"/>
        <w:spacing w:after="0" w:line="259"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xml:space="preserve"> Unless otherwise provided in this Agreement or the Plan, the Restricted Shares shall vest in accordance with the vesting schedule set forth on Schedule A attached hereto. Any fractional number of Restricted Shares resulting from the application of the foregoing percentages shall be rounded down to the nearest whole number of Restricted Shares.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Forfeiture of Unvested Restricted Shares Upon Employment Termination</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event that the Recipient ceases to be employed by the Company for any reason or no reason, with or without cause all of the Restricted Shares that are unvested as of the time of such employment termination shall be forfeited immediately and automatically to the Company, without the payment of any consideration to the Recipient, effective as of such termination of employment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Recipient hereby authorizes the Company to take any actions necessary or appropriate to cancel any certificate(s) representing forfeited Restricted Shares and transfer ownership of such forfeited Restricted Shares to the Company; and if the Company or its transfer agent requires an executed stock power or similar confirmatory instrument in connection with such cancellation and transfer, the Recipient shall promptly execute and deliver the same to the Company. The Recipient shall have no further rights with respect to any Restricted Shares that are so forfeited. If the Recipient is employed by a subsidiary of the Company, any references in this Agreement to employment with the Company shall instead be deemed to refer to employment with such subsidiary.</w:t>
      </w:r>
    </w:p>
    <w:p>
      <w:pPr>
        <w:sectPr>
          <w:pgSz w:w="11900" w:h="16838" w:orient="portrait"/>
          <w:cols w:equalWidth="0" w:num="1">
            <w:col w:w="11420"/>
          </w:cols>
          <w:pgMar w:left="240" w:top="131" w:right="239" w:bottom="1440" w:gutter="0" w:footer="0" w:header="0"/>
        </w:sectPr>
      </w:pPr>
    </w:p>
    <w:bookmarkStart w:id="52" w:name="page53"/>
    <w:bookmarkEnd w:id="52"/>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Restrictions on Transfer</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Recipient shall not sell, assign, transfer, pledge, hypothecate or otherwise dispose of, by operation of law or otherwise (collectively “transfer”) any Restricted Shares, or any interest therein, until such Restricted Shares have vested, except that the Recipient may transfer such Restricted Shares: (a) to or for the benefit of any spouse, children, parents, uncles, aunts, siblings, grandchildren and any other relatives approved by the Compensation Committee (collectively, “Approved Relatives”) or to a trust established solely for the benefit of the Recipient and/or Approved Relatives,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Restricted Shares shall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 or (b) as part of the sale of all or substantially all of the shares of capital stock of the Company (including pursuant to a merger or consolidation); provided that the securities or other property received by the Participant in connection with such transaction shall remain subject to this Agreement. The Company shall not be required (i) to transfer on its books any of the Restricted Shares which have been transferred in violation of any of the provisions of this Agreement or (ii) to treat as owner of such Restricted Shares or to pay dividends to any transferee to whom such Restricted Shares have been transferred in violation of any of the provisions of this Agreement.</w:t>
      </w:r>
    </w:p>
    <w:p>
      <w:pPr>
        <w:spacing w:after="0" w:line="127"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Restrictive Legends</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certificates representing Restricted Shares shall have affixed thereto a legend in substantially the following form, in addition to any other legends that may be required under applicable law:</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“These shares of stock are subject to forfeiture provisions and restrictions on transfer set forth in a certain Restricted Stock Agreement between the corporation and the registered owner of these shares (or his or her predecessor in interest), and such Agreement is available for inspection without charge at the office of the Secretary of the corporation.”</w:t>
      </w:r>
    </w:p>
    <w:p>
      <w:pPr>
        <w:spacing w:after="0" w:line="140"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Except as otherwise provided in this Agreement, for so long as the Recipient is the registered owner of the Restricted Shares, the Recipient shall have all rights as a shareholder with respect to the Restricted Shares, whether vested or unvested, including, without limitation, any rights to receive dividends and distributions with respect to the Restricted Shares and to vote the Restricted Shares and act in respect of the Restricted Shares at any meeting of shareholders. If any such dividends or distributions are paid in shares, or consist of a dividend or distribution to holders of common stock other than a ordinary cash dividend, the shares, cash or other property will be subject to the same restrictions on transferability and forfeitability as the Restricted Shares with respect to which they were paid.</w:t>
      </w:r>
    </w:p>
    <w:p>
      <w:pPr>
        <w:spacing w:after="0" w:line="144"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is subject to the provisions of the Plan, a copy of which is furnished to the Recipient with this Agreement.</w:t>
      </w:r>
    </w:p>
    <w:p>
      <w:pPr>
        <w:sectPr>
          <w:pgSz w:w="11900" w:h="16838" w:orient="portrait"/>
          <w:cols w:equalWidth="0" w:num="1">
            <w:col w:w="11420"/>
          </w:cols>
          <w:pgMar w:left="240" w:top="280" w:right="239" w:bottom="1440" w:gutter="0" w:footer="0" w:header="0"/>
        </w:sectPr>
      </w:pPr>
    </w:p>
    <w:bookmarkStart w:id="53" w:name="page54"/>
    <w:bookmarkEnd w:id="53"/>
    <w:p>
      <w:pPr>
        <w:ind w:left="176" w:hanging="176"/>
        <w:spacing w:after="0"/>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Matters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80" w:firstLine="443"/>
        <w:spacing w:after="0" w:line="290" w:lineRule="auto"/>
        <w:tabs>
          <w:tab w:leader="none" w:pos="67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Acknowledgments; Section 83(b) Election</w:t>
      </w:r>
      <w:r>
        <w:rPr>
          <w:rFonts w:ascii="Arial" w:cs="Arial" w:eastAsia="Arial" w:hAnsi="Arial"/>
          <w:sz w:val="16"/>
          <w:szCs w:val="16"/>
          <w:color w:val="auto"/>
        </w:rPr>
        <w:t>. The Recipient acknowledges that he or she is responsible obtaining the advice of the Recipient’s own tax advisors with respect to the acquisition of the Restricted Shares and the Recipient is relying solely on such advisors and not on any statements or representations of the Company or any of its agents with respect to the tax consequences relating to the Restricted Shares. The Recipient understands that the Recipient (and not the Company) shall be responsible for the Recipient’s tax liability that may arise in connection with the acquisition, vesting and/or disposition of the Restricted Shares. The Recipient acknowledges that he or she has been informed of the availability of making an election under Section 83(b) of the Internal Revenue Code, as amended, with respect to the issuance of the Restricted Shares and that the Recipient has decided not to file a Section 83(b) election.</w:t>
      </w:r>
    </w:p>
    <w:p>
      <w:pPr>
        <w:spacing w:after="0" w:line="37" w:lineRule="exact"/>
        <w:rPr>
          <w:rFonts w:ascii="Arial" w:cs="Arial" w:eastAsia="Arial" w:hAnsi="Arial"/>
          <w:sz w:val="16"/>
          <w:szCs w:val="16"/>
          <w:color w:val="auto"/>
        </w:rPr>
      </w:pPr>
    </w:p>
    <w:p>
      <w:pPr>
        <w:ind w:left="-4" w:right="40" w:firstLine="443"/>
        <w:spacing w:after="0" w:line="291" w:lineRule="auto"/>
        <w:tabs>
          <w:tab w:leader="none" w:pos="68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Recipient acknowledges and agrees that the Company has the right to deduct from payments of any kind otherwise due to the Recipient any federal, state, local or other taxes of any kind required by law to be withheld with respect to the vesting of the Restricted Shares. On each date on which Restricted Shares vest, the Company shall deliver written notice to the Recipient of the amount of withholding taxes due, if any, with respect to the vesting of the Restricted Shares that vest on such date; provided, however, that the total tax withholding cannot exceed the Company’s minimum statutory withholding obligations (based on minimum statutory withholding rates for federal and state tax purposes, including payroll taxes, that are applicable to such supplemental taxable income).</w:t>
      </w:r>
    </w:p>
    <w:p>
      <w:pPr>
        <w:spacing w:after="0" w:line="120" w:lineRule="exact"/>
        <w:rPr>
          <w:rFonts w:ascii="Arial" w:cs="Arial" w:eastAsia="Arial" w:hAnsi="Arial"/>
          <w:sz w:val="16"/>
          <w:szCs w:val="16"/>
          <w:color w:val="auto"/>
        </w:rPr>
      </w:pPr>
    </w:p>
    <w:p>
      <w:pPr>
        <w:ind w:left="176" w:hanging="176"/>
        <w:spacing w:after="0"/>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firstLine="443"/>
        <w:spacing w:after="0" w:line="259" w:lineRule="auto"/>
        <w:tabs>
          <w:tab w:leader="none" w:pos="67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The Recipient acknowledges and agrees that, notwithstanding the fact of the vesting of the Restricted Shares is contingent upon his or her continued employment by the Company this Agreement does not constitute an express or implied promise of continued employment or confer upon the Recipient any rights with respect to continued employment by the Company.</w:t>
      </w:r>
    </w:p>
    <w:p>
      <w:pPr>
        <w:spacing w:after="0" w:line="59" w:lineRule="exact"/>
        <w:rPr>
          <w:rFonts w:ascii="Arial" w:cs="Arial" w:eastAsia="Arial" w:hAnsi="Arial"/>
          <w:sz w:val="18"/>
          <w:szCs w:val="18"/>
          <w:color w:val="auto"/>
        </w:rPr>
      </w:pPr>
    </w:p>
    <w:p>
      <w:pPr>
        <w:ind w:left="-4" w:right="100" w:firstLine="443"/>
        <w:spacing w:after="0" w:line="268" w:lineRule="auto"/>
        <w:tabs>
          <w:tab w:leader="none" w:pos="68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Delaware without regard to any applicable conflicts of laws provisions.</w:t>
      </w:r>
    </w:p>
    <w:p>
      <w:pPr>
        <w:spacing w:after="0" w:line="50" w:lineRule="exact"/>
        <w:rPr>
          <w:rFonts w:ascii="Arial" w:cs="Arial" w:eastAsia="Arial" w:hAnsi="Arial"/>
          <w:sz w:val="18"/>
          <w:szCs w:val="18"/>
          <w:color w:val="auto"/>
        </w:rPr>
      </w:pPr>
    </w:p>
    <w:p>
      <w:pPr>
        <w:ind w:left="-4" w:right="720" w:firstLine="443"/>
        <w:spacing w:after="0" w:line="268" w:lineRule="auto"/>
        <w:tabs>
          <w:tab w:leader="none" w:pos="67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Recipient’s Acknowledgments</w:t>
      </w:r>
      <w:r>
        <w:rPr>
          <w:rFonts w:ascii="Arial" w:cs="Arial" w:eastAsia="Arial" w:hAnsi="Arial"/>
          <w:sz w:val="18"/>
          <w:szCs w:val="18"/>
          <w:color w:val="auto"/>
        </w:rPr>
        <w:t>. The Recipient acknowledges that he or she has read this Agreement, has received and read the Plan, and understands the terms and conditions of this Agreement and the Plan.</w:t>
      </w:r>
    </w:p>
    <w:p>
      <w:pPr>
        <w:sectPr>
          <w:pgSz w:w="11900" w:h="16838" w:orient="portrait"/>
          <w:cols w:equalWidth="0" w:num="1">
            <w:col w:w="10956"/>
          </w:cols>
          <w:pgMar w:left="704" w:top="280" w:right="239" w:bottom="1440" w:gutter="0" w:footer="0" w:header="0"/>
        </w:sectPr>
      </w:pPr>
    </w:p>
    <w:bookmarkStart w:id="54" w:name="page55"/>
    <w:bookmarkEnd w:id="54"/>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PC Connection, Inc.</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Restricted Stock Agreement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2540</wp:posOffset>
            </wp:positionV>
            <wp:extent cx="22040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of restricted common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-635</wp:posOffset>
            </wp:positionV>
            <wp:extent cx="22040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2540</wp:posOffset>
            </wp:positionV>
            <wp:extent cx="22040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PC Connection, Inc. (the “Company”) has selected you to receive the restricted stock award described above, which is subject to the provisions of the Company’s 2007 Amended and Restated Stock Incentive Plan (the “Plan”) and the terms and conditions contained in this Restricted Stock Agreement. Please confirm your acceptance of this restricted stock award and of the terms and conditions of this Agreement by signing a copy of this Agreement where indicated below.</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PC Connection,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8"/>
          <w:szCs w:val="18"/>
          <w:color w:val="auto"/>
        </w:rPr>
        <w:t>[insert name and title</w:t>
      </w:r>
      <w:r>
        <w:rPr>
          <w:rFonts w:ascii="Arial" w:cs="Arial" w:eastAsia="Arial" w:hAnsi="Arial"/>
          <w:sz w:val="18"/>
          <w:szCs w:val="18"/>
          <w:b w:val="1"/>
          <w:bCs w:val="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[insert name of recipient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140"/>
          </w:cols>
          <w:pgMar w:left="240" w:top="280" w:right="51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ectPr>
          <w:pgSz w:w="11900" w:h="16838" w:orient="portrait"/>
          <w:cols w:equalWidth="0" w:num="1">
            <w:col w:w="9019"/>
          </w:cols>
          <w:pgMar w:left="1440" w:top="280"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August 10,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NH</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PC Connection, Inc. and subsidiaries for the periods ended June 30, 2007 and 2006, as indicated in our report dated August 10, 2007; because we did not perform an audit, we expressed no opinion on that information.</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June 30, 2007, is incorporated by reference in Registration Statement Nos. 333-40172, 333-50845, 333-50847, 333-66450, 333-69981, 333-83943, 333-91584, 333-106652, 333-130389, and 333-144065 on Form S-8.</w:t>
      </w:r>
    </w:p>
    <w:p>
      <w:pPr>
        <w:spacing w:after="0" w:line="140"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August 10,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Date: August 10, 2007</w:t>
            </w:r>
          </w:p>
        </w:tc>
        <w:tc>
          <w:tcPr>
            <w:tcW w:w="6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4820" w:type="dxa"/>
            <w:vAlign w:val="bottom"/>
          </w:tcPr>
          <w:p>
            <w:pPr>
              <w:spacing w:after="0"/>
              <w:rPr>
                <w:sz w:val="17"/>
                <w:szCs w:val="17"/>
                <w:color w:val="auto"/>
              </w:rPr>
            </w:pPr>
          </w:p>
        </w:tc>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4820" w:type="dxa"/>
            <w:vAlign w:val="bottom"/>
          </w:tcPr>
          <w:p>
            <w:pPr>
              <w:spacing w:after="0"/>
              <w:rPr>
                <w:sz w:val="19"/>
                <w:szCs w:val="19"/>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Executive Vice President, Treasurer, and Chief Financial Officer</w:t>
            </w:r>
          </w:p>
        </w:tc>
      </w:tr>
    </w:tbl>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2007 as filed with the Securities and Exchange Commission on the date hereof (the “Report”), the undersigned, Patricia Gallup, President and Chief Executive Officer of the Company, hereby certifies, pursuant to 18 U.S.C. Section 1350, that:</w:t>
      </w:r>
    </w:p>
    <w:p>
      <w:pPr>
        <w:spacing w:after="0" w:line="59" w:lineRule="exact"/>
        <w:rPr>
          <w:sz w:val="20"/>
          <w:szCs w:val="20"/>
          <w:color w:val="auto"/>
        </w:rPr>
      </w:pPr>
    </w:p>
    <w:p>
      <w:pPr>
        <w:ind w:left="1160" w:hanging="257"/>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August 10,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2007 as filed with the Securities and Exchange Commission on the date hereof (the “Report”), the undersigned, Jack Ferguson, Executive Vice President, Treasurer, and Chief Financial Officer of the Company, hereby certifies, pursuant to 18 U.S.C. Section 1350, that:</w:t>
      </w:r>
    </w:p>
    <w:p>
      <w:pPr>
        <w:spacing w:after="0" w:line="59" w:lineRule="exact"/>
        <w:rPr>
          <w:sz w:val="20"/>
          <w:szCs w:val="20"/>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Date: August 10, 2007</w:t>
            </w:r>
          </w:p>
        </w:tc>
        <w:tc>
          <w:tcPr>
            <w:tcW w:w="6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4820" w:type="dxa"/>
            <w:vAlign w:val="bottom"/>
          </w:tcPr>
          <w:p>
            <w:pPr>
              <w:spacing w:after="0"/>
              <w:rPr>
                <w:sz w:val="17"/>
                <w:szCs w:val="17"/>
                <w:color w:val="auto"/>
              </w:rPr>
            </w:pPr>
          </w:p>
        </w:tc>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4820" w:type="dxa"/>
            <w:vAlign w:val="bottom"/>
          </w:tcPr>
          <w:p>
            <w:pPr>
              <w:spacing w:after="0"/>
              <w:rPr>
                <w:sz w:val="19"/>
                <w:szCs w:val="19"/>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Executive Vice President, Treasurer,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2"/>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Letter"/>
      <w:start w:val="5"/>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2"/>
    </w:lvl>
  </w:abstractNum>
  <w:abstractNum w:abstractNumId="21">
    <w:nsid w:val="77465F01"/>
    <w:multiLevelType w:val="hybridMultilevel"/>
    <w:lvl w:ilvl="0">
      <w:lvlJc w:val="left"/>
      <w:lvlText w:val="%1."/>
      <w:numFmt w:val="decimal"/>
      <w:start w:val="3"/>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2"/>
    </w:lvl>
  </w:abstractNum>
  <w:abstractNum w:abstractNumId="25">
    <w:nsid w:val="5E884ADC"/>
    <w:multiLevelType w:val="hybridMultilevel"/>
    <w:lvl w:ilvl="0">
      <w:lvlJc w:val="left"/>
      <w:lvlText w:val="%1."/>
      <w:numFmt w:val="decimal"/>
      <w:start w:val="3"/>
    </w:lvl>
    <w:lvl w:ilvl="1">
      <w:lvlJc w:val="left"/>
      <w:lvlText w:val="(%2)"/>
      <w:numFmt w:val="lowerLetter"/>
      <w:start w:val="1"/>
    </w:lvl>
  </w:abstractNum>
  <w:abstractNum w:abstractNumId="26">
    <w:nsid w:val="51EAD36B"/>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7">
    <w:nsid w:val="2D51779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8">
    <w:nsid w:val="580BD78F"/>
    <w:multiLevelType w:val="hybridMultilevel"/>
    <w:lvl w:ilvl="0">
      <w:lvlJc w:val="left"/>
      <w:lvlText w:val="%1."/>
      <w:numFmt w:val="decimal"/>
      <w:start w:val="5"/>
    </w:lvl>
  </w:abstractNum>
  <w:abstractNum w:abstractNumId="29">
    <w:nsid w:val="153EA438"/>
    <w:multiLevelType w:val="hybridMultilevel"/>
    <w:lvl w:ilvl="0">
      <w:lvlJc w:val="left"/>
      <w:lvlText w:val="%1."/>
      <w:numFmt w:val="decimal"/>
      <w:start w:val="6"/>
    </w:lvl>
  </w:abstractNum>
  <w:abstractNum w:abstractNumId="30">
    <w:nsid w:val="3855585C"/>
    <w:multiLevelType w:val="hybridMultilevel"/>
    <w:lvl w:ilvl="0">
      <w:lvlJc w:val="left"/>
      <w:lvlText w:val="%1."/>
      <w:numFmt w:val="decimal"/>
      <w:start w:val="1"/>
    </w:lvl>
    <w:lvl w:ilvl="1">
      <w:lvlJc w:val="left"/>
      <w:lvlText w:val="-"/>
      <w:numFmt w:val="bullet"/>
      <w:start w:val="1"/>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2"/>
    </w:lvl>
  </w:abstractNum>
  <w:abstractNum w:abstractNumId="35">
    <w:nsid w:val="725A06FB"/>
    <w:multiLevelType w:val="hybridMultilevel"/>
    <w:lvl w:ilvl="0">
      <w:lvlJc w:val="left"/>
      <w:lvlText w:val="%1."/>
      <w:numFmt w:val="decimal"/>
      <w:start w:val="3"/>
    </w:lvl>
    <w:lvl w:ilvl="1">
      <w:lvlJc w:val="left"/>
      <w:lvlText w:val="(%2)"/>
      <w:numFmt w:val="lowerLetter"/>
      <w:start w:val="1"/>
    </w:lvl>
  </w:abstractNum>
  <w:abstractNum w:abstractNumId="36">
    <w:nsid w:val="2CD89A32"/>
    <w:multiLevelType w:val="hybridMultilevel"/>
    <w:lvl w:ilvl="0">
      <w:lvlJc w:val="left"/>
      <w:lvlText w:val="%1"/>
      <w:numFmt w:val="decimal"/>
      <w:start w:val="1"/>
    </w:lvl>
    <w:lvl w:ilvl="1">
      <w:lvlJc w:val="left"/>
      <w:lvlText w:val="(%2)"/>
      <w:numFmt w:val="lowerLetter"/>
      <w:start w:val="3"/>
    </w:lvl>
  </w:abstractNum>
  <w:abstractNum w:abstractNumId="37">
    <w:nsid w:val="57E4CCAF"/>
    <w:multiLevelType w:val="hybridMultilevel"/>
    <w:lvl w:ilvl="0">
      <w:lvlJc w:val="left"/>
      <w:lvlText w:val="%1."/>
      <w:numFmt w:val="decimal"/>
      <w:start w:val="4"/>
    </w:lvl>
    <w:lvl w:ilvl="1">
      <w:lvlJc w:val="left"/>
      <w:lvlText w:val="%2"/>
      <w:numFmt w:val="lowerLetter"/>
      <w:start w:val="1"/>
    </w:lvl>
  </w:abstractNum>
  <w:abstractNum w:abstractNumId="38">
    <w:nsid w:val="7A6D8D3C"/>
    <w:multiLevelType w:val="hybridMultilevel"/>
    <w:lvl w:ilvl="0">
      <w:lvlJc w:val="left"/>
      <w:lvlText w:val="%1."/>
      <w:numFmt w:val="decimal"/>
      <w:start w:val="5"/>
    </w:lvl>
  </w:abstractNum>
  <w:abstractNum w:abstractNumId="39">
    <w:nsid w:val="4B588F54"/>
    <w:multiLevelType w:val="hybridMultilevel"/>
    <w:lvl w:ilvl="0">
      <w:lvlJc w:val="left"/>
      <w:lvlText w:val="%1."/>
      <w:numFmt w:val="decimal"/>
      <w:start w:val="6"/>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1."/>
      <w:numFmt w:val="decimal"/>
      <w:start w:val="1"/>
    </w:lvl>
    <w:lvl w:ilvl="1">
      <w:lvlJc w:val="left"/>
      <w:lvlText w:val="(%2)"/>
      <w:numFmt w:val="lowerLetter"/>
      <w:start w:val="1"/>
    </w:lvl>
  </w:abstractNum>
  <w:abstractNum w:abstractNumId="43">
    <w:nsid w:val="7644A45C"/>
    <w:multiLevelType w:val="hybridMultilevel"/>
    <w:lvl w:ilvl="0">
      <w:lvlJc w:val="left"/>
      <w:lvlText w:val="%1."/>
      <w:numFmt w:val="decimal"/>
      <w:start w:val="4"/>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decimal"/>
      <w:start w:val="6"/>
    </w:lvl>
  </w:abstractNum>
  <w:abstractNum w:abstractNumId="46">
    <w:nsid w:val="579478FE"/>
    <w:multiLevelType w:val="hybridMultilevel"/>
    <w:lvl w:ilvl="0">
      <w:lvlJc w:val="left"/>
      <w:lvlText w:val="%1."/>
      <w:numFmt w:val="decimal"/>
      <w:start w:val="7"/>
    </w:lvl>
  </w:abstractNum>
  <w:abstractNum w:abstractNumId="47">
    <w:nsid w:val="749ABB43"/>
    <w:multiLevelType w:val="hybridMultilevel"/>
    <w:lvl w:ilvl="0">
      <w:lvlJc w:val="left"/>
      <w:lvlText w:val="%1."/>
      <w:numFmt w:val="decimal"/>
      <w:start w:val="8"/>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2019-12-14T19:00:01Z</dcterms:created>
  <dcterms:modified xsi:type="dcterms:W3CDTF">2019-12-14T19:00:01Z</dcterms:modified>
</cp:coreProperties>
</file>