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line="230" w:lineRule="auto"/>
        <w:rPr>
          <w:sz w:val="20"/>
          <w:szCs w:val="20"/>
          <w:color w:val="auto"/>
        </w:rPr>
      </w:pPr>
      <w:r>
        <w:rPr>
          <w:rFonts w:ascii="Arial" w:cs="Arial" w:eastAsia="Arial" w:hAnsi="Arial"/>
          <w:sz w:val="22"/>
          <w:szCs w:val="22"/>
          <w:color w:val="auto"/>
        </w:rPr>
        <w:t>WASHINGTON, D.C. 20549</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jc w:val="center"/>
        <w:spacing w:after="0" w:line="238" w:lineRule="auto"/>
        <w:rPr>
          <w:sz w:val="20"/>
          <w:szCs w:val="20"/>
          <w:color w:val="auto"/>
        </w:rPr>
      </w:pPr>
      <w:r>
        <w:rPr>
          <w:rFonts w:ascii="Arial" w:cs="Arial" w:eastAsia="Arial" w:hAnsi="Arial"/>
          <w:sz w:val="22"/>
          <w:szCs w:val="22"/>
          <w:color w:val="auto"/>
        </w:rPr>
        <w:t>PURSUANT TO SECTION 13 OR 15(d) OF</w:t>
      </w: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April 29, 2010</w:t>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PC Connection,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Delaware</w:t>
            </w:r>
          </w:p>
        </w:tc>
        <w:tc>
          <w:tcPr>
            <w:tcW w:w="3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0-23827</w:t>
            </w:r>
          </w:p>
        </w:tc>
        <w:tc>
          <w:tcPr>
            <w:tcW w:w="3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02-0513618</w:t>
            </w:r>
          </w:p>
        </w:tc>
      </w:tr>
      <w:tr>
        <w:trPr>
          <w:trHeight w:val="215"/>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1"/>
              </w:rPr>
              <w:t>(State or other juris-</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5"/>
              </w:rPr>
              <w:t>diction of incorporation)</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jc w:val="center"/>
              <w:ind w:right="410"/>
              <w:spacing w:after="0"/>
              <w:rPr>
                <w:sz w:val="20"/>
                <w:szCs w:val="20"/>
                <w:color w:val="auto"/>
              </w:rPr>
            </w:pPr>
            <w:r>
              <w:rPr>
                <w:rFonts w:ascii="Arial" w:cs="Arial" w:eastAsia="Arial" w:hAnsi="Arial"/>
                <w:sz w:val="18"/>
                <w:szCs w:val="18"/>
                <w:color w:val="auto"/>
                <w:w w:val="93"/>
              </w:rPr>
              <w:t>Rt. 101A, 730 Milford Road</w:t>
            </w:r>
          </w:p>
        </w:tc>
        <w:tc>
          <w:tcPr>
            <w:tcW w:w="5200" w:type="dxa"/>
            <w:vAlign w:val="bottom"/>
          </w:tcPr>
          <w:p>
            <w:pPr>
              <w:jc w:val="right"/>
              <w:ind w:right="2530"/>
              <w:spacing w:after="0"/>
              <w:rPr>
                <w:sz w:val="20"/>
                <w:szCs w:val="20"/>
                <w:color w:val="auto"/>
              </w:rPr>
            </w:pPr>
            <w:r>
              <w:rPr>
                <w:rFonts w:ascii="Arial" w:cs="Arial" w:eastAsia="Arial" w:hAnsi="Arial"/>
                <w:sz w:val="18"/>
                <w:szCs w:val="18"/>
                <w:color w:val="auto"/>
              </w:rPr>
              <w:t>03054</w:t>
            </w:r>
          </w:p>
        </w:tc>
      </w:tr>
      <w:tr>
        <w:trPr>
          <w:trHeight w:val="237"/>
        </w:trPr>
        <w:tc>
          <w:tcPr>
            <w:tcW w:w="62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6"/>
              </w:rPr>
              <w:t>Merrimack, NH</w:t>
            </w:r>
          </w:p>
        </w:tc>
        <w:tc>
          <w:tcPr>
            <w:tcW w:w="5200" w:type="dxa"/>
            <w:vAlign w:val="bottom"/>
            <w:tcBorders>
              <w:bottom w:val="single" w:sz="8" w:color="auto"/>
            </w:tcBorders>
          </w:tcPr>
          <w:p>
            <w:pPr>
              <w:spacing w:after="0"/>
              <w:rPr>
                <w:sz w:val="20"/>
                <w:szCs w:val="20"/>
                <w:color w:val="auto"/>
              </w:rPr>
            </w:pPr>
          </w:p>
        </w:tc>
      </w:tr>
      <w:tr>
        <w:trPr>
          <w:trHeight w:val="230"/>
        </w:trPr>
        <w:tc>
          <w:tcPr>
            <w:tcW w:w="622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color w:val="auto"/>
        </w:rPr>
        <w:t>(603) 683-2000</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09"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April 29, 2010, PC Connection, Inc. announced its financial results for the quarter ended March 31, 2010. The full text of the press release issued in connection with the announcement is furnished as Exhibit 99.1 to this Current Report on Form 8-K.</w:t>
      </w:r>
    </w:p>
    <w:p>
      <w:pPr>
        <w:spacing w:after="0" w:line="130" w:lineRule="exact"/>
        <w:rPr>
          <w:sz w:val="20"/>
          <w:szCs w:val="20"/>
          <w:color w:val="auto"/>
        </w:rPr>
      </w:pPr>
    </w:p>
    <w:p>
      <w:pPr>
        <w:ind w:right="340" w:firstLine="405"/>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0"/>
          <w:szCs w:val="20"/>
          <w:color w:val="auto"/>
        </w:rPr>
      </w:pPr>
    </w:p>
    <w:p>
      <w:pPr>
        <w:ind w:left="1060" w:hanging="451"/>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The following exhibit relating to Item 2.02 shall be deemed to be furnished, and not filed:</w:t>
      </w:r>
    </w:p>
    <w:p>
      <w:pPr>
        <w:spacing w:after="0" w:line="279"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6"/>
          <w:szCs w:val="16"/>
          <w:color w:val="auto"/>
        </w:rPr>
        <w:t>Press Release issued by PC Connection, Inc. on April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p>
      <w:pPr>
        <w:spacing w:after="0"/>
        <w:tabs>
          <w:tab w:leader="none" w:pos="68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29, 2010</w:t>
      </w:r>
      <w:r>
        <w:rPr>
          <w:sz w:val="20"/>
          <w:szCs w:val="20"/>
          <w:color w:val="auto"/>
        </w:rPr>
        <w:tab/>
      </w:r>
      <w:r>
        <w:rPr>
          <w:rFonts w:ascii="Arial" w:cs="Arial" w:eastAsia="Arial" w:hAnsi="Arial"/>
          <w:sz w:val="17"/>
          <w:szCs w:val="17"/>
          <w:color w:val="auto"/>
        </w:rPr>
        <w:t>PC CONNECTION, INC.</w:t>
      </w:r>
    </w:p>
    <w:p>
      <w:pPr>
        <w:spacing w:after="0" w:line="27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Jack Ferguson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Treasurer, and</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60" w:type="dxa"/>
            <w:vAlign w:val="bottom"/>
          </w:tcPr>
          <w:p>
            <w:pPr>
              <w:ind w:left="1780"/>
              <w:spacing w:after="0"/>
              <w:rPr>
                <w:sz w:val="20"/>
                <w:szCs w:val="20"/>
                <w:color w:val="auto"/>
              </w:rPr>
            </w:pPr>
            <w:r>
              <w:rPr>
                <w:rFonts w:ascii="Arial" w:cs="Arial" w:eastAsia="Arial" w:hAnsi="Arial"/>
                <w:sz w:val="22"/>
                <w:szCs w:val="22"/>
                <w:color w:val="auto"/>
              </w:rPr>
              <w:t>EXHIBIT INDEX</w:t>
            </w:r>
          </w:p>
        </w:tc>
      </w:tr>
      <w:tr>
        <w:trPr>
          <w:trHeight w:val="395"/>
        </w:trPr>
        <w:tc>
          <w:tcPr>
            <w:tcW w:w="15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240" w:type="dxa"/>
            <w:vAlign w:val="bottom"/>
            <w:gridSpan w:val="3"/>
          </w:tcPr>
          <w:p>
            <w:pPr>
              <w:ind w:left="74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5240" w:type="dxa"/>
            <w:vAlign w:val="bottom"/>
            <w:gridSpan w:val="3"/>
          </w:tcPr>
          <w:p>
            <w:pPr>
              <w:ind w:left="740"/>
              <w:spacing w:after="0"/>
              <w:rPr>
                <w:sz w:val="20"/>
                <w:szCs w:val="20"/>
                <w:color w:val="auto"/>
              </w:rPr>
            </w:pPr>
            <w:r>
              <w:rPr>
                <w:rFonts w:ascii="Arial" w:cs="Arial" w:eastAsia="Arial" w:hAnsi="Arial"/>
                <w:sz w:val="18"/>
                <w:szCs w:val="18"/>
                <w:color w:val="auto"/>
                <w:w w:val="89"/>
              </w:rPr>
              <w:t>Press release issued by PC Connection, Inc. on April 29, 2010.</w:t>
            </w:r>
          </w:p>
        </w:tc>
      </w:tr>
    </w:tbl>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PC Connection, Inc. Reports First Quarter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MERRIMACK, N.H.--(BUSINESS WIRE)--April 29, 2010--PC Connection, Inc. </w:t>
      </w:r>
      <w:r>
        <w:rPr>
          <w:rFonts w:ascii="Arial" w:cs="Arial" w:eastAsia="Arial" w:hAnsi="Arial"/>
          <w:sz w:val="22"/>
          <w:szCs w:val="22"/>
          <w:b w:val="1"/>
          <w:bCs w:val="1"/>
          <w:color w:val="auto"/>
        </w:rPr>
        <w:t>(NASDAQ: PCCC):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FIRST QUARTER SUMMARY</w:t>
      </w:r>
      <w:r>
        <w:rPr>
          <w:rFonts w:ascii="Arial" w:cs="Arial" w:eastAsia="Arial" w:hAnsi="Arial"/>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Q1 net sales: $408.3 million, up 25%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Gross margin: 11.9%, compared to 12.8%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SG&amp;A: 10.9% of net sales, improved from 13.3%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Operating income: $4.2 million, or 1.0%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Diluted earnings per share: $0.09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right="200"/>
        <w:spacing w:after="0" w:line="237" w:lineRule="auto"/>
        <w:rPr>
          <w:sz w:val="20"/>
          <w:szCs w:val="20"/>
          <w:color w:val="auto"/>
        </w:rPr>
      </w:pPr>
      <w:r>
        <w:rPr>
          <w:rFonts w:ascii="Arial" w:cs="Arial" w:eastAsia="Arial" w:hAnsi="Arial"/>
          <w:sz w:val="22"/>
          <w:szCs w:val="22"/>
          <w:color w:val="auto"/>
        </w:rPr>
        <w:t xml:space="preserve">PC Connection, Inc. </w:t>
      </w:r>
      <w:r>
        <w:rPr>
          <w:rFonts w:ascii="Arial" w:cs="Arial" w:eastAsia="Arial" w:hAnsi="Arial"/>
          <w:sz w:val="22"/>
          <w:szCs w:val="22"/>
          <w:b w:val="1"/>
          <w:bCs w:val="1"/>
          <w:color w:val="auto"/>
        </w:rPr>
        <w:t>(NASDAQ: PCCC)</w:t>
      </w:r>
      <w:r>
        <w:rPr>
          <w:rFonts w:ascii="Arial" w:cs="Arial" w:eastAsia="Arial" w:hAnsi="Arial"/>
          <w:sz w:val="22"/>
          <w:szCs w:val="22"/>
          <w:color w:val="auto"/>
        </w:rPr>
        <w:t>, a leading direct marketer of information technology (IT) products and services, today announced results for the quarter ended March 31, 2010. Net sales for the three months ended March 31, 2010 increased by $82.0 million, or 25.1%, to $408.3 million from $326.2 million for the three months ended March 31, 2009. Net income for the quarter was $2.4 million, or $0.09 per share, compared to net loss of $1.6 million, or $0.06 per share, for the corresponding prior year quarter.</w:t>
      </w:r>
    </w:p>
    <w:p>
      <w:pPr>
        <w:spacing w:after="0" w:line="189"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The quarter ended March 31, 2009 included $0.9 million of special charges related to workforce reduction and management restructuring that increased our net loss and loss per share. Had these charges not been incurred, pro forma net loss for the quarter ended March 31, 2009 would have been $1.0 million, or $0.04 per share. The Company did not record any special charges for the first quarter of 2010. A reconciliation between net loss on a GAAP basis and pro forma net loss is provided in a table below immediately following the Consolidated Statements of Operations.</w:t>
      </w:r>
    </w:p>
    <w:p>
      <w:pPr>
        <w:spacing w:after="0" w:line="179"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As noted in last quarter’s earnings release, the Company formed a new sales company, PC Connection Express, Inc., to focus on the specialized requirements of the consumer and small office/home office market. This new company began operations in mid-January 2010. Prior to its formation, consumer sales were reported within the Company’s small- and medium-sized business (SMB) segment. In order to facilitate comparison with current period results, 2009 revenues and gross margins for the SMB segment have been restated on a pro forma basis to exclude consumer and small office/home office sales.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Sales by Segment</w:t>
      </w:r>
      <w:r>
        <w:rPr>
          <w:rFonts w:ascii="Arial" w:cs="Arial" w:eastAsia="Arial" w:hAnsi="Arial"/>
          <w:sz w:val="22"/>
          <w:szCs w:val="22"/>
          <w:i w:val="1"/>
          <w:iCs w:val="1"/>
          <w:color w:val="auto"/>
        </w:rPr>
        <w:t>:</w:t>
      </w:r>
    </w:p>
    <w:p>
      <w:pPr>
        <w:spacing w:after="0" w:line="206" w:lineRule="exact"/>
        <w:rPr>
          <w:sz w:val="20"/>
          <w:szCs w:val="20"/>
          <w:color w:val="auto"/>
        </w:rPr>
      </w:pPr>
    </w:p>
    <w:p>
      <w:pPr>
        <w:jc w:val="both"/>
        <w:ind w:left="540" w:right="180"/>
        <w:spacing w:after="0" w:line="252" w:lineRule="auto"/>
        <w:rPr>
          <w:sz w:val="20"/>
          <w:szCs w:val="20"/>
          <w:color w:val="auto"/>
        </w:rPr>
      </w:pPr>
      <w:r>
        <w:rPr>
          <w:rFonts w:ascii="Arial" w:cs="Arial" w:eastAsia="Arial" w:hAnsi="Arial"/>
          <w:sz w:val="21"/>
          <w:szCs w:val="21"/>
          <w:color w:val="auto"/>
        </w:rPr>
        <w:t>Net sales for the SMB business segment increased, on a pro forma basis, by 27.4%, to $192.0 million compared to the first quarter of 2009. Sales to small- and medium-sized businesses experienced significant growth across most product lines and market sectors, we believe, as a result of increased spending associated with pent-up IT demand, PC refresh, and the impact from the release of the Windows 7 operating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-582295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3" w:lineRule="exact"/>
        <w:rPr>
          <w:sz w:val="20"/>
          <w:szCs w:val="20"/>
          <w:color w:val="auto"/>
        </w:rPr>
      </w:pPr>
    </w:p>
    <w:p>
      <w:pPr>
        <w:ind w:left="540" w:right="280"/>
        <w:spacing w:after="0" w:line="297" w:lineRule="auto"/>
        <w:rPr>
          <w:sz w:val="20"/>
          <w:szCs w:val="20"/>
          <w:color w:val="auto"/>
        </w:rPr>
      </w:pPr>
      <w:r>
        <w:rPr>
          <w:rFonts w:ascii="Arial" w:cs="Arial" w:eastAsia="Arial" w:hAnsi="Arial"/>
          <w:sz w:val="19"/>
          <w:szCs w:val="19"/>
          <w:color w:val="auto"/>
        </w:rPr>
        <w:t>Net sales for MoreDirect, Inc., the Company’s Large Account segment, increased by 39.0% to $126.1 million compared to the first quarter of 2009. Large account customers substantially increased their IT spend due to the release of pent-up IT demand and PC refresh. New customer acquisition also contributed to the year-over-year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3" w:lineRule="exact"/>
        <w:rPr>
          <w:sz w:val="20"/>
          <w:szCs w:val="20"/>
          <w:color w:val="auto"/>
        </w:rPr>
      </w:pPr>
    </w:p>
    <w:p>
      <w:pPr>
        <w:ind w:left="540" w:right="100"/>
        <w:spacing w:after="0" w:line="252" w:lineRule="auto"/>
        <w:rPr>
          <w:sz w:val="20"/>
          <w:szCs w:val="20"/>
          <w:color w:val="auto"/>
        </w:rPr>
      </w:pPr>
      <w:r>
        <w:rPr>
          <w:rFonts w:ascii="Arial" w:cs="Arial" w:eastAsia="Arial" w:hAnsi="Arial"/>
          <w:sz w:val="21"/>
          <w:szCs w:val="21"/>
          <w:color w:val="auto"/>
        </w:rPr>
        <w:t>Net sales to government and education customers (Public Sector segment) increased by 25.5% to $79.2 million compared to the first quarter of 2009. Sales to the federal government and education customers increased by double-digit percentages due to increased contract sales made to federal government and higher education customers. The Public Sector segment has achieved year-over-year sales growth for four straight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-582295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3" w:lineRule="exact"/>
        <w:rPr>
          <w:sz w:val="20"/>
          <w:szCs w:val="20"/>
          <w:color w:val="auto"/>
        </w:rPr>
      </w:pPr>
    </w:p>
    <w:p>
      <w:pPr>
        <w:ind w:left="540" w:right="280"/>
        <w:spacing w:after="0" w:line="238" w:lineRule="auto"/>
        <w:rPr>
          <w:sz w:val="20"/>
          <w:szCs w:val="20"/>
          <w:color w:val="auto"/>
        </w:rPr>
      </w:pPr>
      <w:r>
        <w:rPr>
          <w:rFonts w:ascii="Arial" w:cs="Arial" w:eastAsia="Arial" w:hAnsi="Arial"/>
          <w:sz w:val="22"/>
          <w:szCs w:val="22"/>
          <w:color w:val="auto"/>
        </w:rPr>
        <w:t xml:space="preserve">Net sales to consumers and small office/home office customers by PC Connection Express were $10.9 million in the first quarter of 2010, which represented 75 days, compared to $21.6 million of comparable sales in the first full quarter of 2009 reported within the SMB segment. This company’s new website, </w:t>
      </w:r>
      <w:r>
        <w:rPr>
          <w:rFonts w:ascii="Arial" w:cs="Arial" w:eastAsia="Arial" w:hAnsi="Arial"/>
          <w:sz w:val="22"/>
          <w:szCs w:val="22"/>
          <w:u w:val="single" w:color="auto"/>
          <w:color w:val="auto"/>
        </w:rPr>
        <w:t>www.pcconnectionexpress.com</w:t>
      </w:r>
      <w:r>
        <w:rPr>
          <w:rFonts w:ascii="Arial" w:cs="Arial" w:eastAsia="Arial" w:hAnsi="Arial"/>
          <w:sz w:val="22"/>
          <w:szCs w:val="22"/>
          <w:color w:val="auto"/>
        </w:rPr>
        <w:t>, was launched in mid January.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Sales by Product Mix</w:t>
      </w:r>
      <w:r>
        <w:rPr>
          <w:rFonts w:ascii="Arial" w:cs="Arial" w:eastAsia="Arial" w:hAnsi="Arial"/>
          <w:sz w:val="22"/>
          <w:szCs w:val="22"/>
          <w:i w:val="1"/>
          <w:iCs w:val="1"/>
          <w:color w:val="auto"/>
        </w:rPr>
        <w:t>:</w:t>
      </w:r>
    </w:p>
    <w:p>
      <w:pPr>
        <w:spacing w:after="0" w:line="206" w:lineRule="exact"/>
        <w:rPr>
          <w:sz w:val="20"/>
          <w:szCs w:val="20"/>
          <w:color w:val="auto"/>
        </w:rPr>
      </w:pPr>
    </w:p>
    <w:p>
      <w:pPr>
        <w:ind w:left="540" w:right="80"/>
        <w:spacing w:after="0" w:line="297" w:lineRule="auto"/>
        <w:rPr>
          <w:sz w:val="20"/>
          <w:szCs w:val="20"/>
          <w:color w:val="auto"/>
        </w:rPr>
      </w:pPr>
      <w:r>
        <w:rPr>
          <w:rFonts w:ascii="Arial" w:cs="Arial" w:eastAsia="Arial" w:hAnsi="Arial"/>
          <w:sz w:val="19"/>
          <w:szCs w:val="19"/>
          <w:color w:val="auto"/>
        </w:rPr>
        <w:t>Notebooks and PDA sales, the Company’s largest product category, increased by 38% year over year and accounted for 16% of net sales in the first quarter of 2010 compared to 15% of net sales for the first quarter of 2009. Higher unit sales for the quarter drove the year-over-year growth as average selling prices, or ASP’s, were largely unchanged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3" w:lineRule="exact"/>
        <w:rPr>
          <w:sz w:val="20"/>
          <w:szCs w:val="20"/>
          <w:color w:val="auto"/>
        </w:rPr>
      </w:pPr>
    </w:p>
    <w:p>
      <w:pPr>
        <w:ind w:left="540" w:right="120"/>
        <w:spacing w:after="0" w:line="238" w:lineRule="auto"/>
        <w:rPr>
          <w:sz w:val="20"/>
          <w:szCs w:val="20"/>
          <w:color w:val="auto"/>
        </w:rPr>
      </w:pPr>
      <w:r>
        <w:rPr>
          <w:rFonts w:ascii="Arial" w:cs="Arial" w:eastAsia="Arial" w:hAnsi="Arial"/>
          <w:sz w:val="22"/>
          <w:szCs w:val="22"/>
          <w:color w:val="auto"/>
        </w:rPr>
        <w:t>Desktop/server sales increased by 53% year over year, accounting for 15% of net sales in the first quarter of 2010 compared to 12% of net sales for the first quarter of 2009. Desktop sales grew as a result of increased unit sales associated with the PC refresh and pent-up IT demand. Server sales grew as a result of increased ASP’s primarily due to higher-end server sales to certain large account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4" w:lineRule="exact"/>
        <w:rPr>
          <w:sz w:val="20"/>
          <w:szCs w:val="20"/>
          <w:color w:val="auto"/>
        </w:rPr>
      </w:pPr>
    </w:p>
    <w:p>
      <w:pPr>
        <w:ind w:left="540" w:right="200"/>
        <w:spacing w:after="0"/>
        <w:rPr>
          <w:sz w:val="20"/>
          <w:szCs w:val="20"/>
          <w:color w:val="auto"/>
        </w:rPr>
      </w:pPr>
      <w:r>
        <w:rPr>
          <w:rFonts w:ascii="Arial" w:cs="Arial" w:eastAsia="Arial" w:hAnsi="Arial"/>
          <w:sz w:val="22"/>
          <w:szCs w:val="22"/>
          <w:color w:val="auto"/>
        </w:rPr>
        <w:t>Printers and printer supplies sales increased by 28% year over year, accounting for 10% of net sales in the first quarter of 2010 compared to 9% of net sales for the first quarter of 2009. Printer sales grew largely as a result of increased attachment sales to the notebook and desktop sales in the first quarter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136" w:gutter="0" w:footer="0" w:header="0"/>
        </w:sectPr>
      </w:pPr>
    </w:p>
    <w:bookmarkStart w:id="5" w:name="page6"/>
    <w:bookmarkEnd w:id="5"/>
    <w:p>
      <w:pPr>
        <w:jc w:val="both"/>
        <w:ind w:left="540" w:right="60"/>
        <w:spacing w:after="0" w:line="298" w:lineRule="auto"/>
        <w:rPr>
          <w:sz w:val="20"/>
          <w:szCs w:val="20"/>
          <w:color w:val="auto"/>
        </w:rPr>
      </w:pPr>
      <w:r>
        <w:rPr>
          <w:rFonts w:ascii="Arial" w:cs="Arial" w:eastAsia="Arial" w:hAnsi="Arial"/>
          <w:sz w:val="19"/>
          <w:szCs w:val="19"/>
          <w:color w:val="auto"/>
        </w:rPr>
        <w:t>Memory and system enhancements grew 49% year over year and accounted for 4% of net sales in the first quarter of 2010 compared to 3% of net sales for the first quarter of 2009. The large increase was driven substantially by the year-over-year increase in desktop and notebook sales experienced in the first quarter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-454660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Overall gross profit dollars increased by $7.0 million, or 17%, in the first quarter of 2010 compared to the corresponding period a year ago due to higher revenues. Consolidated gross profit margin, as a percentage of net sales, was 11.9% in the first quarter of 2010 compared to 12.8% in the prior year quarter. Increased lower-margin large account sales and continued aggressive price competition in all segments led to lower invoice product margins in the first quarter of 2010 compared to the prior year quarter.</w:t>
      </w:r>
    </w:p>
    <w:p>
      <w:pPr>
        <w:spacing w:after="0" w:line="143"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Overall annualized sales productivity increased by 43% in the first quarter of 2010 compared to the first quarter of 2009. Sales productivity in the Company’s Large Account and Public Sector segments increased by 41% and 36%, respectively, in the first quarter of 2010 compared to the prior year period due to the year-over-year increases in net sales. For the SMB segment, productivity increased by 54% year over year due to increased sales and lower sales representative headcount compared to pro forma productivity for the prior year period. On a consolidated basis, the total number of sales representatives was 583 at March 31, 2010, compared to 629 at March 31, 2009, and 589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00"/>
          </w:cols>
          <w:pgMar w:left="240" w:top="118" w:right="459" w:bottom="1440" w:gutter="0" w:footer="0" w:header="0"/>
        </w:sectPr>
      </w:pPr>
    </w:p>
    <w:bookmarkStart w:id="6" w:name="page7"/>
    <w:bookmarkEnd w:id="6"/>
    <w:p>
      <w:pPr>
        <w:spacing w:after="0" w:line="249" w:lineRule="auto"/>
        <w:rPr>
          <w:sz w:val="20"/>
          <w:szCs w:val="20"/>
          <w:color w:val="auto"/>
        </w:rPr>
      </w:pPr>
      <w:r>
        <w:rPr>
          <w:rFonts w:ascii="Arial" w:cs="Arial" w:eastAsia="Arial" w:hAnsi="Arial"/>
          <w:sz w:val="21"/>
          <w:szCs w:val="21"/>
          <w:color w:val="auto"/>
        </w:rPr>
        <w:t>Total selling, general and administrative expenses for the quarter increased year over year by $1.2 million, or 2.7%, but decreased as a percentage of net sales to 10.9% for the first quarter of 2010 from 13.3% for the first quarter of 2009. The year-over-year dollar increase was primarily attributable to the increased variable compensation associated with increased gross profits. The year-over-year decrease in SG&amp;A as a percentage of net sales was due to the higher level of sales in the first quarter of 2010 as well as lower 2010 expenses relating to cost reductions implemented in 2009.</w:t>
      </w:r>
    </w:p>
    <w:p>
      <w:pPr>
        <w:spacing w:after="0" w:line="179"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“We are encouraged by the improvement in our overall performance,” said Patricia Gallup, Chairman and Chief Executive Officer. “During the quarter, the Company grew sales and earnings, improved operating margins, and ended the quarter with a cash balance of $59 million. PC Connection will continue to identify opportunities to build upon our achievements and react to changing demands swiftly. We believe our technical expertise, customer-centric focus, and innovative approach to the marketplace will enable PC Connection to maintain its leadership position in the industry.”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PC Connection, Inc.</w:t>
      </w:r>
    </w:p>
    <w:p>
      <w:pPr>
        <w:spacing w:after="0" w:line="212"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 xml:space="preserve">PC Connection, Inc., a Fortune 1000 company, owns four sales companies: PC Connection Sales Corporation, MoreDirect, Inc., GovConnection, Inc., and PC Connection Express, Inc., headquartered in Merrimack, NH, Boca Raton, FL, Rockville, MD, and Portsmouth, NH, respectively. All four companies can deliver custom-configured computer systems overnight from PC Connection Services’ ISO 9001:2000 certified technical configuration lab at its distribution center in Wilmington, OH. Investors and media can find more information about PC Connection, Inc. at </w:t>
      </w:r>
      <w:r>
        <w:rPr>
          <w:rFonts w:ascii="Arial" w:cs="Arial" w:eastAsia="Arial" w:hAnsi="Arial"/>
          <w:sz w:val="21"/>
          <w:szCs w:val="21"/>
          <w:u w:val="single" w:color="auto"/>
          <w:color w:val="auto"/>
        </w:rPr>
        <w:t>http://ir.pcconnection.com</w:t>
      </w:r>
      <w:r>
        <w:rPr>
          <w:rFonts w:ascii="Arial" w:cs="Arial" w:eastAsia="Arial" w:hAnsi="Arial"/>
          <w:sz w:val="21"/>
          <w:szCs w:val="21"/>
          <w:color w:val="auto"/>
        </w:rPr>
        <w:t>.</w:t>
      </w:r>
    </w:p>
    <w:p>
      <w:pPr>
        <w:spacing w:after="0" w:line="179"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 xml:space="preserve">PC Connection Sales Corporation (800-800-5555), the original business of PC Connection, Inc. serving the small- and medium-sized business sector, is a rapid-response provider of information technology (IT) products and services. It offers more than 150,000 brand-name products through its staff of technically trained sales account managers and catalog telesales representatives, catalogs, and publications, and its website at </w:t>
      </w:r>
      <w:r>
        <w:rPr>
          <w:rFonts w:ascii="Arial" w:cs="Arial" w:eastAsia="Arial" w:hAnsi="Arial"/>
          <w:sz w:val="21"/>
          <w:szCs w:val="21"/>
          <w:u w:val="single" w:color="auto"/>
          <w:color w:val="auto"/>
        </w:rPr>
        <w:t>www.pcconnection.com</w:t>
      </w:r>
      <w:r>
        <w:rPr>
          <w:rFonts w:ascii="Arial" w:cs="Arial" w:eastAsia="Arial" w:hAnsi="Arial"/>
          <w:sz w:val="21"/>
          <w:szCs w:val="21"/>
          <w:color w:val="auto"/>
        </w:rPr>
        <w:t>.</w:t>
      </w:r>
    </w:p>
    <w:p>
      <w:pPr>
        <w:spacing w:after="0" w:line="174"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 xml:space="preserve">MoreDirect, Inc. (561-237-3300), </w:t>
      </w:r>
      <w:r>
        <w:rPr>
          <w:rFonts w:ascii="Arial" w:cs="Arial" w:eastAsia="Arial" w:hAnsi="Arial"/>
          <w:sz w:val="22"/>
          <w:szCs w:val="22"/>
          <w:u w:val="single" w:color="auto"/>
          <w:color w:val="auto"/>
        </w:rPr>
        <w:t>www.moredirect.com</w:t>
      </w:r>
      <w:r>
        <w:rPr>
          <w:rFonts w:ascii="Arial" w:cs="Arial" w:eastAsia="Arial" w:hAnsi="Arial"/>
          <w:sz w:val="22"/>
          <w:szCs w:val="22"/>
          <w:color w:val="auto"/>
        </w:rPr>
        <w:t>, provides corporate technology buyers with a comprehensive web-based e-procurement solution and in-depth IT supply-chain expertise, serving as a one-stop source by aggregating more than 300,000 products from the inventories of leading IT wholesale distributors and manufacturers. MoreDirect’s TRAXX™ system is a seamless end-to-end interface that empowers clients to electronically source, evaluate, compare prices, and track related technology product purchases in real-time.</w:t>
      </w:r>
    </w:p>
    <w:p>
      <w:pPr>
        <w:spacing w:after="0" w:line="188"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 xml:space="preserve">GovConnection, Inc. (800-800-0019) is a rapid-response provider of IT products and services to federal, state, and local government agencies and educational institutions through specialized account managers, catalogs, and publications, and online at </w:t>
      </w:r>
      <w:r>
        <w:rPr>
          <w:rFonts w:ascii="Arial" w:cs="Arial" w:eastAsia="Arial" w:hAnsi="Arial"/>
          <w:sz w:val="22"/>
          <w:szCs w:val="22"/>
          <w:u w:val="single" w:color="auto"/>
          <w:color w:val="auto"/>
        </w:rPr>
        <w:t>www.govconnection.com</w:t>
      </w:r>
      <w:r>
        <w:rPr>
          <w:rFonts w:ascii="Arial" w:cs="Arial" w:eastAsia="Arial" w:hAnsi="Arial"/>
          <w:sz w:val="22"/>
          <w:szCs w:val="22"/>
          <w:color w:val="auto"/>
        </w:rPr>
        <w:t>.</w:t>
      </w:r>
    </w:p>
    <w:p>
      <w:pPr>
        <w:spacing w:after="0" w:line="186"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 xml:space="preserve">PC Connection Express, Inc. (888-800-0323) is a rapid-response provider of computer products and consumer electronics to home, home office, and small office users. Customers can purchase the best-known brands in the industry online at </w:t>
      </w:r>
      <w:r>
        <w:rPr>
          <w:rFonts w:ascii="Arial" w:cs="Arial" w:eastAsia="Arial" w:hAnsi="Arial"/>
          <w:sz w:val="21"/>
          <w:szCs w:val="21"/>
          <w:u w:val="single" w:color="auto"/>
          <w:color w:val="auto"/>
        </w:rPr>
        <w:t>www.pcconnectionexpress.com</w:t>
      </w:r>
      <w:r>
        <w:rPr>
          <w:rFonts w:ascii="Arial" w:cs="Arial" w:eastAsia="Arial" w:hAnsi="Arial"/>
          <w:sz w:val="21"/>
          <w:szCs w:val="21"/>
          <w:color w:val="auto"/>
        </w:rPr>
        <w:t xml:space="preserve"> or order by calling a trained sales specialist. The subsidiary includes the MacConnection brand (800-800-2222), one of Apple’s largest authorized online resellers at </w:t>
      </w:r>
      <w:r>
        <w:rPr>
          <w:rFonts w:ascii="Arial" w:cs="Arial" w:eastAsia="Arial" w:hAnsi="Arial"/>
          <w:sz w:val="21"/>
          <w:szCs w:val="21"/>
          <w:u w:val="single" w:color="auto"/>
          <w:color w:val="auto"/>
        </w:rPr>
        <w:t>www.macconnection.com</w:t>
      </w:r>
      <w:r>
        <w:rPr>
          <w:rFonts w:ascii="Arial" w:cs="Arial" w:eastAsia="Arial" w:hAnsi="Arial"/>
          <w:sz w:val="21"/>
          <w:szCs w:val="2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pccc-g</w:t>
      </w:r>
    </w:p>
    <w:p>
      <w:pPr>
        <w:spacing w:after="0" w:line="206"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“Safe Harbor” Statement Under the Private Securities Litigation Reform Act of 1995: This release contains forward-looking statements that are subject to risks and uncertainties, including, but not limited to, the impact of changes in market demand and the overall level of economic activity and environment, or in the level of business investment in information technology products, competitive products and pricing, product availability and market acceptance, new products, fluctuations in operating results, and the ability of the Company to manage personnel levels in response to fluctuations in revenue, and other risks that could cause actual results to differ materially from those detailed under the caption “Risk Factors” in the Company’s Annual Report on Form 10-K filed with the Securities and Exchange Commission for the year ended December 31, 2009. More specifically, the statements in this release concerning the Company’s outlook for 2010 and other statements of a non-historical basis (including statements regarding the Company’s ability to grow revenues and increase market share) are forward-looking statements that involve certain risks and uncertainties. Such risks and uncertainties include the ability to realize market demand for and competitive pricing pressures on the products and services marketed by the Company, the continued acceptance of the Company's distribution channel by vendors and customers, continuation of key vendor and customer relationships and support programs, and the ability of the Company to hire and retain qualified sales representatives and other essential personnel. The Company assumes no obligation to update the information in this press release or revise any forward-looking statements,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CONSOLIDATED SELECTED FINANCIAL INFORMATION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At or for the Three Months Ended March 31,</w:t>
            </w: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820" w:type="dxa"/>
            <w:vAlign w:val="bottom"/>
          </w:tcPr>
          <w:p>
            <w:pPr>
              <w:jc w:val="right"/>
              <w:ind w:right="368"/>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and shares in thousands, except operating data, price/earnings ratio, and per share data)</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Net Sales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Net Sales</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39"/>
        </w:trPr>
        <w:tc>
          <w:tcPr>
            <w:tcW w:w="6900" w:type="dxa"/>
            <w:vAlign w:val="bottom"/>
          </w:tcPr>
          <w:p>
            <w:pPr>
              <w:spacing w:after="0"/>
              <w:rPr>
                <w:sz w:val="20"/>
                <w:szCs w:val="20"/>
                <w:color w:val="auto"/>
              </w:rPr>
            </w:pPr>
            <w:r>
              <w:rPr>
                <w:rFonts w:ascii="Arial" w:cs="Arial" w:eastAsia="Arial" w:hAnsi="Arial"/>
                <w:sz w:val="14"/>
                <w:szCs w:val="14"/>
                <w:b w:val="1"/>
                <w:bCs w:val="1"/>
                <w:color w:val="auto"/>
              </w:rPr>
              <w:t>Operating Data:</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Net sales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408,262</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326,221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2"/>
        </w:trPr>
        <w:tc>
          <w:tcPr>
            <w:tcW w:w="6900" w:type="dxa"/>
            <w:vAlign w:val="bottom"/>
          </w:tcPr>
          <w:p>
            <w:pPr>
              <w:ind w:left="220"/>
              <w:spacing w:after="0"/>
              <w:rPr>
                <w:sz w:val="20"/>
                <w:szCs w:val="20"/>
                <w:color w:val="auto"/>
              </w:rPr>
            </w:pPr>
            <w:r>
              <w:rPr>
                <w:rFonts w:ascii="Arial" w:cs="Arial" w:eastAsia="Arial" w:hAnsi="Arial"/>
                <w:sz w:val="14"/>
                <w:szCs w:val="14"/>
                <w:color w:val="auto"/>
              </w:rPr>
              <w:t>Diluted earnings (loss) per share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0.09</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(0.06)</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6900" w:type="dxa"/>
            <w:vAlign w:val="bottom"/>
          </w:tcPr>
          <w:p>
            <w:pPr>
              <w:ind w:left="220"/>
              <w:spacing w:after="0"/>
              <w:rPr>
                <w:sz w:val="20"/>
                <w:szCs w:val="20"/>
                <w:color w:val="auto"/>
              </w:rPr>
            </w:pPr>
            <w:r>
              <w:rPr>
                <w:rFonts w:ascii="Arial" w:cs="Arial" w:eastAsia="Arial" w:hAnsi="Arial"/>
                <w:sz w:val="14"/>
                <w:szCs w:val="14"/>
                <w:color w:val="auto"/>
              </w:rPr>
              <w:t>Gross profit margin</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11.9%</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900" w:type="dxa"/>
            <w:vAlign w:val="bottom"/>
          </w:tcPr>
          <w:p>
            <w:pPr>
              <w:ind w:left="220"/>
              <w:spacing w:after="0"/>
              <w:rPr>
                <w:sz w:val="20"/>
                <w:szCs w:val="20"/>
                <w:color w:val="auto"/>
              </w:rPr>
            </w:pPr>
            <w:r>
              <w:rPr>
                <w:rFonts w:ascii="Arial" w:cs="Arial" w:eastAsia="Arial" w:hAnsi="Arial"/>
                <w:sz w:val="14"/>
                <w:szCs w:val="14"/>
                <w:color w:val="auto"/>
              </w:rPr>
              <w:t>Operating margin</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6900" w:type="dxa"/>
            <w:vAlign w:val="bottom"/>
          </w:tcPr>
          <w:p>
            <w:pPr>
              <w:ind w:left="220"/>
              <w:spacing w:after="0"/>
              <w:rPr>
                <w:sz w:val="20"/>
                <w:szCs w:val="20"/>
                <w:color w:val="auto"/>
              </w:rPr>
            </w:pPr>
            <w:r>
              <w:rPr>
                <w:rFonts w:ascii="Arial" w:cs="Arial" w:eastAsia="Arial" w:hAnsi="Arial"/>
                <w:sz w:val="14"/>
                <w:szCs w:val="14"/>
                <w:color w:val="auto"/>
              </w:rPr>
              <w:t xml:space="preserve">Return on equity </w:t>
            </w:r>
            <w:r>
              <w:rPr>
                <w:rFonts w:ascii="Arial" w:cs="Arial" w:eastAsia="Arial" w:hAnsi="Arial"/>
                <w:sz w:val="23"/>
                <w:szCs w:val="23"/>
                <w:color w:val="auto"/>
                <w:vertAlign w:val="superscript"/>
              </w:rPr>
              <w:t>(1)</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900" w:type="dxa"/>
            <w:vAlign w:val="bottom"/>
          </w:tcPr>
          <w:p>
            <w:pPr>
              <w:ind w:left="220"/>
              <w:spacing w:after="0"/>
              <w:rPr>
                <w:sz w:val="20"/>
                <w:szCs w:val="20"/>
                <w:color w:val="auto"/>
              </w:rPr>
            </w:pPr>
            <w:r>
              <w:rPr>
                <w:rFonts w:ascii="Arial" w:cs="Arial" w:eastAsia="Arial" w:hAnsi="Arial"/>
                <w:sz w:val="14"/>
                <w:szCs w:val="14"/>
                <w:color w:val="auto"/>
              </w:rPr>
              <w:t>Catalogs distributed</w:t>
            </w:r>
          </w:p>
        </w:tc>
        <w:tc>
          <w:tcPr>
            <w:tcW w:w="16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w w:val="96"/>
              </w:rPr>
              <w:t>2,741,000</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w w:val="99"/>
              </w:rPr>
              <w:t>2,942,000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9"/>
        </w:trPr>
        <w:tc>
          <w:tcPr>
            <w:tcW w:w="6900" w:type="dxa"/>
            <w:vAlign w:val="bottom"/>
          </w:tcPr>
          <w:p>
            <w:pPr>
              <w:ind w:left="220"/>
              <w:spacing w:after="0" w:line="219" w:lineRule="exact"/>
              <w:rPr>
                <w:sz w:val="20"/>
                <w:szCs w:val="20"/>
                <w:color w:val="auto"/>
              </w:rPr>
            </w:pPr>
            <w:r>
              <w:rPr>
                <w:rFonts w:ascii="Arial" w:cs="Arial" w:eastAsia="Arial" w:hAnsi="Arial"/>
                <w:sz w:val="14"/>
                <w:szCs w:val="14"/>
                <w:color w:val="auto"/>
              </w:rPr>
              <w:t xml:space="preserve">Orders entered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335,000</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332,700</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13"/>
        </w:trPr>
        <w:tc>
          <w:tcPr>
            <w:tcW w:w="6900" w:type="dxa"/>
            <w:vAlign w:val="bottom"/>
          </w:tcPr>
          <w:p>
            <w:pPr>
              <w:ind w:left="220"/>
              <w:spacing w:after="0"/>
              <w:rPr>
                <w:sz w:val="20"/>
                <w:szCs w:val="20"/>
                <w:color w:val="auto"/>
              </w:rPr>
            </w:pPr>
            <w:r>
              <w:rPr>
                <w:rFonts w:ascii="Arial" w:cs="Arial" w:eastAsia="Arial" w:hAnsi="Arial"/>
                <w:sz w:val="14"/>
                <w:szCs w:val="14"/>
                <w:color w:val="auto"/>
              </w:rPr>
              <w:t xml:space="preserve">Average order size </w:t>
            </w:r>
            <w:r>
              <w:rPr>
                <w:rFonts w:ascii="Arial" w:cs="Arial" w:eastAsia="Arial" w:hAnsi="Arial"/>
                <w:sz w:val="23"/>
                <w:szCs w:val="23"/>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1,472</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1,174</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85"/>
        </w:trPr>
        <w:tc>
          <w:tcPr>
            <w:tcW w:w="6900" w:type="dxa"/>
            <w:vAlign w:val="bottom"/>
          </w:tcPr>
          <w:p>
            <w:pPr>
              <w:ind w:left="220"/>
              <w:spacing w:after="0"/>
              <w:rPr>
                <w:sz w:val="20"/>
                <w:szCs w:val="20"/>
                <w:color w:val="auto"/>
              </w:rPr>
            </w:pPr>
            <w:r>
              <w:rPr>
                <w:rFonts w:ascii="Arial" w:cs="Arial" w:eastAsia="Arial" w:hAnsi="Arial"/>
                <w:sz w:val="14"/>
                <w:szCs w:val="14"/>
                <w:color w:val="auto"/>
              </w:rPr>
              <w:t xml:space="preserve">Inventory turns </w:t>
            </w:r>
            <w:r>
              <w:rPr>
                <w:rFonts w:ascii="Arial" w:cs="Arial" w:eastAsia="Arial" w:hAnsi="Arial"/>
                <w:sz w:val="23"/>
                <w:szCs w:val="23"/>
                <w:color w:val="auto"/>
                <w:vertAlign w:val="superscript"/>
              </w:rPr>
              <w:t>(1)</w:t>
            </w:r>
          </w:p>
        </w:tc>
        <w:tc>
          <w:tcPr>
            <w:tcW w:w="16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900" w:type="dxa"/>
            <w:vAlign w:val="bottom"/>
          </w:tcPr>
          <w:p>
            <w:pPr>
              <w:ind w:left="220"/>
              <w:spacing w:after="0"/>
              <w:rPr>
                <w:sz w:val="20"/>
                <w:szCs w:val="20"/>
                <w:color w:val="auto"/>
              </w:rPr>
            </w:pPr>
            <w:r>
              <w:rPr>
                <w:rFonts w:ascii="Arial" w:cs="Arial" w:eastAsia="Arial" w:hAnsi="Arial"/>
                <w:sz w:val="14"/>
                <w:szCs w:val="14"/>
                <w:color w:val="auto"/>
              </w:rPr>
              <w:t>Days sales outstanding</w:t>
            </w:r>
          </w:p>
        </w:tc>
        <w:tc>
          <w:tcPr>
            <w:tcW w:w="1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6900" w:type="dxa"/>
            <w:vAlign w:val="bottom"/>
          </w:tcPr>
          <w:p>
            <w:pPr>
              <w:spacing w:after="0"/>
              <w:rPr>
                <w:sz w:val="20"/>
                <w:szCs w:val="20"/>
                <w:color w:val="auto"/>
              </w:rPr>
            </w:pPr>
            <w:r>
              <w:rPr>
                <w:rFonts w:ascii="Arial" w:cs="Arial" w:eastAsia="Arial" w:hAnsi="Arial"/>
                <w:sz w:val="14"/>
                <w:szCs w:val="14"/>
                <w:b w:val="1"/>
                <w:bCs w:val="1"/>
                <w:color w:val="auto"/>
              </w:rPr>
              <w:t>Product Mix:</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Notebooks &amp; PDAs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65,953</w:t>
            </w: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16%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47,625</w:t>
            </w: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15%</w:t>
            </w: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Desktops/Servers</w:t>
            </w:r>
          </w:p>
        </w:tc>
        <w:tc>
          <w:tcPr>
            <w:tcW w:w="1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60,562</w:t>
            </w:r>
          </w:p>
        </w:tc>
        <w:tc>
          <w:tcPr>
            <w:tcW w:w="740" w:type="dxa"/>
            <w:vAlign w:val="bottom"/>
            <w:gridSpan w:val="2"/>
          </w:tcPr>
          <w:p>
            <w:pPr>
              <w:jc w:val="right"/>
              <w:ind w:right="16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39,604</w:t>
            </w:r>
          </w:p>
        </w:tc>
        <w:tc>
          <w:tcPr>
            <w:tcW w:w="760" w:type="dxa"/>
            <w:vAlign w:val="bottom"/>
            <w:gridSpan w:val="2"/>
          </w:tcPr>
          <w:p>
            <w:pPr>
              <w:jc w:val="right"/>
              <w:ind w:right="168"/>
              <w:spacing w:after="0"/>
              <w:rPr>
                <w:sz w:val="20"/>
                <w:szCs w:val="20"/>
                <w:color w:val="auto"/>
              </w:rPr>
            </w:pPr>
            <w:r>
              <w:rPr>
                <w:rFonts w:ascii="Arial" w:cs="Arial" w:eastAsia="Arial" w:hAnsi="Arial"/>
                <w:sz w:val="14"/>
                <w:szCs w:val="14"/>
                <w:color w:val="auto"/>
              </w:rPr>
              <w:t>12</w:t>
            </w: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Video, Imaging &amp; Sound</w:t>
            </w:r>
          </w:p>
        </w:tc>
        <w:tc>
          <w:tcPr>
            <w:tcW w:w="1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54,553</w:t>
            </w:r>
          </w:p>
        </w:tc>
        <w:tc>
          <w:tcPr>
            <w:tcW w:w="740" w:type="dxa"/>
            <w:vAlign w:val="bottom"/>
            <w:gridSpan w:val="2"/>
          </w:tcPr>
          <w:p>
            <w:pPr>
              <w:jc w:val="right"/>
              <w:ind w:right="168"/>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44,321</w:t>
            </w:r>
          </w:p>
        </w:tc>
        <w:tc>
          <w:tcPr>
            <w:tcW w:w="760" w:type="dxa"/>
            <w:vAlign w:val="bottom"/>
            <w:gridSpan w:val="2"/>
          </w:tcPr>
          <w:p>
            <w:pPr>
              <w:jc w:val="right"/>
              <w:ind w:right="168"/>
              <w:spacing w:after="0"/>
              <w:rPr>
                <w:sz w:val="20"/>
                <w:szCs w:val="20"/>
                <w:color w:val="auto"/>
              </w:rPr>
            </w:pPr>
            <w:r>
              <w:rPr>
                <w:rFonts w:ascii="Arial" w:cs="Arial" w:eastAsia="Arial" w:hAnsi="Arial"/>
                <w:sz w:val="14"/>
                <w:szCs w:val="14"/>
                <w:color w:val="auto"/>
              </w:rPr>
              <w:t>14</w:t>
            </w: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Software</w:t>
            </w:r>
          </w:p>
        </w:tc>
        <w:tc>
          <w:tcPr>
            <w:tcW w:w="1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53,846</w:t>
            </w:r>
          </w:p>
        </w:tc>
        <w:tc>
          <w:tcPr>
            <w:tcW w:w="740" w:type="dxa"/>
            <w:vAlign w:val="bottom"/>
            <w:gridSpan w:val="2"/>
          </w:tcPr>
          <w:p>
            <w:pPr>
              <w:jc w:val="right"/>
              <w:ind w:right="168"/>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44,684</w:t>
            </w:r>
          </w:p>
        </w:tc>
        <w:tc>
          <w:tcPr>
            <w:tcW w:w="760" w:type="dxa"/>
            <w:vAlign w:val="bottom"/>
            <w:gridSpan w:val="2"/>
          </w:tcPr>
          <w:p>
            <w:pPr>
              <w:jc w:val="right"/>
              <w:ind w:right="168"/>
              <w:spacing w:after="0"/>
              <w:rPr>
                <w:sz w:val="20"/>
                <w:szCs w:val="20"/>
                <w:color w:val="auto"/>
              </w:rPr>
            </w:pPr>
            <w:r>
              <w:rPr>
                <w:rFonts w:ascii="Arial" w:cs="Arial" w:eastAsia="Arial" w:hAnsi="Arial"/>
                <w:sz w:val="14"/>
                <w:szCs w:val="14"/>
                <w:color w:val="auto"/>
              </w:rPr>
              <w:t>14</w:t>
            </w: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Printers &amp; Printer Supplies</w:t>
            </w:r>
          </w:p>
        </w:tc>
        <w:tc>
          <w:tcPr>
            <w:tcW w:w="1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38,703</w:t>
            </w:r>
          </w:p>
        </w:tc>
        <w:tc>
          <w:tcPr>
            <w:tcW w:w="740" w:type="dxa"/>
            <w:vAlign w:val="bottom"/>
            <w:gridSpan w:val="2"/>
          </w:tcPr>
          <w:p>
            <w:pPr>
              <w:jc w:val="right"/>
              <w:ind w:right="16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30,258</w:t>
            </w:r>
          </w:p>
        </w:tc>
        <w:tc>
          <w:tcPr>
            <w:tcW w:w="760" w:type="dxa"/>
            <w:vAlign w:val="bottom"/>
            <w:gridSpan w:val="2"/>
          </w:tcPr>
          <w:p>
            <w:pPr>
              <w:jc w:val="right"/>
              <w:ind w:right="168"/>
              <w:spacing w:after="0"/>
              <w:rPr>
                <w:sz w:val="20"/>
                <w:szCs w:val="20"/>
                <w:color w:val="auto"/>
              </w:rPr>
            </w:pPr>
            <w:r>
              <w:rPr>
                <w:rFonts w:ascii="Arial" w:cs="Arial" w:eastAsia="Arial" w:hAnsi="Arial"/>
                <w:sz w:val="14"/>
                <w:szCs w:val="14"/>
                <w:color w:val="auto"/>
              </w:rPr>
              <w:t>9</w:t>
            </w: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Net/Com Products</w:t>
            </w:r>
          </w:p>
        </w:tc>
        <w:tc>
          <w:tcPr>
            <w:tcW w:w="1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37,136</w:t>
            </w:r>
          </w:p>
        </w:tc>
        <w:tc>
          <w:tcPr>
            <w:tcW w:w="740" w:type="dxa"/>
            <w:vAlign w:val="bottom"/>
            <w:gridSpan w:val="2"/>
          </w:tcPr>
          <w:p>
            <w:pPr>
              <w:jc w:val="right"/>
              <w:ind w:right="16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33,115</w:t>
            </w:r>
          </w:p>
        </w:tc>
        <w:tc>
          <w:tcPr>
            <w:tcW w:w="760" w:type="dxa"/>
            <w:vAlign w:val="bottom"/>
            <w:gridSpan w:val="2"/>
          </w:tcPr>
          <w:p>
            <w:pPr>
              <w:jc w:val="right"/>
              <w:ind w:right="168"/>
              <w:spacing w:after="0"/>
              <w:rPr>
                <w:sz w:val="20"/>
                <w:szCs w:val="20"/>
                <w:color w:val="auto"/>
              </w:rPr>
            </w:pPr>
            <w:r>
              <w:rPr>
                <w:rFonts w:ascii="Arial" w:cs="Arial" w:eastAsia="Arial" w:hAnsi="Arial"/>
                <w:sz w:val="14"/>
                <w:szCs w:val="14"/>
                <w:color w:val="auto"/>
              </w:rPr>
              <w:t>10</w:t>
            </w: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Storage Devices</w:t>
            </w:r>
          </w:p>
        </w:tc>
        <w:tc>
          <w:tcPr>
            <w:tcW w:w="1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33,026</w:t>
            </w:r>
          </w:p>
        </w:tc>
        <w:tc>
          <w:tcPr>
            <w:tcW w:w="740" w:type="dxa"/>
            <w:vAlign w:val="bottom"/>
            <w:gridSpan w:val="2"/>
          </w:tcPr>
          <w:p>
            <w:pPr>
              <w:jc w:val="right"/>
              <w:ind w:right="16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29,107</w:t>
            </w:r>
          </w:p>
        </w:tc>
        <w:tc>
          <w:tcPr>
            <w:tcW w:w="760" w:type="dxa"/>
            <w:vAlign w:val="bottom"/>
            <w:gridSpan w:val="2"/>
          </w:tcPr>
          <w:p>
            <w:pPr>
              <w:jc w:val="right"/>
              <w:ind w:right="168"/>
              <w:spacing w:after="0"/>
              <w:rPr>
                <w:sz w:val="20"/>
                <w:szCs w:val="20"/>
                <w:color w:val="auto"/>
              </w:rPr>
            </w:pPr>
            <w:r>
              <w:rPr>
                <w:rFonts w:ascii="Arial" w:cs="Arial" w:eastAsia="Arial" w:hAnsi="Arial"/>
                <w:sz w:val="14"/>
                <w:szCs w:val="14"/>
                <w:color w:val="auto"/>
              </w:rPr>
              <w:t>9</w:t>
            </w: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Memory &amp; System Enhancements</w:t>
            </w:r>
          </w:p>
        </w:tc>
        <w:tc>
          <w:tcPr>
            <w:tcW w:w="1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16,813</w:t>
            </w:r>
          </w:p>
        </w:tc>
        <w:tc>
          <w:tcPr>
            <w:tcW w:w="740" w:type="dxa"/>
            <w:vAlign w:val="bottom"/>
            <w:gridSpan w:val="2"/>
          </w:tcPr>
          <w:p>
            <w:pPr>
              <w:jc w:val="right"/>
              <w:ind w:right="16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11,310</w:t>
            </w:r>
          </w:p>
        </w:tc>
        <w:tc>
          <w:tcPr>
            <w:tcW w:w="760" w:type="dxa"/>
            <w:vAlign w:val="bottom"/>
            <w:gridSpan w:val="2"/>
          </w:tcPr>
          <w:p>
            <w:pPr>
              <w:jc w:val="right"/>
              <w:ind w:right="168"/>
              <w:spacing w:after="0"/>
              <w:rPr>
                <w:sz w:val="20"/>
                <w:szCs w:val="20"/>
                <w:color w:val="auto"/>
              </w:rPr>
            </w:pPr>
            <w:r>
              <w:rPr>
                <w:rFonts w:ascii="Arial" w:cs="Arial" w:eastAsia="Arial" w:hAnsi="Arial"/>
                <w:sz w:val="14"/>
                <w:szCs w:val="14"/>
                <w:color w:val="auto"/>
              </w:rPr>
              <w:t>3</w:t>
            </w: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1"/>
        </w:trPr>
        <w:tc>
          <w:tcPr>
            <w:tcW w:w="6900" w:type="dxa"/>
            <w:vAlign w:val="bottom"/>
          </w:tcPr>
          <w:p>
            <w:pPr>
              <w:ind w:left="220"/>
              <w:spacing w:after="0"/>
              <w:rPr>
                <w:sz w:val="20"/>
                <w:szCs w:val="20"/>
                <w:color w:val="auto"/>
              </w:rPr>
            </w:pPr>
            <w:r>
              <w:rPr>
                <w:rFonts w:ascii="Arial" w:cs="Arial" w:eastAsia="Arial" w:hAnsi="Arial"/>
                <w:sz w:val="14"/>
                <w:szCs w:val="14"/>
                <w:color w:val="auto"/>
              </w:rPr>
              <w:t>Accessories/Other</w:t>
            </w:r>
          </w:p>
        </w:tc>
        <w:tc>
          <w:tcPr>
            <w:tcW w:w="1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47,670</w:t>
            </w:r>
          </w:p>
        </w:tc>
        <w:tc>
          <w:tcPr>
            <w:tcW w:w="740" w:type="dxa"/>
            <w:vAlign w:val="bottom"/>
            <w:gridSpan w:val="2"/>
          </w:tcPr>
          <w:p>
            <w:pPr>
              <w:jc w:val="right"/>
              <w:ind w:right="168"/>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46,197</w:t>
            </w:r>
          </w:p>
        </w:tc>
        <w:tc>
          <w:tcPr>
            <w:tcW w:w="760" w:type="dxa"/>
            <w:vAlign w:val="bottom"/>
            <w:gridSpan w:val="2"/>
          </w:tcPr>
          <w:p>
            <w:pPr>
              <w:jc w:val="right"/>
              <w:ind w:right="168"/>
              <w:spacing w:after="0"/>
              <w:rPr>
                <w:sz w:val="20"/>
                <w:szCs w:val="20"/>
                <w:color w:val="auto"/>
              </w:rPr>
            </w:pPr>
            <w:r>
              <w:rPr>
                <w:rFonts w:ascii="Arial" w:cs="Arial" w:eastAsia="Arial" w:hAnsi="Arial"/>
                <w:sz w:val="14"/>
                <w:szCs w:val="14"/>
                <w:color w:val="auto"/>
              </w:rPr>
              <w:t>14</w:t>
            </w: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9"/>
        </w:trPr>
        <w:tc>
          <w:tcPr>
            <w:tcW w:w="69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408,262</w:t>
            </w:r>
          </w:p>
        </w:tc>
        <w:tc>
          <w:tcPr>
            <w:tcW w:w="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326,221</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Net Sales of Enterprise Server and Networking Products (included in the above Product Mix):</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9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148,398</w:t>
            </w: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36%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118,159</w:t>
            </w: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36%</w:t>
            </w: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Stock Performance Indicators: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6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Actual shares outstanding</w:t>
            </w:r>
          </w:p>
        </w:tc>
        <w:tc>
          <w:tcPr>
            <w:tcW w:w="16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26,827</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26,793</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Total book value per share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8.87</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8.73</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Tangible book value per share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6.86</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00" w:type="dxa"/>
            <w:vAlign w:val="bottom"/>
          </w:tcPr>
          <w:p>
            <w:pPr>
              <w:ind w:left="220"/>
              <w:spacing w:after="0"/>
              <w:rPr>
                <w:sz w:val="20"/>
                <w:szCs w:val="20"/>
                <w:color w:val="auto"/>
              </w:rPr>
            </w:pPr>
            <w:r>
              <w:rPr>
                <w:rFonts w:ascii="Arial" w:cs="Arial" w:eastAsia="Arial" w:hAnsi="Arial"/>
                <w:sz w:val="14"/>
                <w:szCs w:val="14"/>
                <w:color w:val="auto"/>
              </w:rPr>
              <w:t>Closing price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6.20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900" w:type="dxa"/>
            <w:vAlign w:val="bottom"/>
          </w:tcPr>
          <w:p>
            <w:pPr>
              <w:ind w:left="220"/>
              <w:spacing w:after="0"/>
              <w:rPr>
                <w:sz w:val="20"/>
                <w:szCs w:val="20"/>
                <w:color w:val="auto"/>
              </w:rPr>
            </w:pPr>
            <w:r>
              <w:rPr>
                <w:rFonts w:ascii="Arial" w:cs="Arial" w:eastAsia="Arial" w:hAnsi="Arial"/>
                <w:sz w:val="14"/>
                <w:szCs w:val="14"/>
                <w:color w:val="auto"/>
              </w:rPr>
              <w:t>Market capitalization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166,327</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101,813</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6900" w:type="dxa"/>
            <w:vAlign w:val="bottom"/>
          </w:tcPr>
          <w:p>
            <w:pPr>
              <w:ind w:left="220"/>
              <w:spacing w:after="0"/>
              <w:rPr>
                <w:sz w:val="20"/>
                <w:szCs w:val="20"/>
                <w:color w:val="auto"/>
              </w:rPr>
            </w:pPr>
            <w:r>
              <w:rPr>
                <w:rFonts w:ascii="Arial" w:cs="Arial" w:eastAsia="Arial" w:hAnsi="Arial"/>
                <w:sz w:val="14"/>
                <w:szCs w:val="14"/>
                <w:color w:val="auto"/>
              </w:rPr>
              <w:t xml:space="preserve">Pro forma trailing price/earnings ratio </w:t>
            </w:r>
            <w:r>
              <w:rPr>
                <w:rFonts w:ascii="Arial" w:cs="Arial" w:eastAsia="Arial" w:hAnsi="Arial"/>
                <w:sz w:val="23"/>
                <w:szCs w:val="23"/>
                <w:color w:val="auto"/>
                <w:vertAlign w:val="superscript"/>
              </w:rPr>
              <w:t>(3)</w:t>
            </w:r>
          </w:p>
        </w:tc>
        <w:tc>
          <w:tcPr>
            <w:tcW w:w="16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 Annualized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(2) Does not reflect cancellations or returns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(3) Earnings calculation is based on the last four quarters and excludes special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REVENUE AND MARGIN INFORMATION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1108"/>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2009</w:t>
            </w:r>
          </w:p>
        </w:tc>
      </w:tr>
      <w:tr>
        <w:trPr>
          <w:trHeight w:val="133"/>
        </w:trPr>
        <w:tc>
          <w:tcPr>
            <w:tcW w:w="5960" w:type="dxa"/>
            <w:vAlign w:val="bottom"/>
          </w:tcPr>
          <w:p>
            <w:pPr>
              <w:spacing w:after="0" w:line="133" w:lineRule="exact"/>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1"/>
                <w:szCs w:val="11"/>
                <w:color w:val="auto"/>
              </w:rPr>
            </w:pPr>
          </w:p>
        </w:tc>
        <w:tc>
          <w:tcPr>
            <w:tcW w:w="820" w:type="dxa"/>
            <w:vAlign w:val="bottom"/>
          </w:tcPr>
          <w:p>
            <w:pPr>
              <w:jc w:val="right"/>
              <w:ind w:right="368"/>
              <w:spacing w:after="0" w:line="133" w:lineRule="exact"/>
              <w:rPr>
                <w:sz w:val="20"/>
                <w:szCs w:val="20"/>
                <w:color w:val="auto"/>
              </w:rPr>
            </w:pPr>
            <w:r>
              <w:rPr>
                <w:rFonts w:ascii="Arial" w:cs="Arial" w:eastAsia="Arial" w:hAnsi="Arial"/>
                <w:sz w:val="14"/>
                <w:szCs w:val="14"/>
                <w:b w:val="1"/>
                <w:bCs w:val="1"/>
                <w:color w:val="auto"/>
              </w:rPr>
              <w:t>Net</w:t>
            </w:r>
          </w:p>
        </w:tc>
        <w:tc>
          <w:tcPr>
            <w:tcW w:w="156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Net</w:t>
            </w:r>
          </w:p>
        </w:tc>
        <w:tc>
          <w:tcPr>
            <w:tcW w:w="1560" w:type="dxa"/>
            <w:vAlign w:val="bottom"/>
          </w:tcPr>
          <w:p>
            <w:pPr>
              <w:ind w:left="640"/>
              <w:spacing w:after="0" w:line="133" w:lineRule="exact"/>
              <w:rPr>
                <w:sz w:val="20"/>
                <w:szCs w:val="20"/>
                <w:color w:val="auto"/>
              </w:rPr>
            </w:pPr>
            <w:r>
              <w:rPr>
                <w:rFonts w:ascii="Arial" w:cs="Arial" w:eastAsia="Arial" w:hAnsi="Arial"/>
                <w:sz w:val="14"/>
                <w:szCs w:val="14"/>
                <w:b w:val="1"/>
                <w:bCs w:val="1"/>
                <w:color w:val="auto"/>
              </w:rPr>
              <w:t>Gross</w:t>
            </w:r>
          </w:p>
        </w:tc>
      </w:tr>
      <w:tr>
        <w:trPr>
          <w:trHeight w:val="185"/>
        </w:trPr>
        <w:tc>
          <w:tcPr>
            <w:tcW w:w="5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Sales</w:t>
            </w:r>
          </w:p>
        </w:tc>
        <w:tc>
          <w:tcPr>
            <w:tcW w:w="15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Margin (%)</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7"/>
              </w:rPr>
              <w:t>Sales</w:t>
            </w:r>
          </w:p>
        </w:tc>
        <w:tc>
          <w:tcPr>
            <w:tcW w:w="15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Margin (%)</w:t>
            </w:r>
          </w:p>
        </w:tc>
      </w:tr>
      <w:tr>
        <w:trPr>
          <w:trHeight w:val="380"/>
        </w:trPr>
        <w:tc>
          <w:tcPr>
            <w:tcW w:w="5960" w:type="dxa"/>
            <w:vAlign w:val="bottom"/>
          </w:tcPr>
          <w:p>
            <w:pPr>
              <w:ind w:left="140"/>
              <w:spacing w:after="0"/>
              <w:rPr>
                <w:sz w:val="20"/>
                <w:szCs w:val="20"/>
                <w:color w:val="auto"/>
              </w:rPr>
            </w:pPr>
            <w:r>
              <w:rPr>
                <w:rFonts w:ascii="Arial" w:cs="Arial" w:eastAsia="Arial" w:hAnsi="Arial"/>
                <w:sz w:val="14"/>
                <w:szCs w:val="14"/>
                <w:color w:val="auto"/>
              </w:rPr>
              <w:t xml:space="preserve">PC Connection Sales Corporation (SMB) </w:t>
            </w:r>
            <w:r>
              <w:rPr>
                <w:rFonts w:ascii="Arial" w:cs="Arial" w:eastAsia="Arial" w:hAnsi="Arial"/>
                <w:sz w:val="23"/>
                <w:szCs w:val="23"/>
                <w:color w:val="auto"/>
                <w:vertAlign w:val="superscript"/>
              </w:rPr>
              <w:t>(1)</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191,988</w:t>
            </w:r>
          </w:p>
        </w:tc>
        <w:tc>
          <w:tcPr>
            <w:tcW w:w="1560" w:type="dxa"/>
            <w:vAlign w:val="bottom"/>
          </w:tcPr>
          <w:p>
            <w:pPr>
              <w:jc w:val="right"/>
              <w:ind w:right="288"/>
              <w:spacing w:after="0"/>
              <w:rPr>
                <w:sz w:val="20"/>
                <w:szCs w:val="20"/>
                <w:color w:val="auto"/>
              </w:rPr>
            </w:pPr>
            <w:r>
              <w:rPr>
                <w:rFonts w:ascii="Arial" w:cs="Arial" w:eastAsia="Arial" w:hAnsi="Arial"/>
                <w:sz w:val="14"/>
                <w:szCs w:val="14"/>
                <w:color w:val="auto"/>
              </w:rPr>
              <w:t>13.8%</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150,755</w:t>
            </w:r>
          </w:p>
        </w:tc>
        <w:tc>
          <w:tcPr>
            <w:tcW w:w="1560" w:type="dxa"/>
            <w:vAlign w:val="bottom"/>
          </w:tcPr>
          <w:p>
            <w:pPr>
              <w:ind w:left="820"/>
              <w:spacing w:after="0"/>
              <w:rPr>
                <w:sz w:val="20"/>
                <w:szCs w:val="20"/>
                <w:color w:val="auto"/>
              </w:rPr>
            </w:pPr>
            <w:r>
              <w:rPr>
                <w:rFonts w:ascii="Arial" w:cs="Arial" w:eastAsia="Arial" w:hAnsi="Arial"/>
                <w:sz w:val="14"/>
                <w:szCs w:val="14"/>
                <w:color w:val="auto"/>
              </w:rPr>
              <w:t>15.0%</w:t>
            </w:r>
          </w:p>
        </w:tc>
      </w:tr>
      <w:tr>
        <w:trPr>
          <w:trHeight w:val="176"/>
        </w:trPr>
        <w:tc>
          <w:tcPr>
            <w:tcW w:w="5960" w:type="dxa"/>
            <w:vAlign w:val="bottom"/>
          </w:tcPr>
          <w:p>
            <w:pPr>
              <w:ind w:left="140"/>
              <w:spacing w:after="0"/>
              <w:rPr>
                <w:sz w:val="20"/>
                <w:szCs w:val="20"/>
                <w:color w:val="auto"/>
              </w:rPr>
            </w:pPr>
            <w:r>
              <w:rPr>
                <w:rFonts w:ascii="Arial" w:cs="Arial" w:eastAsia="Arial" w:hAnsi="Arial"/>
                <w:sz w:val="14"/>
                <w:szCs w:val="14"/>
                <w:color w:val="auto"/>
              </w:rPr>
              <w:t>MoreDirect (Large Account)</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126,102</w:t>
            </w:r>
          </w:p>
        </w:tc>
        <w:tc>
          <w:tcPr>
            <w:tcW w:w="1560" w:type="dxa"/>
            <w:vAlign w:val="bottom"/>
          </w:tcPr>
          <w:p>
            <w:pPr>
              <w:jc w:val="right"/>
              <w:ind w:right="40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90,723</w:t>
            </w:r>
          </w:p>
        </w:tc>
        <w:tc>
          <w:tcPr>
            <w:tcW w:w="1560" w:type="dxa"/>
            <w:vAlign w:val="bottom"/>
          </w:tcPr>
          <w:p>
            <w:pPr>
              <w:ind w:left="820"/>
              <w:spacing w:after="0"/>
              <w:rPr>
                <w:sz w:val="20"/>
                <w:szCs w:val="20"/>
                <w:color w:val="auto"/>
              </w:rPr>
            </w:pPr>
            <w:r>
              <w:rPr>
                <w:rFonts w:ascii="Arial" w:cs="Arial" w:eastAsia="Arial" w:hAnsi="Arial"/>
                <w:sz w:val="14"/>
                <w:szCs w:val="14"/>
                <w:color w:val="auto"/>
              </w:rPr>
              <w:t>10.7</w:t>
            </w:r>
          </w:p>
        </w:tc>
      </w:tr>
      <w:tr>
        <w:trPr>
          <w:trHeight w:val="182"/>
        </w:trPr>
        <w:tc>
          <w:tcPr>
            <w:tcW w:w="5960" w:type="dxa"/>
            <w:vAlign w:val="bottom"/>
          </w:tcPr>
          <w:p>
            <w:pPr>
              <w:ind w:left="140"/>
              <w:spacing w:after="0"/>
              <w:rPr>
                <w:sz w:val="20"/>
                <w:szCs w:val="20"/>
                <w:color w:val="auto"/>
              </w:rPr>
            </w:pPr>
            <w:r>
              <w:rPr>
                <w:rFonts w:ascii="Arial" w:cs="Arial" w:eastAsia="Arial" w:hAnsi="Arial"/>
                <w:sz w:val="14"/>
                <w:szCs w:val="14"/>
                <w:color w:val="auto"/>
              </w:rPr>
              <w:t>GovConnection (Public Sector)</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79,249</w:t>
            </w:r>
          </w:p>
        </w:tc>
        <w:tc>
          <w:tcPr>
            <w:tcW w:w="1560" w:type="dxa"/>
            <w:vAlign w:val="bottom"/>
          </w:tcPr>
          <w:p>
            <w:pPr>
              <w:jc w:val="right"/>
              <w:ind w:right="40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63,130</w:t>
            </w:r>
          </w:p>
        </w:tc>
        <w:tc>
          <w:tcPr>
            <w:tcW w:w="1560" w:type="dxa"/>
            <w:vAlign w:val="bottom"/>
          </w:tcPr>
          <w:p>
            <w:pPr>
              <w:ind w:left="820"/>
              <w:spacing w:after="0"/>
              <w:rPr>
                <w:sz w:val="20"/>
                <w:szCs w:val="20"/>
                <w:color w:val="auto"/>
              </w:rPr>
            </w:pPr>
            <w:r>
              <w:rPr>
                <w:rFonts w:ascii="Arial" w:cs="Arial" w:eastAsia="Arial" w:hAnsi="Arial"/>
                <w:sz w:val="14"/>
                <w:szCs w:val="14"/>
                <w:color w:val="auto"/>
              </w:rPr>
              <w:t>11.1</w:t>
            </w:r>
          </w:p>
        </w:tc>
      </w:tr>
      <w:tr>
        <w:trPr>
          <w:trHeight w:val="215"/>
        </w:trPr>
        <w:tc>
          <w:tcPr>
            <w:tcW w:w="5960" w:type="dxa"/>
            <w:vAlign w:val="bottom"/>
          </w:tcPr>
          <w:p>
            <w:pPr>
              <w:ind w:left="140"/>
              <w:spacing w:after="0" w:line="214" w:lineRule="exact"/>
              <w:rPr>
                <w:sz w:val="20"/>
                <w:szCs w:val="20"/>
                <w:color w:val="auto"/>
              </w:rPr>
            </w:pPr>
            <w:r>
              <w:rPr>
                <w:rFonts w:ascii="Arial" w:cs="Arial" w:eastAsia="Arial" w:hAnsi="Arial"/>
                <w:sz w:val="14"/>
                <w:szCs w:val="14"/>
                <w:color w:val="auto"/>
              </w:rPr>
              <w:t xml:space="preserve">PC Connection Express (Consumer) </w:t>
            </w:r>
            <w:r>
              <w:rPr>
                <w:rFonts w:ascii="Arial" w:cs="Arial" w:eastAsia="Arial" w:hAnsi="Arial"/>
                <w:sz w:val="23"/>
                <w:szCs w:val="23"/>
                <w:color w:val="auto"/>
                <w:vertAlign w:val="superscript"/>
              </w:rPr>
              <w:t>(1)</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10,923</w:t>
            </w:r>
          </w:p>
        </w:tc>
        <w:tc>
          <w:tcPr>
            <w:tcW w:w="1560" w:type="dxa"/>
            <w:vAlign w:val="bottom"/>
          </w:tcPr>
          <w:p>
            <w:pPr>
              <w:jc w:val="right"/>
              <w:ind w:right="40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21,613</w:t>
            </w:r>
          </w:p>
        </w:tc>
        <w:tc>
          <w:tcPr>
            <w:tcW w:w="1560" w:type="dxa"/>
            <w:vAlign w:val="bottom"/>
          </w:tcPr>
          <w:p>
            <w:pPr>
              <w:ind w:left="820"/>
              <w:spacing w:after="0"/>
              <w:rPr>
                <w:sz w:val="20"/>
                <w:szCs w:val="20"/>
                <w:color w:val="auto"/>
              </w:rPr>
            </w:pPr>
            <w:r>
              <w:rPr>
                <w:rFonts w:ascii="Arial" w:cs="Arial" w:eastAsia="Arial" w:hAnsi="Arial"/>
                <w:sz w:val="14"/>
                <w:szCs w:val="14"/>
                <w:color w:val="auto"/>
              </w:rPr>
              <w:t>10.7</w:t>
            </w:r>
          </w:p>
        </w:tc>
      </w:tr>
      <w:tr>
        <w:trPr>
          <w:trHeight w:val="169"/>
        </w:trPr>
        <w:tc>
          <w:tcPr>
            <w:tcW w:w="5960" w:type="dxa"/>
            <w:vAlign w:val="bottom"/>
          </w:tcPr>
          <w:p>
            <w:pPr>
              <w:ind w:left="28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408,262</w:t>
            </w:r>
          </w:p>
        </w:tc>
        <w:tc>
          <w:tcPr>
            <w:tcW w:w="1560" w:type="dxa"/>
            <w:vAlign w:val="bottom"/>
          </w:tcPr>
          <w:p>
            <w:pPr>
              <w:jc w:val="right"/>
              <w:ind w:right="28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326,221</w:t>
            </w:r>
          </w:p>
        </w:tc>
        <w:tc>
          <w:tcPr>
            <w:tcW w:w="60" w:type="dxa"/>
            <w:vAlign w:val="bottom"/>
          </w:tcPr>
          <w:p>
            <w:pPr>
              <w:spacing w:after="0"/>
              <w:rPr>
                <w:sz w:val="14"/>
                <w:szCs w:val="14"/>
                <w:color w:val="auto"/>
              </w:rPr>
            </w:pPr>
          </w:p>
        </w:tc>
        <w:tc>
          <w:tcPr>
            <w:tcW w:w="1560" w:type="dxa"/>
            <w:vAlign w:val="bottom"/>
          </w:tcPr>
          <w:p>
            <w:pPr>
              <w:ind w:left="820"/>
              <w:spacing w:after="0"/>
              <w:rPr>
                <w:sz w:val="20"/>
                <w:szCs w:val="20"/>
                <w:color w:val="auto"/>
              </w:rPr>
            </w:pPr>
            <w:r>
              <w:rPr>
                <w:rFonts w:ascii="Arial" w:cs="Arial" w:eastAsia="Arial" w:hAnsi="Arial"/>
                <w:sz w:val="14"/>
                <w:szCs w:val="14"/>
                <w:color w:val="auto"/>
              </w:rPr>
              <w:t>12.8%</w:t>
            </w: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2009 results are pro forma due to the formation in early 2010 of new consumer sales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7202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CONSOLIDATED STATEMENTS OF OPERATIONS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gridSpan w:val="2"/>
          </w:tcPr>
          <w:p>
            <w:pPr>
              <w:jc w:val="right"/>
              <w:ind w:right="1048"/>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gridSpan w:val="3"/>
          </w:tcPr>
          <w:p>
            <w:pPr>
              <w:jc w:val="right"/>
              <w:ind w:right="110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69"/>
        </w:trPr>
        <w:tc>
          <w:tcPr>
            <w:tcW w:w="5900" w:type="dxa"/>
            <w:vAlign w:val="bottom"/>
            <w:gridSpan w:val="3"/>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1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460" w:type="dxa"/>
            <w:vAlign w:val="bottom"/>
          </w:tcPr>
          <w:p>
            <w:pPr>
              <w:jc w:val="right"/>
              <w:ind w:right="208"/>
              <w:spacing w:after="0"/>
              <w:rPr>
                <w:sz w:val="20"/>
                <w:szCs w:val="20"/>
                <w:color w:val="auto"/>
              </w:rPr>
            </w:pPr>
            <w:r>
              <w:rPr>
                <w:rFonts w:ascii="Arial" w:cs="Arial" w:eastAsia="Arial" w:hAnsi="Arial"/>
                <w:sz w:val="14"/>
                <w:szCs w:val="14"/>
                <w:b w:val="1"/>
                <w:bCs w:val="1"/>
                <w:color w:val="auto"/>
              </w:rPr>
              <w:t>% of Net Sales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w w:val="99"/>
              </w:rPr>
              <w:t>% of Net Sales</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8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Net sales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408,262</w:t>
            </w:r>
          </w:p>
        </w:tc>
        <w:tc>
          <w:tcPr>
            <w:tcW w:w="1560" w:type="dxa"/>
            <w:vAlign w:val="bottom"/>
            <w:tcBorders>
              <w:top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100.0%</w:t>
            </w:r>
          </w:p>
        </w:tc>
        <w:tc>
          <w:tcPr>
            <w:tcW w:w="3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326,221</w:t>
            </w: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Cost of sales</w:t>
            </w:r>
          </w:p>
        </w:tc>
        <w:tc>
          <w:tcPr>
            <w:tcW w:w="1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359,611</w:t>
            </w:r>
          </w:p>
        </w:tc>
        <w:tc>
          <w:tcPr>
            <w:tcW w:w="1560" w:type="dxa"/>
            <w:vAlign w:val="bottom"/>
            <w:gridSpan w:val="2"/>
          </w:tcPr>
          <w:p>
            <w:pPr>
              <w:jc w:val="right"/>
              <w:ind w:right="328"/>
              <w:spacing w:after="0"/>
              <w:rPr>
                <w:sz w:val="20"/>
                <w:szCs w:val="20"/>
                <w:color w:val="auto"/>
              </w:rPr>
            </w:pPr>
            <w:r>
              <w:rPr>
                <w:rFonts w:ascii="Arial" w:cs="Arial" w:eastAsia="Arial" w:hAnsi="Arial"/>
                <w:sz w:val="14"/>
                <w:szCs w:val="14"/>
                <w:color w:val="auto"/>
              </w:rPr>
              <w:t>88.1</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284,610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 profit</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48,651</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11.9</w:t>
            </w: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41,611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44,474</w:t>
            </w:r>
          </w:p>
        </w:tc>
        <w:tc>
          <w:tcPr>
            <w:tcW w:w="1560" w:type="dxa"/>
            <w:vAlign w:val="bottom"/>
            <w:gridSpan w:val="2"/>
          </w:tcPr>
          <w:p>
            <w:pPr>
              <w:jc w:val="right"/>
              <w:ind w:right="328"/>
              <w:spacing w:after="0"/>
              <w:rPr>
                <w:sz w:val="20"/>
                <w:szCs w:val="20"/>
                <w:color w:val="auto"/>
              </w:rPr>
            </w:pPr>
            <w:r>
              <w:rPr>
                <w:rFonts w:ascii="Arial" w:cs="Arial" w:eastAsia="Arial" w:hAnsi="Arial"/>
                <w:sz w:val="14"/>
                <w:szCs w:val="14"/>
                <w:color w:val="auto"/>
              </w:rPr>
              <w:t>10.9</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43,289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Special charges</w:t>
            </w:r>
          </w:p>
        </w:tc>
        <w:tc>
          <w:tcPr>
            <w:tcW w:w="1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400"/>
              <w:spacing w:after="0"/>
              <w:rPr>
                <w:sz w:val="20"/>
                <w:szCs w:val="20"/>
                <w:color w:val="auto"/>
              </w:rPr>
            </w:pPr>
            <w:r>
              <w:rPr>
                <w:rFonts w:ascii="Arial" w:cs="Arial" w:eastAsia="Arial" w:hAnsi="Arial"/>
                <w:sz w:val="14"/>
                <w:szCs w:val="14"/>
                <w:b w:val="1"/>
                <w:bCs w:val="1"/>
                <w:color w:val="auto"/>
              </w:rPr>
              <w:t>Income (loss) from operations</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4,177</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(2,569)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(99)</w:t>
            </w:r>
          </w:p>
        </w:tc>
        <w:tc>
          <w:tcPr>
            <w:tcW w:w="156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Other, net</w:t>
            </w:r>
          </w:p>
        </w:tc>
        <w:tc>
          <w:tcPr>
            <w:tcW w:w="1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75</w:t>
            </w:r>
          </w:p>
        </w:tc>
        <w:tc>
          <w:tcPr>
            <w:tcW w:w="156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Income tax (provision) credit</w:t>
            </w:r>
          </w:p>
        </w:tc>
        <w:tc>
          <w:tcPr>
            <w:tcW w:w="1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(1,719)</w:t>
            </w:r>
          </w:p>
        </w:tc>
        <w:tc>
          <w:tcPr>
            <w:tcW w:w="1560" w:type="dxa"/>
            <w:vAlign w:val="bottom"/>
            <w:gridSpan w:val="2"/>
          </w:tcPr>
          <w:p>
            <w:pPr>
              <w:jc w:val="right"/>
              <w:ind w:right="328"/>
              <w:spacing w:after="0"/>
              <w:rPr>
                <w:sz w:val="20"/>
                <w:szCs w:val="20"/>
                <w:color w:val="auto"/>
              </w:rPr>
            </w:pPr>
            <w:r>
              <w:rPr>
                <w:rFonts w:ascii="Arial" w:cs="Arial" w:eastAsia="Arial" w:hAnsi="Arial"/>
                <w:sz w:val="14"/>
                <w:szCs w:val="14"/>
                <w:color w:val="auto"/>
              </w:rPr>
              <w:t>0.4</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80" w:type="dxa"/>
            <w:vAlign w:val="bottom"/>
            <w:gridSpan w:val="2"/>
          </w:tcPr>
          <w:p>
            <w:pPr>
              <w:ind w:left="40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2,434</w:t>
            </w:r>
          </w:p>
        </w:tc>
        <w:tc>
          <w:tcPr>
            <w:tcW w:w="10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0.6%</w:t>
            </w:r>
          </w:p>
        </w:tc>
        <w:tc>
          <w:tcPr>
            <w:tcW w:w="3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(1,619)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gridSpan w:val="2"/>
            <w:vMerge w:val="restart"/>
          </w:tcPr>
          <w:p>
            <w:pPr>
              <w:ind w:left="120"/>
              <w:spacing w:after="0"/>
              <w:rPr>
                <w:sz w:val="20"/>
                <w:szCs w:val="20"/>
                <w:color w:val="auto"/>
              </w:rPr>
            </w:pPr>
            <w:r>
              <w:rPr>
                <w:rFonts w:ascii="Arial" w:cs="Arial" w:eastAsia="Arial" w:hAnsi="Arial"/>
                <w:sz w:val="14"/>
                <w:szCs w:val="14"/>
                <w:color w:val="auto"/>
              </w:rPr>
              <w:t>Earnings (loss) per common share:</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58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80" w:type="dxa"/>
            <w:vAlign w:val="bottom"/>
            <w:gridSpan w:val="2"/>
          </w:tcPr>
          <w:p>
            <w:pPr>
              <w:ind w:left="40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gridSpan w:val="2"/>
            <w:vMerge w:val="restart"/>
          </w:tcPr>
          <w:p>
            <w:pPr>
              <w:ind w:left="40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gridSpan w:val="2"/>
            <w:vMerge w:val="continue"/>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gridSpan w:val="2"/>
          </w:tcPr>
          <w:p>
            <w:pPr>
              <w:jc w:val="right"/>
              <w:ind w:right="120"/>
              <w:spacing w:after="0" w:line="156" w:lineRule="exact"/>
              <w:rPr>
                <w:sz w:val="20"/>
                <w:szCs w:val="20"/>
                <w:color w:val="auto"/>
              </w:rPr>
            </w:pPr>
            <w:r>
              <w:rPr>
                <w:rFonts w:ascii="Arial" w:cs="Arial" w:eastAsia="Arial" w:hAnsi="Arial"/>
                <w:sz w:val="14"/>
                <w:szCs w:val="14"/>
                <w:color w:val="auto"/>
              </w:rPr>
              <w:t>0.09</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(0.06)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gridSpan w:val="2"/>
            <w:vMerge w:val="restart"/>
          </w:tcPr>
          <w:p>
            <w:pPr>
              <w:ind w:left="120"/>
              <w:spacing w:after="0"/>
              <w:rPr>
                <w:sz w:val="20"/>
                <w:szCs w:val="20"/>
                <w:color w:val="auto"/>
              </w:rPr>
            </w:pPr>
            <w:r>
              <w:rPr>
                <w:rFonts w:ascii="Arial" w:cs="Arial" w:eastAsia="Arial" w:hAnsi="Arial"/>
                <w:sz w:val="14"/>
                <w:szCs w:val="14"/>
                <w:color w:val="auto"/>
              </w:rPr>
              <w:t>Weighted average common shares outstanding:</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0" w:type="dxa"/>
            <w:vAlign w:val="bottom"/>
          </w:tcPr>
          <w:p>
            <w:pPr>
              <w:spacing w:after="0"/>
              <w:rPr>
                <w:sz w:val="24"/>
                <w:szCs w:val="24"/>
                <w:color w:val="auto"/>
              </w:rPr>
            </w:pPr>
          </w:p>
        </w:tc>
        <w:tc>
          <w:tcPr>
            <w:tcW w:w="58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80" w:type="dxa"/>
            <w:vAlign w:val="bottom"/>
            <w:gridSpan w:val="2"/>
          </w:tcPr>
          <w:p>
            <w:pPr>
              <w:ind w:left="40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27,157</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gridSpan w:val="2"/>
            <w:vMerge w:val="restart"/>
          </w:tcPr>
          <w:p>
            <w:pPr>
              <w:ind w:left="40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4"/>
                <w:szCs w:val="14"/>
                <w:color w:val="auto"/>
              </w:rPr>
              <w:t>27,193</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26,819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40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53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 RECONCILIATION BETWEEN GAAP AND PRO FORMA NET INCOME (LOSS)</w:t>
            </w: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00" w:type="dxa"/>
            <w:vAlign w:val="bottom"/>
            <w:gridSpan w:val="6"/>
          </w:tcPr>
          <w:p>
            <w:pPr>
              <w:spacing w:after="0" w:line="155" w:lineRule="exact"/>
              <w:rPr>
                <w:sz w:val="20"/>
                <w:szCs w:val="20"/>
                <w:color w:val="auto"/>
              </w:rPr>
            </w:pPr>
            <w:r>
              <w:rPr>
                <w:rFonts w:ascii="Arial" w:cs="Arial" w:eastAsia="Arial" w:hAnsi="Arial"/>
                <w:sz w:val="14"/>
                <w:szCs w:val="14"/>
                <w:i w:val="1"/>
                <w:iCs w:val="1"/>
                <w:color w:val="auto"/>
                <w:w w:val="97"/>
              </w:rPr>
              <w:t>This information is being provided so as to allow for a comparison of our operating results without special charges.</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38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9"/>
        </w:trPr>
        <w:tc>
          <w:tcPr>
            <w:tcW w:w="5900" w:type="dxa"/>
            <w:vAlign w:val="bottom"/>
            <w:gridSpan w:val="3"/>
          </w:tcPr>
          <w:p>
            <w:pPr>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72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8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GAAP net income (loss)</w:t>
            </w: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2,434</w:t>
            </w: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Special charges (after tax):</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Management restructuring</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Pro forma net income (loss)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2,434</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40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80" w:type="dxa"/>
            <w:vAlign w:val="bottom"/>
            <w:tcBorders>
              <w:top w:val="single" w:sz="8" w:color="auto"/>
            </w:tcBorders>
            <w:gridSpan w:val="2"/>
          </w:tcPr>
          <w:p>
            <w:pPr>
              <w:spacing w:after="0" w:line="160" w:lineRule="exact"/>
              <w:rPr>
                <w:sz w:val="20"/>
                <w:szCs w:val="20"/>
                <w:color w:val="auto"/>
              </w:rPr>
            </w:pPr>
            <w:r>
              <w:rPr>
                <w:rFonts w:ascii="Arial" w:cs="Arial" w:eastAsia="Arial" w:hAnsi="Arial"/>
                <w:sz w:val="14"/>
                <w:szCs w:val="14"/>
                <w:b w:val="1"/>
                <w:bCs w:val="1"/>
                <w:color w:val="auto"/>
              </w:rPr>
              <w:t>CONSOLIDATED BALANCE SHEETS</w:t>
            </w: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48"/>
              <w:spacing w:after="0" w:line="160"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268"/>
              <w:spacing w:after="0" w:line="160"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900" w:type="dxa"/>
            <w:vAlign w:val="bottom"/>
            <w:gridSpan w:val="3"/>
          </w:tcPr>
          <w:p>
            <w:pPr>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72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8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59,035</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46,297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Accounts receivable, net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196,040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218,095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60,757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67,391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3,386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Income taxes receivable</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3,596</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2,750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gridSpan w:val="2"/>
          </w:tcPr>
          <w:p>
            <w:pPr>
              <w:ind w:left="600"/>
              <w:spacing w:after="0"/>
              <w:rPr>
                <w:sz w:val="20"/>
                <w:szCs w:val="20"/>
                <w:color w:val="auto"/>
              </w:rPr>
            </w:pPr>
            <w:r>
              <w:rPr>
                <w:rFonts w:ascii="Arial" w:cs="Arial" w:eastAsia="Arial" w:hAnsi="Arial"/>
                <w:sz w:val="14"/>
                <w:szCs w:val="14"/>
                <w:b w:val="1"/>
                <w:bCs w:val="1"/>
                <w:color w:val="auto"/>
              </w:rPr>
              <w:t>Total current assets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323,477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338,854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11,644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12,420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48,060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48,060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Other intangibles, net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80" w:type="dxa"/>
            <w:vAlign w:val="bottom"/>
            <w:gridSpan w:val="2"/>
          </w:tcPr>
          <w:p>
            <w:pPr>
              <w:ind w:left="60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385,423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401,095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58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Current maturities of capital lease obligation to affiliate</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801</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108,513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125,120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19,464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20,441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Accrued payroll</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8,177</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8,843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gridSpan w:val="2"/>
          </w:tcPr>
          <w:p>
            <w:pPr>
              <w:ind w:left="600"/>
              <w:spacing w:after="0"/>
              <w:rPr>
                <w:sz w:val="20"/>
                <w:szCs w:val="20"/>
                <w:color w:val="auto"/>
              </w:rPr>
            </w:pPr>
            <w:r>
              <w:rPr>
                <w:rFonts w:ascii="Arial" w:cs="Arial" w:eastAsia="Arial" w:hAnsi="Arial"/>
                <w:sz w:val="14"/>
                <w:szCs w:val="14"/>
                <w:b w:val="1"/>
                <w:bCs w:val="1"/>
                <w:color w:val="auto"/>
              </w:rPr>
              <w:t>Total current liabilities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136,955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155,184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3,849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Capital lease obligation to affiliate, less current maturities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2,830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3,962</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3,966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80" w:type="dxa"/>
            <w:vAlign w:val="bottom"/>
            <w:gridSpan w:val="2"/>
          </w:tcPr>
          <w:p>
            <w:pPr>
              <w:ind w:left="60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147,578</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165,829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97,487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97,213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143,548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141,114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80" w:type="dxa"/>
            <w:vAlign w:val="bottom"/>
            <w:gridSpan w:val="2"/>
          </w:tcPr>
          <w:p>
            <w:pPr>
              <w:ind w:left="260"/>
              <w:spacing w:after="0"/>
              <w:rPr>
                <w:sz w:val="20"/>
                <w:szCs w:val="20"/>
                <w:color w:val="auto"/>
              </w:rPr>
            </w:pPr>
            <w:r>
              <w:rPr>
                <w:rFonts w:ascii="Arial" w:cs="Arial" w:eastAsia="Arial" w:hAnsi="Arial"/>
                <w:sz w:val="14"/>
                <w:szCs w:val="14"/>
                <w:color w:val="auto"/>
              </w:rPr>
              <w:t>Treasury stock at cost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(3,464)</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(3,335)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80" w:type="dxa"/>
            <w:vAlign w:val="bottom"/>
            <w:gridSpan w:val="2"/>
          </w:tcPr>
          <w:p>
            <w:pPr>
              <w:ind w:left="600"/>
              <w:spacing w:after="0"/>
              <w:rPr>
                <w:sz w:val="20"/>
                <w:szCs w:val="20"/>
                <w:color w:val="auto"/>
              </w:rPr>
            </w:pPr>
            <w:r>
              <w:rPr>
                <w:rFonts w:ascii="Arial" w:cs="Arial" w:eastAsia="Arial" w:hAnsi="Arial"/>
                <w:sz w:val="14"/>
                <w:szCs w:val="14"/>
                <w:b w:val="1"/>
                <w:bCs w:val="1"/>
                <w:color w:val="auto"/>
              </w:rPr>
              <w:t>Total Stockholders’ Equity</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237,845</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235,266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80" w:type="dxa"/>
            <w:vAlign w:val="bottom"/>
            <w:gridSpan w:val="2"/>
          </w:tcPr>
          <w:p>
            <w:pPr>
              <w:ind w:left="600"/>
              <w:spacing w:after="0"/>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385,423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401,095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CONSOLIDATED STATEMENT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Three months ended March 31, 2010 </w:t>
      </w:r>
      <w:r>
        <w:rPr>
          <w:rFonts w:ascii="Arial" w:cs="Arial" w:eastAsia="Arial" w:hAnsi="Arial"/>
          <w:sz w:val="14"/>
          <w:szCs w:val="14"/>
          <w:color w:val="auto"/>
        </w:rPr>
        <w:t>(amounts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1"/>
              </w:rPr>
              <w:t>Common Stock</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Additional</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Retained</w:t>
            </w:r>
          </w:p>
        </w:tc>
        <w:tc>
          <w:tcPr>
            <w:tcW w:w="38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0"/>
              </w:rPr>
              <w:t>Treasury Stock</w:t>
            </w: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183"/>
        </w:trPr>
        <w:tc>
          <w:tcPr>
            <w:tcW w:w="3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Paid-In Capital</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Earnings</w:t>
            </w:r>
          </w:p>
        </w:tc>
        <w:tc>
          <w:tcPr>
            <w:tcW w:w="6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346"/>
        </w:trPr>
        <w:tc>
          <w:tcPr>
            <w:tcW w:w="3940" w:type="dxa"/>
            <w:vAlign w:val="bottom"/>
          </w:tcPr>
          <w:p>
            <w:pPr>
              <w:spacing w:after="0"/>
              <w:rPr>
                <w:sz w:val="20"/>
                <w:szCs w:val="20"/>
                <w:color w:val="auto"/>
              </w:rPr>
            </w:pPr>
            <w:r>
              <w:rPr>
                <w:rFonts w:ascii="Arial" w:cs="Arial" w:eastAsia="Arial" w:hAnsi="Arial"/>
                <w:sz w:val="14"/>
                <w:szCs w:val="14"/>
                <w:b w:val="1"/>
                <w:bCs w:val="1"/>
                <w:color w:val="auto"/>
              </w:rPr>
              <w:t>Balance – December 31, 2009</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27,375</w:t>
            </w: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274</w:t>
            </w: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97,213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141,114</w:t>
            </w: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(527)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($3,335)</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235,266</w:t>
            </w:r>
          </w:p>
        </w:tc>
      </w:tr>
      <w:tr>
        <w:trPr>
          <w:trHeight w:val="351"/>
        </w:trPr>
        <w:tc>
          <w:tcPr>
            <w:tcW w:w="39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283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283</w:t>
            </w:r>
          </w:p>
        </w:tc>
      </w:tr>
      <w:tr>
        <w:trPr>
          <w:trHeight w:val="351"/>
        </w:trPr>
        <w:tc>
          <w:tcPr>
            <w:tcW w:w="3940" w:type="dxa"/>
            <w:vAlign w:val="bottom"/>
          </w:tcPr>
          <w:p>
            <w:pPr>
              <w:spacing w:after="0"/>
              <w:rPr>
                <w:sz w:val="20"/>
                <w:szCs w:val="20"/>
                <w:color w:val="auto"/>
              </w:rPr>
            </w:pPr>
            <w:r>
              <w:rPr>
                <w:rFonts w:ascii="Arial" w:cs="Arial" w:eastAsia="Arial" w:hAnsi="Arial"/>
                <w:sz w:val="14"/>
                <w:szCs w:val="14"/>
                <w:color w:val="auto"/>
              </w:rPr>
              <w:t>Repurchase of common stock for Treasury</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(21)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(129)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351"/>
        </w:trPr>
        <w:tc>
          <w:tcPr>
            <w:tcW w:w="3940" w:type="dxa"/>
            <w:vAlign w:val="bottom"/>
          </w:tcPr>
          <w:p>
            <w:pPr>
              <w:spacing w:after="0"/>
              <w:rPr>
                <w:sz w:val="20"/>
                <w:szCs w:val="20"/>
                <w:color w:val="auto"/>
              </w:rPr>
            </w:pPr>
            <w:r>
              <w:rPr>
                <w:rFonts w:ascii="Arial" w:cs="Arial" w:eastAsia="Arial" w:hAnsi="Arial"/>
                <w:sz w:val="14"/>
                <w:szCs w:val="14"/>
                <w:color w:val="auto"/>
              </w:rPr>
              <w:t>Tax shortfall from stock-based compensation</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350"/>
        </w:trPr>
        <w:tc>
          <w:tcPr>
            <w:tcW w:w="3940" w:type="dxa"/>
            <w:vAlign w:val="bottom"/>
          </w:tcPr>
          <w:p>
            <w:pPr>
              <w:spacing w:after="0"/>
              <w:rPr>
                <w:sz w:val="20"/>
                <w:szCs w:val="20"/>
                <w:color w:val="auto"/>
              </w:rPr>
            </w:pPr>
            <w:r>
              <w:rPr>
                <w:rFonts w:ascii="Arial" w:cs="Arial" w:eastAsia="Arial" w:hAnsi="Arial"/>
                <w:sz w:val="14"/>
                <w:szCs w:val="14"/>
                <w:color w:val="auto"/>
              </w:rPr>
              <w:t>Net income</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2,434</w:t>
            </w: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2,434</w:t>
            </w:r>
          </w:p>
        </w:tc>
      </w:tr>
      <w:tr>
        <w:trPr>
          <w:trHeight w:val="345"/>
        </w:trPr>
        <w:tc>
          <w:tcPr>
            <w:tcW w:w="3940" w:type="dxa"/>
            <w:vAlign w:val="bottom"/>
          </w:tcPr>
          <w:p>
            <w:pPr>
              <w:spacing w:after="0"/>
              <w:rPr>
                <w:sz w:val="20"/>
                <w:szCs w:val="20"/>
                <w:color w:val="auto"/>
              </w:rPr>
            </w:pPr>
            <w:r>
              <w:rPr>
                <w:rFonts w:ascii="Arial" w:cs="Arial" w:eastAsia="Arial" w:hAnsi="Arial"/>
                <w:sz w:val="14"/>
                <w:szCs w:val="14"/>
                <w:b w:val="1"/>
                <w:bCs w:val="1"/>
                <w:color w:val="auto"/>
              </w:rPr>
              <w:t>Balance – March 31, 2010</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27,375</w:t>
            </w:r>
          </w:p>
        </w:tc>
        <w:tc>
          <w:tcPr>
            <w:tcW w:w="240" w:type="dxa"/>
            <w:vAlign w:val="bottom"/>
          </w:tcPr>
          <w:p>
            <w:pPr>
              <w:spacing w:after="0"/>
              <w:rPr>
                <w:sz w:val="24"/>
                <w:szCs w:val="24"/>
                <w:color w:val="auto"/>
              </w:rPr>
            </w:pP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2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97,487</w:t>
            </w:r>
          </w:p>
        </w:tc>
        <w:tc>
          <w:tcPr>
            <w:tcW w:w="2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143,548</w:t>
            </w:r>
          </w:p>
        </w:tc>
        <w:tc>
          <w:tcPr>
            <w:tcW w:w="280" w:type="dxa"/>
            <w:vAlign w:val="bottom"/>
          </w:tcPr>
          <w:p>
            <w:pPr>
              <w:spacing w:after="0"/>
              <w:rPr>
                <w:sz w:val="24"/>
                <w:szCs w:val="24"/>
                <w:color w:val="auto"/>
              </w:rPr>
            </w:pPr>
          </w:p>
        </w:tc>
        <w:tc>
          <w:tcPr>
            <w:tcW w:w="60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(548)</w:t>
            </w:r>
          </w:p>
        </w:tc>
        <w:tc>
          <w:tcPr>
            <w:tcW w:w="2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(3,464)</w:t>
            </w:r>
          </w:p>
        </w:tc>
        <w:tc>
          <w:tcPr>
            <w:tcW w:w="2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237,845</w:t>
            </w:r>
          </w:p>
        </w:tc>
      </w:tr>
      <w:tr>
        <w:trPr>
          <w:trHeight w:val="20"/>
        </w:trPr>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16"/>
        </w:trPr>
        <w:tc>
          <w:tcPr>
            <w:tcW w:w="3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r>
        <w:trPr>
          <w:trHeight w:val="21"/>
        </w:trPr>
        <w:tc>
          <w:tcPr>
            <w:tcW w:w="39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CONSOLIDATED STATEMENTS OF CASH FLOWS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Three Months Ended March 31, </w:t>
            </w:r>
            <w:r>
              <w:rPr>
                <w:rFonts w:ascii="Arial" w:cs="Arial" w:eastAsia="Arial" w:hAnsi="Arial"/>
                <w:sz w:val="14"/>
                <w:szCs w:val="14"/>
                <w:color w:val="auto"/>
              </w:rPr>
              <w:t>(amounts in thousands)</w:t>
            </w:r>
          </w:p>
        </w:tc>
        <w:tc>
          <w:tcPr>
            <w:tcW w:w="2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2009</w:t>
            </w:r>
          </w:p>
        </w:tc>
      </w:tr>
      <w:tr>
        <w:trPr>
          <w:trHeight w:val="346"/>
        </w:trPr>
        <w:tc>
          <w:tcPr>
            <w:tcW w:w="9280" w:type="dxa"/>
            <w:vAlign w:val="bottom"/>
          </w:tcPr>
          <w:p>
            <w:pPr>
              <w:ind w:left="14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44"/>
        </w:trPr>
        <w:tc>
          <w:tcPr>
            <w:tcW w:w="928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2,434</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(1,619)</w:t>
            </w:r>
          </w:p>
        </w:tc>
      </w:tr>
      <w:tr>
        <w:trPr>
          <w:trHeight w:val="176"/>
        </w:trPr>
        <w:tc>
          <w:tcPr>
            <w:tcW w:w="9280" w:type="dxa"/>
            <w:vAlign w:val="bottom"/>
          </w:tcPr>
          <w:p>
            <w:pPr>
              <w:ind w:left="28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928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1,572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1,810</w:t>
            </w:r>
          </w:p>
        </w:tc>
      </w:tr>
      <w:tr>
        <w:trPr>
          <w:trHeight w:val="176"/>
        </w:trPr>
        <w:tc>
          <w:tcPr>
            <w:tcW w:w="9280" w:type="dxa"/>
            <w:vAlign w:val="bottom"/>
          </w:tcPr>
          <w:p>
            <w:pPr>
              <w:ind w:left="420"/>
              <w:spacing w:after="0"/>
              <w:rPr>
                <w:sz w:val="20"/>
                <w:szCs w:val="20"/>
                <w:color w:val="auto"/>
              </w:rPr>
            </w:pPr>
            <w:r>
              <w:rPr>
                <w:rFonts w:ascii="Arial" w:cs="Arial" w:eastAsia="Arial" w:hAnsi="Arial"/>
                <w:sz w:val="14"/>
                <w:szCs w:val="14"/>
                <w:color w:val="auto"/>
              </w:rPr>
              <w:t>Provision for doubtful accounts</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857</w:t>
            </w:r>
          </w:p>
        </w:tc>
      </w:tr>
      <w:tr>
        <w:trPr>
          <w:trHeight w:val="176"/>
        </w:trPr>
        <w:tc>
          <w:tcPr>
            <w:tcW w:w="9280" w:type="dxa"/>
            <w:vAlign w:val="bottom"/>
          </w:tcPr>
          <w:p>
            <w:pPr>
              <w:ind w:left="42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1,095</w:t>
            </w:r>
          </w:p>
        </w:tc>
      </w:tr>
      <w:tr>
        <w:trPr>
          <w:trHeight w:val="176"/>
        </w:trPr>
        <w:tc>
          <w:tcPr>
            <w:tcW w:w="9280" w:type="dxa"/>
            <w:vAlign w:val="bottom"/>
          </w:tcPr>
          <w:p>
            <w:pPr>
              <w:ind w:left="420"/>
              <w:spacing w:after="0"/>
              <w:rPr>
                <w:sz w:val="20"/>
                <w:szCs w:val="20"/>
                <w:color w:val="auto"/>
              </w:rPr>
            </w:pPr>
            <w:r>
              <w:rPr>
                <w:rFonts w:ascii="Arial" w:cs="Arial" w:eastAsia="Arial" w:hAnsi="Arial"/>
                <w:sz w:val="14"/>
                <w:szCs w:val="14"/>
                <w:color w:val="auto"/>
              </w:rPr>
              <w:t>Stock-based compensation expense</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300</w:t>
            </w:r>
          </w:p>
        </w:tc>
      </w:tr>
      <w:tr>
        <w:trPr>
          <w:trHeight w:val="176"/>
        </w:trPr>
        <w:tc>
          <w:tcPr>
            <w:tcW w:w="9280" w:type="dxa"/>
            <w:vAlign w:val="bottom"/>
          </w:tcPr>
          <w:p>
            <w:pPr>
              <w:ind w:left="420"/>
              <w:spacing w:after="0"/>
              <w:rPr>
                <w:sz w:val="20"/>
                <w:szCs w:val="20"/>
                <w:color w:val="auto"/>
              </w:rPr>
            </w:pPr>
            <w:r>
              <w:rPr>
                <w:rFonts w:ascii="Arial" w:cs="Arial" w:eastAsia="Arial" w:hAnsi="Arial"/>
                <w:sz w:val="14"/>
                <w:szCs w:val="14"/>
                <w:color w:val="auto"/>
              </w:rPr>
              <w:t>Income tax deficiency from stock-based compensation</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2"/>
        </w:trPr>
        <w:tc>
          <w:tcPr>
            <w:tcW w:w="9280" w:type="dxa"/>
            <w:vAlign w:val="bottom"/>
          </w:tcPr>
          <w:p>
            <w:pPr>
              <w:ind w:left="420"/>
              <w:spacing w:after="0"/>
              <w:rPr>
                <w:sz w:val="20"/>
                <w:szCs w:val="20"/>
                <w:color w:val="auto"/>
              </w:rPr>
            </w:pPr>
            <w:r>
              <w:rPr>
                <w:rFonts w:ascii="Arial" w:cs="Arial" w:eastAsia="Arial" w:hAnsi="Arial"/>
                <w:sz w:val="14"/>
                <w:szCs w:val="14"/>
                <w:color w:val="auto"/>
              </w:rPr>
              <w:t>Loss on disposal of fixed assets</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344"/>
        </w:trPr>
        <w:tc>
          <w:tcPr>
            <w:tcW w:w="9280" w:type="dxa"/>
            <w:vAlign w:val="bottom"/>
          </w:tcPr>
          <w:p>
            <w:pPr>
              <w:ind w:left="280"/>
              <w:spacing w:after="0"/>
              <w:rPr>
                <w:sz w:val="20"/>
                <w:szCs w:val="20"/>
                <w:color w:val="auto"/>
              </w:rPr>
            </w:pPr>
            <w:r>
              <w:rPr>
                <w:rFonts w:ascii="Arial" w:cs="Arial" w:eastAsia="Arial" w:hAnsi="Arial"/>
                <w:sz w:val="14"/>
                <w:szCs w:val="14"/>
                <w:color w:val="auto"/>
              </w:rPr>
              <w:t>Changes in assets and liabilities: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9280" w:type="dxa"/>
            <w:vAlign w:val="bottom"/>
          </w:tcPr>
          <w:p>
            <w:pPr>
              <w:ind w:left="42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21,528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44,632</w:t>
            </w:r>
          </w:p>
        </w:tc>
      </w:tr>
      <w:tr>
        <w:trPr>
          <w:trHeight w:val="176"/>
        </w:trPr>
        <w:tc>
          <w:tcPr>
            <w:tcW w:w="9280" w:type="dxa"/>
            <w:vAlign w:val="bottom"/>
          </w:tcPr>
          <w:p>
            <w:pPr>
              <w:ind w:left="42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6,634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3,983</w:t>
            </w:r>
          </w:p>
        </w:tc>
      </w:tr>
      <w:tr>
        <w:trPr>
          <w:trHeight w:val="176"/>
        </w:trPr>
        <w:tc>
          <w:tcPr>
            <w:tcW w:w="9280" w:type="dxa"/>
            <w:vAlign w:val="bottom"/>
          </w:tcPr>
          <w:p>
            <w:pPr>
              <w:ind w:left="4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(3,154)</w:t>
            </w:r>
          </w:p>
        </w:tc>
      </w:tr>
      <w:tr>
        <w:trPr>
          <w:trHeight w:val="176"/>
        </w:trPr>
        <w:tc>
          <w:tcPr>
            <w:tcW w:w="9280" w:type="dxa"/>
            <w:vAlign w:val="bottom"/>
          </w:tcPr>
          <w:p>
            <w:pPr>
              <w:ind w:left="420"/>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w:t>
            </w:r>
          </w:p>
        </w:tc>
      </w:tr>
      <w:tr>
        <w:trPr>
          <w:trHeight w:val="176"/>
        </w:trPr>
        <w:tc>
          <w:tcPr>
            <w:tcW w:w="9280" w:type="dxa"/>
            <w:vAlign w:val="bottom"/>
          </w:tcPr>
          <w:p>
            <w:pPr>
              <w:ind w:left="42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(23,169)</w:t>
            </w:r>
          </w:p>
        </w:tc>
      </w:tr>
      <w:tr>
        <w:trPr>
          <w:trHeight w:val="181"/>
        </w:trPr>
        <w:tc>
          <w:tcPr>
            <w:tcW w:w="9280" w:type="dxa"/>
            <w:vAlign w:val="bottom"/>
          </w:tcPr>
          <w:p>
            <w:pPr>
              <w:ind w:left="420"/>
              <w:spacing w:after="0"/>
              <w:rPr>
                <w:sz w:val="20"/>
                <w:szCs w:val="20"/>
                <w:color w:val="auto"/>
              </w:rPr>
            </w:pPr>
            <w:r>
              <w:rPr>
                <w:rFonts w:ascii="Arial" w:cs="Arial" w:eastAsia="Arial" w:hAnsi="Arial"/>
                <w:sz w:val="14"/>
                <w:szCs w:val="14"/>
                <w:color w:val="auto"/>
              </w:rPr>
              <w:t>Accrued expenses and other liabilities</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(1,647)</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(1,655)</w:t>
            </w:r>
          </w:p>
        </w:tc>
      </w:tr>
      <w:tr>
        <w:trPr>
          <w:trHeight w:val="169"/>
        </w:trPr>
        <w:tc>
          <w:tcPr>
            <w:tcW w:w="9280" w:type="dxa"/>
            <w:vAlign w:val="bottom"/>
          </w:tcPr>
          <w:p>
            <w:pPr>
              <w:ind w:left="28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13,746</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23,075</w:t>
            </w:r>
          </w:p>
        </w:tc>
      </w:tr>
      <w:tr>
        <w:trPr>
          <w:trHeight w:val="522"/>
        </w:trPr>
        <w:tc>
          <w:tcPr>
            <w:tcW w:w="9280" w:type="dxa"/>
            <w:vAlign w:val="bottom"/>
          </w:tcPr>
          <w:p>
            <w:pPr>
              <w:ind w:left="14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0"/>
        </w:trPr>
        <w:tc>
          <w:tcPr>
            <w:tcW w:w="928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(1,888)</w:t>
            </w:r>
          </w:p>
        </w:tc>
      </w:tr>
      <w:tr>
        <w:trPr>
          <w:trHeight w:val="169"/>
        </w:trPr>
        <w:tc>
          <w:tcPr>
            <w:tcW w:w="9280" w:type="dxa"/>
            <w:vAlign w:val="bottom"/>
          </w:tcPr>
          <w:p>
            <w:pPr>
              <w:ind w:left="280"/>
              <w:spacing w:after="0"/>
              <w:rPr>
                <w:sz w:val="20"/>
                <w:szCs w:val="20"/>
                <w:color w:val="auto"/>
              </w:rPr>
            </w:pPr>
            <w:r>
              <w:rPr>
                <w:rFonts w:ascii="Arial" w:cs="Arial" w:eastAsia="Arial" w:hAnsi="Arial"/>
                <w:sz w:val="14"/>
                <w:szCs w:val="14"/>
                <w:color w:val="auto"/>
              </w:rPr>
              <w:t>Net cash used for investing activities</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(1,888)</w:t>
            </w:r>
          </w:p>
        </w:tc>
      </w:tr>
      <w:tr>
        <w:trPr>
          <w:trHeight w:val="522"/>
        </w:trPr>
        <w:tc>
          <w:tcPr>
            <w:tcW w:w="9280" w:type="dxa"/>
            <w:vAlign w:val="bottom"/>
          </w:tcPr>
          <w:p>
            <w:pPr>
              <w:ind w:left="14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44"/>
        </w:trPr>
        <w:tc>
          <w:tcPr>
            <w:tcW w:w="9280" w:type="dxa"/>
            <w:vAlign w:val="bottom"/>
          </w:tcPr>
          <w:p>
            <w:pPr>
              <w:ind w:left="280"/>
              <w:spacing w:after="0"/>
              <w:rPr>
                <w:sz w:val="20"/>
                <w:szCs w:val="20"/>
                <w:color w:val="auto"/>
              </w:rPr>
            </w:pPr>
            <w:r>
              <w:rPr>
                <w:rFonts w:ascii="Arial" w:cs="Arial" w:eastAsia="Arial" w:hAnsi="Arial"/>
                <w:sz w:val="14"/>
                <w:szCs w:val="14"/>
                <w:color w:val="auto"/>
              </w:rPr>
              <w:t>Repayment of capital lease obligations to affiliate</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(168)</w:t>
            </w:r>
          </w:p>
        </w:tc>
      </w:tr>
      <w:tr>
        <w:trPr>
          <w:trHeight w:val="176"/>
        </w:trPr>
        <w:tc>
          <w:tcPr>
            <w:tcW w:w="9280" w:type="dxa"/>
            <w:vAlign w:val="bottom"/>
          </w:tcPr>
          <w:p>
            <w:pPr>
              <w:ind w:left="280"/>
              <w:spacing w:after="0"/>
              <w:rPr>
                <w:sz w:val="20"/>
                <w:szCs w:val="20"/>
                <w:color w:val="auto"/>
              </w:rPr>
            </w:pPr>
            <w:r>
              <w:rPr>
                <w:rFonts w:ascii="Arial" w:cs="Arial" w:eastAsia="Arial" w:hAnsi="Arial"/>
                <w:sz w:val="14"/>
                <w:szCs w:val="14"/>
                <w:color w:val="auto"/>
              </w:rPr>
              <w:t>Purchase of treasury shares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(106)</w:t>
            </w:r>
          </w:p>
        </w:tc>
      </w:tr>
      <w:tr>
        <w:trPr>
          <w:trHeight w:val="176"/>
        </w:trPr>
        <w:tc>
          <w:tcPr>
            <w:tcW w:w="9280" w:type="dxa"/>
            <w:vAlign w:val="bottom"/>
          </w:tcPr>
          <w:p>
            <w:pPr>
              <w:ind w:left="280"/>
              <w:spacing w:after="0"/>
              <w:rPr>
                <w:sz w:val="20"/>
                <w:szCs w:val="20"/>
                <w:color w:val="auto"/>
              </w:rPr>
            </w:pPr>
            <w:r>
              <w:rPr>
                <w:rFonts w:ascii="Arial" w:cs="Arial" w:eastAsia="Arial" w:hAnsi="Arial"/>
                <w:sz w:val="14"/>
                <w:szCs w:val="14"/>
                <w:color w:val="auto"/>
              </w:rPr>
              <w:t>Proceeds from short-term borrowings</w:t>
            </w:r>
          </w:p>
        </w:tc>
        <w:tc>
          <w:tcPr>
            <w:tcW w:w="2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67</w:t>
            </w:r>
          </w:p>
        </w:tc>
      </w:tr>
      <w:tr>
        <w:trPr>
          <w:trHeight w:val="181"/>
        </w:trPr>
        <w:tc>
          <w:tcPr>
            <w:tcW w:w="9280" w:type="dxa"/>
            <w:vAlign w:val="bottom"/>
          </w:tcPr>
          <w:p>
            <w:pPr>
              <w:ind w:left="280"/>
              <w:spacing w:after="0"/>
              <w:rPr>
                <w:sz w:val="20"/>
                <w:szCs w:val="20"/>
                <w:color w:val="auto"/>
              </w:rPr>
            </w:pPr>
            <w:r>
              <w:rPr>
                <w:rFonts w:ascii="Arial" w:cs="Arial" w:eastAsia="Arial" w:hAnsi="Arial"/>
                <w:sz w:val="14"/>
                <w:szCs w:val="14"/>
                <w:color w:val="auto"/>
              </w:rPr>
              <w:t>Repayment of short-term borrowings</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w:t>
            </w:r>
          </w:p>
        </w:tc>
      </w:tr>
      <w:tr>
        <w:trPr>
          <w:trHeight w:val="169"/>
        </w:trPr>
        <w:tc>
          <w:tcPr>
            <w:tcW w:w="9280" w:type="dxa"/>
            <w:vAlign w:val="bottom"/>
          </w:tcPr>
          <w:p>
            <w:pPr>
              <w:ind w:left="280"/>
              <w:spacing w:after="0"/>
              <w:rPr>
                <w:sz w:val="20"/>
                <w:szCs w:val="20"/>
                <w:color w:val="auto"/>
              </w:rPr>
            </w:pPr>
            <w:r>
              <w:rPr>
                <w:rFonts w:ascii="Arial" w:cs="Arial" w:eastAsia="Arial" w:hAnsi="Arial"/>
                <w:sz w:val="14"/>
                <w:szCs w:val="14"/>
                <w:color w:val="auto"/>
              </w:rPr>
              <w:t>Net cash used for financing activities</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(274)</w:t>
            </w:r>
          </w:p>
        </w:tc>
      </w:tr>
      <w:tr>
        <w:trPr>
          <w:trHeight w:val="164"/>
        </w:trPr>
        <w:tc>
          <w:tcPr>
            <w:tcW w:w="9280" w:type="dxa"/>
            <w:vAlign w:val="bottom"/>
          </w:tcPr>
          <w:p>
            <w:pPr>
              <w:ind w:left="280"/>
              <w:spacing w:after="0"/>
              <w:rPr>
                <w:sz w:val="20"/>
                <w:szCs w:val="20"/>
                <w:color w:val="auto"/>
              </w:rPr>
            </w:pPr>
            <w:r>
              <w:rPr>
                <w:rFonts w:ascii="Arial" w:cs="Arial" w:eastAsia="Arial" w:hAnsi="Arial"/>
                <w:sz w:val="14"/>
                <w:szCs w:val="14"/>
                <w:color w:val="auto"/>
              </w:rPr>
              <w:t>Increase in cash and cash equivalents</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12,738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20,913</w:t>
            </w:r>
          </w:p>
        </w:tc>
      </w:tr>
      <w:tr>
        <w:trPr>
          <w:trHeight w:val="181"/>
        </w:trPr>
        <w:tc>
          <w:tcPr>
            <w:tcW w:w="9280" w:type="dxa"/>
            <w:vAlign w:val="bottom"/>
          </w:tcPr>
          <w:p>
            <w:pPr>
              <w:ind w:left="280"/>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46,297</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47,003</w:t>
            </w:r>
          </w:p>
        </w:tc>
      </w:tr>
      <w:tr>
        <w:trPr>
          <w:trHeight w:val="169"/>
        </w:trPr>
        <w:tc>
          <w:tcPr>
            <w:tcW w:w="9280" w:type="dxa"/>
            <w:vAlign w:val="bottom"/>
          </w:tcPr>
          <w:p>
            <w:pPr>
              <w:ind w:left="28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59,035</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67,916</w:t>
            </w:r>
          </w:p>
        </w:tc>
      </w:tr>
      <w:tr>
        <w:trPr>
          <w:trHeight w:val="20"/>
        </w:trPr>
        <w:tc>
          <w:tcPr>
            <w:tcW w:w="9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PC Connection, Inc.</w:t>
      </w:r>
    </w:p>
    <w:p>
      <w:pPr>
        <w:spacing w:after="0" w:line="230" w:lineRule="auto"/>
        <w:rPr>
          <w:sz w:val="20"/>
          <w:szCs w:val="20"/>
          <w:color w:val="auto"/>
        </w:rPr>
      </w:pPr>
      <w:r>
        <w:rPr>
          <w:rFonts w:ascii="Arial" w:cs="Arial" w:eastAsia="Arial" w:hAnsi="Arial"/>
          <w:sz w:val="22"/>
          <w:szCs w:val="22"/>
          <w:color w:val="auto"/>
        </w:rPr>
        <w:t>Stephen Baldridge, 603-683-2322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Sr. Vice President of Finance &amp; Corporate Controller</w:t>
      </w:r>
    </w:p>
    <w:sectPr>
      <w:pgSz w:w="11900" w:h="16838" w:orient="portrait"/>
      <w:cols w:equalWidth="0" w:num="1">
        <w:col w:w="11420"/>
      </w:cols>
      <w:pgMar w:left="240" w:top="3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2019-12-10T15:29:17Z</dcterms:created>
  <dcterms:modified xsi:type="dcterms:W3CDTF">2019-12-10T15:29:17Z</dcterms:modified>
</cp:coreProperties>
</file>